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WEALTH ARCHITECT PROTOCOLS</w:t>
      </w:r>
    </w:p>
    <w:p>
      <w:pPr>
        <w:jc w:val="center"/>
      </w:pPr>
      <w:r>
        <w:t>Advanced Financial Management for Modern High-Achievers</w:t>
      </w:r>
    </w:p>
    <w:p>
      <w:r>
        <w:br w:type="page"/>
      </w:r>
    </w:p>
    <w:p>
      <w:pPr>
        <w:pStyle w:val="Heading1"/>
      </w:pPr>
      <w:r>
        <w:t>MODULE 1: The Empire Account Structure</w:t>
      </w:r>
    </w:p>
    <w:p>
      <w:r>
        <w:t>Strategic Objective: Automate generational wealth.</w:t>
      </w:r>
    </w:p>
    <w:p>
      <w:r>
        <w:t>Profit First system for the PH context.</w:t>
      </w:r>
    </w:p>
    <w:p>
      <w:r>
        <w:t>Elite Execution Steps:</w:t>
      </w:r>
    </w:p>
    <w:p>
      <w:pPr>
        <w:pStyle w:val="ListBullet"/>
      </w:pPr>
      <w:r>
        <w:t>Account setup</w:t>
      </w:r>
    </w:p>
    <w:p>
      <w:pPr>
        <w:pStyle w:val="ListBullet"/>
      </w:pPr>
      <w:r>
        <w:t>Auto-transfers</w:t>
      </w:r>
    </w:p>
    <w:p>
      <w:pPr>
        <w:pStyle w:val="Heading1"/>
      </w:pPr>
      <w:r>
        <w:t>MODULE 2: Asset Allocation Logic</w:t>
      </w:r>
    </w:p>
    <w:p>
      <w:r>
        <w:t>Strategic Objective: Diversify for global growth.</w:t>
      </w:r>
    </w:p>
    <w:p>
      <w:r>
        <w:t>Core-Satellite investment approach.</w:t>
      </w:r>
    </w:p>
    <w:p>
      <w:r>
        <w:t>Elite Execution Steps:</w:t>
      </w:r>
    </w:p>
    <w:p>
      <w:pPr>
        <w:pStyle w:val="ListBullet"/>
      </w:pPr>
      <w:r>
        <w:t>Map assets</w:t>
      </w:r>
    </w:p>
    <w:p>
      <w:pPr>
        <w:pStyle w:val="ListBullet"/>
      </w:pPr>
      <w:r>
        <w:t>Open global account</w:t>
      </w:r>
    </w:p>
    <w:p>
      <w:pPr>
        <w:pStyle w:val="Heading1"/>
      </w:pPr>
      <w:r>
        <w:t>MODULE 3: Tax &amp; Entity Strategy</w:t>
      </w:r>
    </w:p>
    <w:p>
      <w:r>
        <w:t>Strategic Objective: Protect your capital.</w:t>
      </w:r>
    </w:p>
    <w:p>
      <w:r>
        <w:t>Navigating PH business law for nomads.</w:t>
      </w:r>
    </w:p>
    <w:p>
      <w:r>
        <w:t>Elite Execution Steps:</w:t>
      </w:r>
    </w:p>
    <w:p>
      <w:pPr>
        <w:pStyle w:val="ListBullet"/>
      </w:pPr>
      <w:r>
        <w:t>BIR audit</w:t>
      </w:r>
    </w:p>
    <w:p>
      <w:pPr>
        <w:pStyle w:val="ListBullet"/>
      </w:pPr>
      <w:r>
        <w:t>Entity setup</w:t>
      </w:r>
    </w:p>
    <w:p>
      <w:pPr>
        <w:pStyle w:val="Heading1"/>
      </w:pPr>
      <w:r>
        <w:t>MODULE 4: Legacy Transmission</w:t>
      </w:r>
    </w:p>
    <w:p>
      <w:r>
        <w:t>Strategic Objective: Design your long-term impact.</w:t>
      </w:r>
    </w:p>
    <w:p>
      <w:r>
        <w:t>Estate planning and generational culture.</w:t>
      </w:r>
    </w:p>
    <w:p>
      <w:r>
        <w:t>Elite Execution Steps:</w:t>
      </w:r>
    </w:p>
    <w:p>
      <w:pPr>
        <w:pStyle w:val="ListBullet"/>
      </w:pPr>
      <w:r>
        <w:t>Legacy statement</w:t>
      </w:r>
    </w:p>
    <w:p>
      <w:pPr>
        <w:pStyle w:val="ListBullet"/>
      </w:pPr>
      <w:r>
        <w:t>Succession plan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