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8"/>
        </w:rPr>
        <w:t>WEALTH ARCHITECT SYSTEMS</w:t>
      </w:r>
    </w:p>
    <w:p>
      <w:pPr>
        <w:jc w:val="center"/>
      </w:pPr>
      <w:r>
        <w:rPr>
          <w:i/>
          <w:sz w:val="28"/>
        </w:rPr>
        <w:t>Advanced Financial Management and Investment Strategy for the Modern Filipino</w:t>
      </w:r>
    </w:p>
    <w:p>
      <w:r>
        <w:br/>
      </w:r>
    </w:p>
    <w:p>
      <w:pPr>
        <w:pStyle w:val="Heading1"/>
      </w:pPr>
      <w:r>
        <w:t>Beyond Budgeting</w:t>
      </w:r>
    </w:p>
    <w:p>
      <w:r>
        <w:t>Systems for automated wealth building. The Pay-Yourself-First 2.0 framework.</w:t>
      </w:r>
    </w:p>
    <w:p>
      <w:r>
        <w:br/>
      </w:r>
    </w:p>
    <w:p>
      <w:pPr>
        <w:pStyle w:val="Heading1"/>
      </w:pPr>
      <w:r>
        <w:t>The Multi-Tier Investment Strategy</w:t>
      </w:r>
    </w:p>
    <w:p>
      <w:r>
        <w:t>Balancing local PH opportunities with global equity markets and emerging digital assets.</w:t>
      </w:r>
    </w:p>
    <w:p>
      <w:r>
        <w:br/>
      </w:r>
    </w:p>
    <w:p>
      <w:pPr>
        <w:pStyle w:val="Heading1"/>
      </w:pPr>
      <w:r>
        <w:t>Risk Management &amp; Hedging</w:t>
      </w:r>
    </w:p>
    <w:p>
      <w:r>
        <w:t>Protecting your empire from inflation, currency devaluation, and market black swans.</w:t>
      </w:r>
    </w:p>
    <w:p>
      <w:r>
        <w:br/>
      </w:r>
    </w:p>
    <w:p>
      <w:pPr>
        <w:pStyle w:val="Heading1"/>
      </w:pPr>
      <w:r>
        <w:t>Legacy Design</w:t>
      </w:r>
    </w:p>
    <w:p>
      <w:r>
        <w:t>Planning for the next generation. Trust structures and long-term wealth preservation.</w:t>
      </w:r>
    </w:p>
    <w:p>
      <w:r>
        <w:br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2024 Layunin Elite Systems - Confidential &amp; Premium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