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THE ELITE GOAL ARCHITECT</w:t>
      </w:r>
    </w:p>
    <w:p>
      <w:pPr>
        <w:jc w:val="center"/>
      </w:pPr>
      <w:r>
        <w:rPr>
          <w:i/>
          <w:color w:val="C5A02B"/>
          <w:sz w:val="36"/>
        </w:rPr>
        <w:t>Definitive Framework for Multi-Year Success and Daily Alignment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Executive Intent</w:t>
      </w:r>
    </w:p>
    <w:p>
      <w:pPr>
        <w:jc w:val="left"/>
      </w:pPr>
      <w:r>
        <w:t>High-achievers prioritize architecture over hustle. This framework strips away societal noise, aligning every daily action with your 10-year legacy. It is the roadmap from ambiguity to absolute precision.</w:t>
      </w:r>
    </w:p>
    <w:p>
      <w:r>
        <w:br/>
      </w:r>
    </w:p>
    <w:p>
      <w:pPr>
        <w:pStyle w:val="Heading2"/>
      </w:pPr>
      <w:r>
        <w:t>Phase 1: The Purpose Audit (Layunin Alignment)</w:t>
      </w:r>
    </w:p>
    <w:p>
      <w:pPr>
        <w:jc w:val="left"/>
      </w:pPr>
      <w:r>
        <w:t>Identify your 'North Star'. Using the '5-Whys' deep-dive method, we separate genuine ambitions from societal expectations. Define your 'Keystone Goal'—the one objective that, once achieved, makes all other tasks easier or irrelevant.</w:t>
      </w:r>
    </w:p>
    <w:p>
      <w:r>
        <w:br/>
      </w:r>
    </w:p>
    <w:p>
      <w:pPr>
        <w:pStyle w:val="Heading2"/>
      </w:pPr>
      <w:r>
        <w:t>Phase 2: Macro-to-Micro Translation</w:t>
      </w:r>
    </w:p>
    <w:p>
      <w:pPr>
        <w:jc w:val="left"/>
      </w:pPr>
      <w:r>
        <w:t>Vision without execution is just a dream. Break down your 10-year vision into 1-year milestones, quarterly sprints, and weekly outcomes. Apply the 'Rule of 3' for daily planning to ensure significant progress toward your purpose.</w:t>
      </w:r>
    </w:p>
    <w:p>
      <w:r>
        <w:br/>
      </w:r>
    </w:p>
    <w:p>
      <w:pPr>
        <w:pStyle w:val="Heading2"/>
      </w:pPr>
      <w:r>
        <w:t>Phase 3: The Success Environment</w:t>
      </w:r>
    </w:p>
    <w:p>
      <w:pPr>
        <w:jc w:val="left"/>
      </w:pPr>
      <w:r>
        <w:t>Willpower is finite; architecture is permanent. Design your physical and digital workspaces to trigger deep work automatically. Deploy the 'Distraction Shield' protocol to eliminate decision fatigue.</w:t>
      </w:r>
    </w:p>
    <w:p>
      <w:r>
        <w:br/>
      </w:r>
    </w:p>
    <w:p>
      <w:pPr>
        <w:pStyle w:val="Heading2"/>
      </w:pPr>
      <w:r>
        <w:t>Implementation: The 90-Day Execution Engine</w:t>
      </w:r>
    </w:p>
    <w:p>
      <w:pPr>
        <w:jc w:val="left"/>
      </w:pPr>
      <w:r>
        <w:t>Step-by-step guide to your first 90 days. Templates for weekly audits, monthly retrospectives, and the strategic scoring system used by Tier-1 leaders.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Complete the 5-Whys Purpose Audit within the next 24 hours.</w:t>
      </w:r>
    </w:p>
    <w:p>
      <w:pPr>
        <w:pStyle w:val="ListBullet"/>
      </w:pPr>
      <w:r>
        <w:t>Identify your Keystone Goal for the current quarter.</w:t>
      </w:r>
    </w:p>
    <w:p>
      <w:pPr>
        <w:pStyle w:val="ListBullet"/>
      </w:pPr>
      <w:r>
        <w:t>Remove top 3 digital distractions from your primary workspace.</w:t>
      </w:r>
    </w:p>
    <w:p>
      <w:pPr>
        <w:pStyle w:val="ListBullet"/>
      </w:pPr>
      <w:r>
        <w:t>Conduct your first Sunday Night Strategic Review.</w:t>
      </w:r>
    </w:p>
    <w:p>
      <w:pPr>
        <w:pStyle w:val="ListBullet"/>
      </w:pPr>
      <w:r>
        <w:t>Set your 3 Non-Negotiable wins for tomorrow.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