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6B4F8F"/>
          <w:sz w:val="24"/>
          <w:szCs w:val="24"/>
        </w:rPr>
        <w:t xml:space="preserve"/>
      </w:r>
    </w:p>
    <w:p>
      <w:pPr>
        <w:spacing w:after="320" w:before="0"/>
      </w:pPr>
      <w:r>
        <w:rPr>
          <w:rFonts w:ascii="Calibri" w:cs="Calibri" w:eastAsia="Calibri" w:hAnsi="Calibri"/>
          <w:b/>
          <w:bCs/>
          <w:color w:val="2E2E2E"/>
          <w:sz w:val="56"/>
          <w:szCs w:val="56"/>
        </w:rPr>
        <w:t xml:space="preserve">Menstruation</w:t>
      </w:r>
    </w:p>
    <w:p>
      <w:pPr>
        <w:spacing w:after="160" w:before="0" w:line="320"/>
      </w:pPr>
      <w:r>
        <w:rPr>
          <w:rFonts w:ascii="Calibri" w:cs="Calibri" w:eastAsia="Calibri" w:hAnsi="Calibri"/>
          <w:b w:val="false"/>
          <w:bCs w:val="false"/>
          <w:i w:val="false"/>
          <w:iCs w:val="false"/>
          <w:sz w:val="22"/>
          <w:szCs w:val="22"/>
        </w:rPr>
        <w:t xml:space="preserve">For roughly half of human beings, somewhere between ages 9 and 16 the body settles into a pattern that will repeat itself for the next 35 to 45 years. That pattern is the </w:t>
      </w:r>
      <w:r>
        <w:rPr>
          <w:rFonts w:ascii="Calibri" w:cs="Calibri" w:eastAsia="Calibri" w:hAnsi="Calibri"/>
          <w:b/>
          <w:bCs/>
          <w:i w:val="false"/>
          <w:iCs w:val="false"/>
          <w:sz w:val="22"/>
          <w:szCs w:val="22"/>
        </w:rPr>
        <w:t xml:space="preserve">menstrual cycle</w:t>
      </w:r>
      <w:r>
        <w:rPr>
          <w:rFonts w:ascii="Calibri" w:cs="Calibri" w:eastAsia="Calibri" w:hAnsi="Calibri"/>
          <w:b w:val="false"/>
          <w:bCs w:val="false"/>
          <w:i w:val="false"/>
          <w:iCs w:val="false"/>
          <w:sz w:val="22"/>
          <w:szCs w:val="22"/>
        </w:rPr>
        <w:t xml:space="preserve">. It is one of the most distinctive features of human female biology and historically one of the most misunderstood.</w:t>
      </w:r>
    </w:p>
    <w:p>
      <w:pPr>
        <w:spacing w:after="160" w:before="0" w:line="320"/>
      </w:pPr>
      <w:r>
        <w:rPr>
          <w:rFonts w:ascii="Calibri" w:cs="Calibri" w:eastAsia="Calibri" w:hAnsi="Calibri"/>
          <w:b w:val="false"/>
          <w:bCs w:val="false"/>
          <w:i w:val="false"/>
          <w:iCs w:val="false"/>
          <w:sz w:val="22"/>
          <w:szCs w:val="22"/>
        </w:rPr>
        <w:t xml:space="preserve">Humans are nearly unique among animals in having a menstrual cycle at all. Most female mammals have an </w:t>
      </w:r>
      <w:r>
        <w:rPr>
          <w:rFonts w:ascii="Calibri" w:cs="Calibri" w:eastAsia="Calibri" w:hAnsi="Calibri"/>
          <w:b/>
          <w:bCs/>
          <w:i w:val="false"/>
          <w:iCs w:val="false"/>
          <w:sz w:val="22"/>
          <w:szCs w:val="22"/>
        </w:rPr>
        <w:t xml:space="preserve">estrous cycle</w:t>
      </w:r>
      <w:r>
        <w:rPr>
          <w:rFonts w:ascii="Calibri" w:cs="Calibri" w:eastAsia="Calibri" w:hAnsi="Calibri"/>
          <w:b w:val="false"/>
          <w:bCs w:val="false"/>
          <w:i w:val="false"/>
          <w:iCs w:val="false"/>
          <w:sz w:val="22"/>
          <w:szCs w:val="22"/>
        </w:rPr>
        <w:t xml:space="preserve">, in which they are sexually receptive (“in heat”) only during a short window each month or during a mating season. Human females can be interested in and enjoy sex at any point in the cycle. Also, most animals don’t shed blood during reproductive cycles. Only a few species of primates have a menstrual cycle like ours, in which the uterine lining sheds each month.</w:t>
      </w:r>
    </w:p>
    <w:p>
      <w:pPr>
        <w:pStyle w:val="Heading1"/>
        <w:spacing w:after="220" w:before="360"/>
      </w:pPr>
      <w:r>
        <w:rPr>
          <w:rFonts w:ascii="Calibri" w:cs="Calibri" w:eastAsia="Calibri" w:hAnsi="Calibri"/>
          <w:b/>
          <w:bCs/>
          <w:color w:val="2E2E2E"/>
          <w:sz w:val="36"/>
          <w:szCs w:val="36"/>
        </w:rPr>
        <w:t xml:space="preserve">The Four Phases of the Cycle</w:t>
      </w:r>
    </w:p>
    <w:p>
      <w:pPr>
        <w:spacing w:after="160" w:before="0" w:line="320"/>
      </w:pPr>
      <w:r>
        <w:rPr>
          <w:rFonts w:ascii="Calibri" w:cs="Calibri" w:eastAsia="Calibri" w:hAnsi="Calibri"/>
          <w:sz w:val="22"/>
          <w:szCs w:val="22"/>
        </w:rPr>
        <w:t xml:space="preserve">The menstrual cycle has 5 phases. Although menstruation is the easiest phase to identify, biologically it is actually the last phase, not the first. By convention, the day a woman’s period begins is counted as day 1, because it is the most identifiable day of the cycle.</w:t>
      </w:r>
    </w:p>
    <w:p>
      <w:pPr>
        <w:spacing w:after="160" w:before="0" w:line="320"/>
      </w:pPr>
      <w:r>
        <w:rPr>
          <w:rFonts w:ascii="Calibri" w:cs="Calibri" w:eastAsia="Calibri" w:hAnsi="Calibri"/>
          <w:b w:val="false"/>
          <w:bCs w:val="false"/>
          <w:i w:val="false"/>
          <w:iCs w:val="false"/>
          <w:sz w:val="22"/>
          <w:szCs w:val="22"/>
        </w:rPr>
        <w:t xml:space="preserve">The first phase is the </w:t>
      </w:r>
      <w:r>
        <w:rPr>
          <w:rFonts w:ascii="Calibri" w:cs="Calibri" w:eastAsia="Calibri" w:hAnsi="Calibri"/>
          <w:b/>
          <w:bCs/>
          <w:i w:val="false"/>
          <w:iCs w:val="false"/>
          <w:sz w:val="22"/>
          <w:szCs w:val="22"/>
        </w:rPr>
        <w:t xml:space="preserve">follicular phase</w:t>
      </w:r>
      <w:r>
        <w:rPr>
          <w:rFonts w:ascii="Calibri" w:cs="Calibri" w:eastAsia="Calibri" w:hAnsi="Calibri"/>
          <w:b w:val="false"/>
          <w:bCs w:val="false"/>
          <w:i w:val="false"/>
          <w:iCs w:val="false"/>
          <w:sz w:val="22"/>
          <w:szCs w:val="22"/>
        </w:rPr>
        <w:t xml:space="preserve">, sometimes called the proliferative phase. At the start of this phase, the pituitary releases relatively high levels of </w:t>
      </w:r>
      <w:r>
        <w:rPr>
          <w:rFonts w:ascii="Calibri" w:cs="Calibri" w:eastAsia="Calibri" w:hAnsi="Calibri"/>
          <w:b/>
          <w:bCs/>
          <w:i w:val="false"/>
          <w:iCs w:val="false"/>
          <w:sz w:val="22"/>
          <w:szCs w:val="22"/>
        </w:rPr>
        <w:t xml:space="preserve">follicular stimulating hormone (FSH)</w:t>
      </w:r>
      <w:r>
        <w:rPr>
          <w:rFonts w:ascii="Calibri" w:cs="Calibri" w:eastAsia="Calibri" w:hAnsi="Calibri"/>
          <w:b w:val="false"/>
          <w:bCs w:val="false"/>
          <w:i w:val="false"/>
          <w:iCs w:val="false"/>
          <w:sz w:val="22"/>
          <w:szCs w:val="22"/>
        </w:rPr>
        <w:t xml:space="preserve">. FSH signals one of the follicles in the ovaries — small fluid-filled sacs that each contain an immature egg — to bring an egg to full maturity. As the follicle grows, it produces increasing amounts of estrogen. The estrogen, in turn, stimulates the lining of the uterus, called the </w:t>
      </w:r>
      <w:r>
        <w:rPr>
          <w:rFonts w:ascii="Calibri" w:cs="Calibri" w:eastAsia="Calibri" w:hAnsi="Calibri"/>
          <w:b/>
          <w:bCs/>
          <w:i w:val="false"/>
          <w:iCs w:val="false"/>
          <w:sz w:val="22"/>
          <w:szCs w:val="22"/>
        </w:rPr>
        <w:t xml:space="preserve">endometrium</w:t>
      </w:r>
      <w:r>
        <w:rPr>
          <w:rFonts w:ascii="Calibri" w:cs="Calibri" w:eastAsia="Calibri" w:hAnsi="Calibri"/>
          <w:b w:val="false"/>
          <w:bCs w:val="false"/>
          <w:i w:val="false"/>
          <w:iCs w:val="false"/>
          <w:sz w:val="22"/>
          <w:szCs w:val="22"/>
        </w:rPr>
        <w:t xml:space="preserve">, to thicken and develop. The uterus is getting ready in case a fertilized egg arrives.</w:t>
      </w:r>
    </w:p>
    <w:p>
      <w:pPr>
        <w:spacing w:after="160" w:before="0" w:line="320"/>
      </w:pPr>
      <w:r>
        <w:rPr>
          <w:rFonts w:ascii="Calibri" w:cs="Calibri" w:eastAsia="Calibri" w:hAnsi="Calibri"/>
          <w:b w:val="false"/>
          <w:bCs w:val="false"/>
          <w:i w:val="false"/>
          <w:iCs w:val="false"/>
          <w:sz w:val="22"/>
          <w:szCs w:val="22"/>
        </w:rPr>
        <w:t xml:space="preserve">The second phase is </w:t>
      </w:r>
      <w:r>
        <w:rPr>
          <w:rFonts w:ascii="Calibri" w:cs="Calibri" w:eastAsia="Calibri" w:hAnsi="Calibri"/>
          <w:b/>
          <w:bCs/>
          <w:i w:val="false"/>
          <w:iCs w:val="false"/>
          <w:sz w:val="22"/>
          <w:szCs w:val="22"/>
        </w:rPr>
        <w:t xml:space="preserve">ovulation</w:t>
      </w:r>
      <w:r>
        <w:rPr>
          <w:rFonts w:ascii="Calibri" w:cs="Calibri" w:eastAsia="Calibri" w:hAnsi="Calibri"/>
          <w:b w:val="false"/>
          <w:bCs w:val="false"/>
          <w:i w:val="false"/>
          <w:iCs w:val="false"/>
          <w:sz w:val="22"/>
          <w:szCs w:val="22"/>
        </w:rPr>
        <w:t xml:space="preserve">. As estrogen levels rise, they eventually trigger a surge in </w:t>
      </w:r>
      <w:r>
        <w:rPr>
          <w:rFonts w:ascii="Calibri" w:cs="Calibri" w:eastAsia="Calibri" w:hAnsi="Calibri"/>
          <w:b/>
          <w:bCs/>
          <w:i w:val="false"/>
          <w:iCs w:val="false"/>
          <w:sz w:val="22"/>
          <w:szCs w:val="22"/>
        </w:rPr>
        <w:t xml:space="preserve">luteinizing hormone (LH)</w:t>
      </w:r>
      <w:r>
        <w:rPr>
          <w:rFonts w:ascii="Calibri" w:cs="Calibri" w:eastAsia="Calibri" w:hAnsi="Calibri"/>
          <w:b w:val="false"/>
          <w:bCs w:val="false"/>
          <w:i w:val="false"/>
          <w:iCs w:val="false"/>
          <w:sz w:val="22"/>
          <w:szCs w:val="22"/>
        </w:rPr>
        <w:t xml:space="preserve"> from the pituitary. The LH surge causes the follicle to rupture, releasing the mature egg, which is then swept into the fallopian tube. Ovulation is the time during which the egg can be fertilized by sperm. This period of time only lasts about 24 hours. It can be surprising to learn that women are only “fertile” (able to fertilize an egg) for 1 day each month. While some people try to use this to “time” sex around their ovulation, this “calendar method” is not a reliable way to prevent pregnancy. This will be discussed in more detail in the chapter on contraceptives.</w:t>
      </w:r>
    </w:p>
    <w:p>
      <w:pPr>
        <w:spacing w:after="160" w:before="0" w:line="320"/>
      </w:pPr>
      <w:r>
        <w:rPr>
          <w:rFonts w:ascii="Calibri" w:cs="Calibri" w:eastAsia="Calibri" w:hAnsi="Calibri"/>
          <w:b w:val="false"/>
          <w:bCs w:val="false"/>
          <w:i w:val="false"/>
          <w:iCs w:val="false"/>
          <w:sz w:val="22"/>
          <w:szCs w:val="22"/>
        </w:rPr>
        <w:t xml:space="preserve">The third phase is the </w:t>
      </w:r>
      <w:r>
        <w:rPr>
          <w:rFonts w:ascii="Calibri" w:cs="Calibri" w:eastAsia="Calibri" w:hAnsi="Calibri"/>
          <w:b/>
          <w:bCs/>
          <w:i w:val="false"/>
          <w:iCs w:val="false"/>
          <w:sz w:val="22"/>
          <w:szCs w:val="22"/>
        </w:rPr>
        <w:t xml:space="preserve">luteal phase</w:t>
      </w:r>
      <w:r>
        <w:rPr>
          <w:rFonts w:ascii="Calibri" w:cs="Calibri" w:eastAsia="Calibri" w:hAnsi="Calibri"/>
          <w:b w:val="false"/>
          <w:bCs w:val="false"/>
          <w:i w:val="false"/>
          <w:iCs w:val="false"/>
          <w:sz w:val="22"/>
          <w:szCs w:val="22"/>
        </w:rPr>
        <w:t xml:space="preserve">, sometimes called the secretory phase. The leftover follicle, after releasing the egg, transforms into a small yellow body called the </w:t>
      </w:r>
      <w:r>
        <w:rPr>
          <w:rFonts w:ascii="Calibri" w:cs="Calibri" w:eastAsia="Calibri" w:hAnsi="Calibri"/>
          <w:b/>
          <w:bCs/>
          <w:i w:val="false"/>
          <w:iCs w:val="false"/>
          <w:sz w:val="22"/>
          <w:szCs w:val="22"/>
        </w:rPr>
        <w:t xml:space="preserve">corpus luteum</w:t>
      </w:r>
      <w:r>
        <w:rPr>
          <w:rFonts w:ascii="Calibri" w:cs="Calibri" w:eastAsia="Calibri" w:hAnsi="Calibri"/>
          <w:b w:val="false"/>
          <w:bCs w:val="false"/>
          <w:i w:val="false"/>
          <w:iCs w:val="false"/>
          <w:sz w:val="22"/>
          <w:szCs w:val="22"/>
        </w:rPr>
        <w:t xml:space="preserve"> (Latin for “yellow body”). The corpus luteum produces large amounts of progesterone. Progesterone keeps the endometrium thick and ready to support a pregnancy. If a fertilized egg implants in the uterine lining, the corpus luteum continues producing progesterone until the placenta takes over.</w:t>
      </w:r>
    </w:p>
    <w:p>
      <w:pPr>
        <w:spacing w:after="160" w:before="0" w:line="320"/>
      </w:pPr>
      <w:r>
        <w:rPr>
          <w:rFonts w:ascii="Calibri" w:cs="Calibri" w:eastAsia="Calibri" w:hAnsi="Calibri"/>
          <w:b w:val="false"/>
          <w:bCs w:val="false"/>
          <w:i w:val="false"/>
          <w:iCs w:val="false"/>
          <w:sz w:val="22"/>
          <w:szCs w:val="22"/>
        </w:rPr>
        <w:t xml:space="preserve">If no pregnancy occurs, the corpus luteum dies after about 10 to 12 days. Estrogen and progesterone levels crash, and the uterus can no longer maintain its lining. This is known as the </w:t>
      </w:r>
      <w:r>
        <w:rPr>
          <w:rFonts w:ascii="Calibri" w:cs="Calibri" w:eastAsia="Calibri" w:hAnsi="Calibri"/>
          <w:b/>
          <w:bCs/>
          <w:i w:val="false"/>
          <w:iCs w:val="false"/>
          <w:sz w:val="22"/>
          <w:szCs w:val="22"/>
        </w:rPr>
        <w:t xml:space="preserve">premenstrual phase</w:t>
      </w:r>
      <w:r>
        <w:rPr>
          <w:rFonts w:ascii="Calibri" w:cs="Calibri" w:eastAsia="Calibri" w:hAnsi="Calibri"/>
          <w:b w:val="false"/>
          <w:bCs w:val="false"/>
          <w:i w:val="false"/>
          <w:iCs w:val="false"/>
          <w:sz w:val="22"/>
          <w:szCs w:val="22"/>
        </w:rPr>
        <w:t xml:space="preserve">, which is when hormones quickly return to baseline levels. Sudden drops in estrogen can cause </w:t>
      </w:r>
      <w:r>
        <w:rPr>
          <w:rFonts w:ascii="Calibri" w:cs="Calibri" w:eastAsia="Calibri" w:hAnsi="Calibri"/>
          <w:b/>
          <w:bCs/>
          <w:i w:val="false"/>
          <w:iCs w:val="false"/>
          <w:sz w:val="22"/>
          <w:szCs w:val="22"/>
        </w:rPr>
        <w:t xml:space="preserve">premenstrual symptoms (PMS)</w:t>
      </w:r>
      <w:r>
        <w:rPr>
          <w:rFonts w:ascii="Calibri" w:cs="Calibri" w:eastAsia="Calibri" w:hAnsi="Calibri"/>
          <w:b w:val="false"/>
          <w:bCs w:val="false"/>
          <w:i w:val="false"/>
          <w:iCs w:val="false"/>
          <w:sz w:val="22"/>
          <w:szCs w:val="22"/>
        </w:rPr>
        <w:t xml:space="preserve">, with dropping estrogen related to fatigue, mood swings, and water retention (Schmidt et al., 1998). High estrogen levels mask, or block, testosterone. With testosterone levels “unmasked” at this time, women can also show symptoms of elevated testosterone levels, such as oily skin, acne, and irritability (Geller et al., 2014). For some women, unmasked testosterone can also cause premenstrual horniness. It’s the one time each month when women may start to feel like a teenage boy.</w:t>
      </w:r>
    </w:p>
    <w:p>
      <w:pPr>
        <w:spacing w:after="160" w:before="0" w:line="320"/>
      </w:pPr>
      <w:r>
        <w:rPr>
          <w:rFonts w:ascii="Calibri" w:cs="Calibri" w:eastAsia="Calibri" w:hAnsi="Calibri"/>
          <w:b w:val="false"/>
          <w:bCs w:val="false"/>
          <w:i w:val="false"/>
          <w:iCs w:val="false"/>
          <w:sz w:val="22"/>
          <w:szCs w:val="22"/>
        </w:rPr>
        <w:t xml:space="preserve">The fifth and final phase is </w:t>
      </w:r>
      <w:r>
        <w:rPr>
          <w:rFonts w:ascii="Calibri" w:cs="Calibri" w:eastAsia="Calibri" w:hAnsi="Calibri"/>
          <w:b/>
          <w:bCs/>
          <w:i w:val="false"/>
          <w:iCs w:val="false"/>
          <w:sz w:val="22"/>
          <w:szCs w:val="22"/>
        </w:rPr>
        <w:t xml:space="preserve">menstruation</w:t>
      </w:r>
      <w:r>
        <w:rPr>
          <w:rFonts w:ascii="Calibri" w:cs="Calibri" w:eastAsia="Calibri" w:hAnsi="Calibri"/>
          <w:b w:val="false"/>
          <w:bCs w:val="false"/>
          <w:i w:val="false"/>
          <w:iCs w:val="false"/>
          <w:sz w:val="22"/>
          <w:szCs w:val="22"/>
        </w:rPr>
        <w:t xml:space="preserve">. As hormone levels fall, the thickened lining of the uterus breaks down and is shed, passing out through the cervix and vagina along with a small amount of blood and mucus. The total volume of fluid is small, usually about 30 to 60 milliliters per cycle, or roughly 2 to 4 tablespoons. The shedding of the lining triggers the pituitary to ramp up FSH again, and a new cycle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Period Sex Is Not Birth Control</w:t>
            </w:r>
          </w:p>
          <w:p>
            <w:pPr>
              <w:spacing w:after="0" w:before="0" w:line="300"/>
            </w:pPr>
            <w:r>
              <w:rPr>
                <w:rFonts w:ascii="Calibri" w:cs="Calibri" w:eastAsia="Calibri" w:hAnsi="Calibri"/>
                <w:sz w:val="20"/>
                <w:szCs w:val="20"/>
              </w:rPr>
              <w:t xml:space="preserve">Many people assume that having sex during a woman’s period carries no risk of pregnancy. It does. Sperm can survive inside the female reproductive tract for up to five days. So a woman who has unprotected sex toward the end of her period — and who has a short or irregular cycle — might still have viable sperm hanging around when she ovulates a week or so later. Pregnancies from sex during menstruation are uncommon, but they are not rare enough to ignore (Wilcox, Dunson, &amp; Baird, 2000). Period sex is not a substitute for birth control.</w:t>
            </w:r>
          </w:p>
        </w:tc>
      </w:tr>
    </w:tbl>
    <w:p>
      <w:pPr>
        <w:spacing w:after="200" w:before="0"/>
      </w:pPr>
      <w:r>
        <w:rPr>
          <w:sz w:val="22"/>
          <w:szCs w:val="22"/>
        </w:rPr>
        <w:t xml:space="preserve"/>
      </w:r>
    </w:p>
    <w:p>
      <w:pPr>
        <w:spacing w:after="160" w:before="0" w:line="320"/>
      </w:pPr>
      <w:r>
        <w:rPr>
          <w:rFonts w:ascii="Calibri" w:cs="Calibri" w:eastAsia="Calibri" w:hAnsi="Calibri"/>
          <w:sz w:val="22"/>
          <w:szCs w:val="22"/>
        </w:rPr>
        <w:t xml:space="preserve">The average menstrual cycle is about 28 days long, but anywhere from 21 to 36 days is considered normal. The popular “28-day” figure has taken on more weight than it deserves; in reality, cycles vary a lot from one woman to the next, and from one month to the next in the same woman.</w:t>
      </w:r>
    </w:p>
    <w:p>
      <w:pPr>
        <w:spacing w:after="160" w:before="0" w:line="320"/>
      </w:pPr>
      <w:r>
        <w:rPr>
          <w:rFonts w:ascii="Calibri" w:cs="Calibri" w:eastAsia="Calibri" w:hAnsi="Calibri"/>
          <w:sz w:val="22"/>
          <w:szCs w:val="22"/>
        </w:rPr>
        <w:t xml:space="preserve">Whatever the total cycle length is, one thing stays remarkably stable: the luteal phase lasts about 14 days. The follicular phase, in contrast, varies. So if a woman has a 35-day cycle, she ovulates around day 21. If her cycle is 22 days, she ovulates around day 8. This is useful information for anyone trying to either get pregnant or avoid getting pregnant.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You Can Sometimes Feel Yourself Ovulate</w:t>
            </w:r>
          </w:p>
          <w:p>
            <w:pPr>
              <w:spacing w:after="0" w:before="0" w:line="300"/>
            </w:pPr>
            <w:r>
              <w:rPr>
                <w:rFonts w:ascii="Calibri" w:cs="Calibri" w:eastAsia="Calibri" w:hAnsi="Calibri"/>
                <w:sz w:val="20"/>
                <w:szCs w:val="20"/>
              </w:rPr>
              <w:t xml:space="preserve">Some women report a sharp, brief sensation in the lower abdomen at the time of ovulation, lasting from a few minutes to a day. The medical term is Mittelschmerz, which is German for “middle pain.” It usually appears on one side, depending on which ovary released the egg that month. About 1 in 5 women report feeling it at least occasionally. The cause is not fully understood, but the leading theory is that the small amount of fluid released when the follicle ruptures irritates the lining of the abdomen.</w:t>
            </w:r>
          </w:p>
        </w:tc>
      </w:tr>
    </w:tbl>
    <w:p>
      <w:pPr>
        <w:spacing w:after="200" w:before="0"/>
      </w:pPr>
      <w:r>
        <w:rPr>
          <w:sz w:val="22"/>
          <w:szCs w:val="22"/>
        </w:rPr>
        <w:t xml:space="preserve"/>
      </w:r>
    </w:p>
    <w:p>
      <w:pPr>
        <w:pStyle w:val="Heading1"/>
        <w:spacing w:after="220" w:before="360"/>
      </w:pPr>
      <w:r>
        <w:rPr>
          <w:rFonts w:ascii="Calibri" w:cs="Calibri" w:eastAsia="Calibri" w:hAnsi="Calibri"/>
          <w:b/>
          <w:bCs/>
          <w:color w:val="2E2E2E"/>
          <w:sz w:val="36"/>
          <w:szCs w:val="36"/>
        </w:rPr>
        <w:t xml:space="preserve">Tracking Ovulation</w:t>
      </w:r>
    </w:p>
    <w:p>
      <w:pPr>
        <w:spacing w:after="160" w:before="0" w:line="320"/>
      </w:pPr>
      <w:r>
        <w:rPr>
          <w:rFonts w:ascii="Calibri" w:cs="Calibri" w:eastAsia="Calibri" w:hAnsi="Calibri"/>
          <w:sz w:val="22"/>
          <w:szCs w:val="22"/>
        </w:rPr>
        <w:t xml:space="preserve">Two measurable changes in the body can be used to track the menstrual cycle and detect ovulation. These methods are often used by women who want to know when they are ovulating in order to increase their chances of getting pregnant. We’ll return back to these methods in the chapter on conception and pregnancy.</w:t>
      </w:r>
    </w:p>
    <w:p>
      <w:pPr>
        <w:spacing w:after="160" w:before="0" w:line="320"/>
      </w:pPr>
      <w:r>
        <w:rPr>
          <w:rFonts w:ascii="Calibri" w:cs="Calibri" w:eastAsia="Calibri" w:hAnsi="Calibri"/>
          <w:b w:val="false"/>
          <w:bCs w:val="false"/>
          <w:i w:val="false"/>
          <w:iCs w:val="false"/>
          <w:sz w:val="22"/>
          <w:szCs w:val="22"/>
        </w:rPr>
        <w:t xml:space="preserve">The first is the </w:t>
      </w:r>
      <w:r>
        <w:rPr>
          <w:rFonts w:ascii="Calibri" w:cs="Calibri" w:eastAsia="Calibri" w:hAnsi="Calibri"/>
          <w:b/>
          <w:bCs/>
          <w:i w:val="false"/>
          <w:iCs w:val="false"/>
          <w:sz w:val="22"/>
          <w:szCs w:val="22"/>
        </w:rPr>
        <w:t xml:space="preserve">cervical mucus cycle</w:t>
      </w:r>
      <w:r>
        <w:rPr>
          <w:rFonts w:ascii="Calibri" w:cs="Calibri" w:eastAsia="Calibri" w:hAnsi="Calibri"/>
          <w:b w:val="false"/>
          <w:bCs w:val="false"/>
          <w:i w:val="false"/>
          <w:iCs w:val="false"/>
          <w:sz w:val="22"/>
          <w:szCs w:val="22"/>
        </w:rPr>
        <w:t xml:space="preserve">. Glands in the cervix produce mucus throughout the cycle. For most of the cycle, the mucus is thick, sticky, and slightly hostile to sperm. Right before ovulation, however, the rising level of estrogen causes the mucus to become thin, watery, slippery, and alkaline. This change makes it much easier for sperm to swim through. If you dry a sample of mucus on a microscope slide just before ovulation, it forms a distinctive fern-like pattern. After ovulation, the fern pattern disappears.</w:t>
      </w:r>
    </w:p>
    <w:p>
      <w:pPr>
        <w:spacing w:after="160" w:before="0" w:line="320"/>
      </w:pPr>
      <w:r>
        <w:rPr>
          <w:rFonts w:ascii="Calibri" w:cs="Calibri" w:eastAsia="Calibri" w:hAnsi="Calibri"/>
          <w:b w:val="false"/>
          <w:bCs w:val="false"/>
          <w:i w:val="false"/>
          <w:iCs w:val="false"/>
          <w:sz w:val="22"/>
          <w:szCs w:val="22"/>
        </w:rPr>
        <w:t xml:space="preserve">The second is the </w:t>
      </w:r>
      <w:r>
        <w:rPr>
          <w:rFonts w:ascii="Calibri" w:cs="Calibri" w:eastAsia="Calibri" w:hAnsi="Calibri"/>
          <w:b/>
          <w:bCs/>
          <w:i w:val="false"/>
          <w:iCs w:val="false"/>
          <w:sz w:val="22"/>
          <w:szCs w:val="22"/>
        </w:rPr>
        <w:t xml:space="preserve">basal body temperature</w:t>
      </w:r>
      <w:r>
        <w:rPr>
          <w:rFonts w:ascii="Calibri" w:cs="Calibri" w:eastAsia="Calibri" w:hAnsi="Calibri"/>
          <w:b w:val="false"/>
          <w:bCs w:val="false"/>
          <w:i w:val="false"/>
          <w:iCs w:val="false"/>
          <w:sz w:val="22"/>
          <w:szCs w:val="22"/>
        </w:rPr>
        <w:t xml:space="preserve"> cycle. A woman’s body temperature, measured first thing in the morning before getting out of bed, dips slightly on the day of ovulation and then rises by about 0.3°C (about half a degree Fahrenheit) for the rest of the cycle (Baker et al., 2002). The rise is caused by progesterone, which is mildly heat-producing. Tracking basal body temperature is one of the methods couples use to either time intercourse for pregnancy or avoid intercourse for birth control.</w:t>
      </w:r>
    </w:p>
    <w:p>
      <w:pPr>
        <w:pStyle w:val="Heading1"/>
        <w:spacing w:after="220" w:before="360"/>
      </w:pPr>
      <w:r>
        <w:rPr>
          <w:rFonts w:ascii="Calibri" w:cs="Calibri" w:eastAsia="Calibri" w:hAnsi="Calibri"/>
          <w:b/>
          <w:bCs/>
          <w:color w:val="2E2E2E"/>
          <w:sz w:val="36"/>
          <w:szCs w:val="36"/>
        </w:rPr>
        <w:t xml:space="preserve">Menstrual Problems</w:t>
      </w:r>
    </w:p>
    <w:p>
      <w:pPr>
        <w:spacing w:after="160" w:before="0" w:line="320"/>
      </w:pPr>
      <w:r>
        <w:rPr>
          <w:rFonts w:ascii="Calibri" w:cs="Calibri" w:eastAsia="Calibri" w:hAnsi="Calibri"/>
          <w:sz w:val="22"/>
          <w:szCs w:val="22"/>
        </w:rPr>
        <w:t xml:space="preserve">For most women, menstruation is a routine inconvenience. For some, it causes real medical problems.</w:t>
      </w:r>
    </w:p>
    <w:p>
      <w:pPr>
        <w:spacing w:after="160" w:before="0" w:line="320"/>
      </w:pPr>
      <w:r>
        <w:rPr>
          <w:rFonts w:ascii="Calibri" w:cs="Calibri" w:eastAsia="Calibri" w:hAnsi="Calibri"/>
          <w:b w:val="false"/>
          <w:bCs w:val="false"/>
          <w:i w:val="false"/>
          <w:iCs w:val="false"/>
          <w:sz w:val="22"/>
          <w:szCs w:val="22"/>
        </w:rPr>
        <w:t xml:space="preserve">The most common is </w:t>
      </w:r>
      <w:r>
        <w:rPr>
          <w:rFonts w:ascii="Calibri" w:cs="Calibri" w:eastAsia="Calibri" w:hAnsi="Calibri"/>
          <w:b/>
          <w:bCs/>
          <w:i w:val="false"/>
          <w:iCs w:val="false"/>
          <w:sz w:val="22"/>
          <w:szCs w:val="22"/>
        </w:rPr>
        <w:t xml:space="preserve">dysmenorrhea</w:t>
      </w:r>
      <w:r>
        <w:rPr>
          <w:rFonts w:ascii="Calibri" w:cs="Calibri" w:eastAsia="Calibri" w:hAnsi="Calibri"/>
          <w:b w:val="false"/>
          <w:bCs w:val="false"/>
          <w:i w:val="false"/>
          <w:iCs w:val="false"/>
          <w:sz w:val="22"/>
          <w:szCs w:val="22"/>
        </w:rPr>
        <w:t xml:space="preserve">, which simply means painful menstruation. Almost every woman experiences some discomfort during her period at some point in her life. For about 10 to 20 percent of women, the pain is severe enough to interfere with daily activities. The most common symptoms are cramping in the lower abdomen, headaches, backaches, nausea, and a feeling of bloating.</w:t>
      </w:r>
    </w:p>
    <w:p>
      <w:pPr>
        <w:spacing w:after="160" w:before="0" w:line="320"/>
      </w:pPr>
      <w:r>
        <w:rPr>
          <w:rFonts w:ascii="Calibri" w:cs="Calibri" w:eastAsia="Calibri" w:hAnsi="Calibri"/>
          <w:b w:val="false"/>
          <w:bCs w:val="false"/>
          <w:i w:val="false"/>
          <w:iCs w:val="false"/>
          <w:sz w:val="22"/>
          <w:szCs w:val="22"/>
        </w:rPr>
        <w:t xml:space="preserve">Cramps are caused by </w:t>
      </w:r>
      <w:r>
        <w:rPr>
          <w:rFonts w:ascii="Calibri" w:cs="Calibri" w:eastAsia="Calibri" w:hAnsi="Calibri"/>
          <w:b/>
          <w:bCs/>
          <w:i w:val="false"/>
          <w:iCs w:val="false"/>
          <w:sz w:val="22"/>
          <w:szCs w:val="22"/>
        </w:rPr>
        <w:t xml:space="preserve">prostaglandins</w:t>
      </w:r>
      <w:r>
        <w:rPr>
          <w:rFonts w:ascii="Calibri" w:cs="Calibri" w:eastAsia="Calibri" w:hAnsi="Calibri"/>
          <w:b w:val="false"/>
          <w:bCs w:val="false"/>
          <w:i w:val="false"/>
          <w:iCs w:val="false"/>
          <w:sz w:val="22"/>
          <w:szCs w:val="22"/>
        </w:rPr>
        <w:t xml:space="preserve">, hormone-like substances produced by the lining of the uterus (Deligeoroglou, 2000). Prostaglandins make smooth muscle contract. Women with severe cramps tend to have unusually high prostaglandin levels. The contractions partly cut off the uterus’s own blood supply, which causes the painful, cramping sensation. The standard treatment is a class of medications called </w:t>
      </w:r>
      <w:r>
        <w:rPr>
          <w:rFonts w:ascii="Calibri" w:cs="Calibri" w:eastAsia="Calibri" w:hAnsi="Calibri"/>
          <w:b/>
          <w:bCs/>
          <w:i w:val="false"/>
          <w:iCs w:val="false"/>
          <w:sz w:val="22"/>
          <w:szCs w:val="22"/>
        </w:rPr>
        <w:t xml:space="preserve">NSAIDs</w:t>
      </w:r>
      <w:r>
        <w:rPr>
          <w:rFonts w:ascii="Calibri" w:cs="Calibri" w:eastAsia="Calibri" w:hAnsi="Calibri"/>
          <w:b w:val="false"/>
          <w:bCs w:val="false"/>
          <w:i w:val="false"/>
          <w:iCs w:val="false"/>
          <w:sz w:val="22"/>
          <w:szCs w:val="22"/>
        </w:rPr>
        <w:t xml:space="preserve"> (nonsteroidal anti-inflammatory drugs) — ibuprofen (Advil), naproxen (Aleve), and aspirin all qualify (Hatcher et al., 2007). They work by blocking the production of prostaglandins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Orgasm as Pain Relief</w:t>
            </w:r>
          </w:p>
          <w:p>
            <w:pPr>
              <w:spacing w:after="0" w:before="0" w:line="300"/>
            </w:pPr>
            <w:r>
              <w:rPr>
                <w:rFonts w:ascii="Calibri" w:cs="Calibri" w:eastAsia="Calibri" w:hAnsi="Calibri"/>
                <w:sz w:val="20"/>
                <w:szCs w:val="20"/>
              </w:rPr>
              <w:t xml:space="preserve">The sex researchers Masters and Johnson noted that orgasm relieves menstrual cramps for many women. The reason is plausibly biological. Part of the discomfort of menstruation comes from pelvic congestion, a buildup of fluid in the pelvic region. Sexual arousal increases this congestion, but orgasm relieves it, partially clearing the pelvic blood supply. Whether this is the most appealing remedy on a heating-pad night is a matter of personal preference.</w:t>
            </w:r>
          </w:p>
        </w:tc>
      </w:tr>
    </w:tbl>
    <w:p>
      <w:pPr>
        <w:spacing w:after="200" w:before="0"/>
      </w:pPr>
      <w:r>
        <w:rPr>
          <w:sz w:val="22"/>
          <w:szCs w:val="22"/>
        </w:rPr>
        <w:t xml:space="preserve"/>
      </w:r>
    </w:p>
    <w:p>
      <w:pPr>
        <w:spacing w:after="160" w:before="0" w:line="320"/>
      </w:pPr>
      <w:r>
        <w:rPr>
          <w:rFonts w:ascii="Calibri" w:cs="Calibri" w:eastAsia="Calibri" w:hAnsi="Calibri"/>
          <w:b w:val="false"/>
          <w:bCs w:val="false"/>
          <w:i w:val="false"/>
          <w:iCs w:val="false"/>
          <w:sz w:val="22"/>
          <w:szCs w:val="22"/>
        </w:rPr>
        <w:t xml:space="preserve">A separate problem that is sometimes mistaken for ordinary dysmenorrhea is </w:t>
      </w:r>
      <w:r>
        <w:rPr>
          <w:rFonts w:ascii="Calibri" w:cs="Calibri" w:eastAsia="Calibri" w:hAnsi="Calibri"/>
          <w:b/>
          <w:bCs/>
          <w:i w:val="false"/>
          <w:iCs w:val="false"/>
          <w:sz w:val="22"/>
          <w:szCs w:val="22"/>
        </w:rPr>
        <w:t xml:space="preserve">endometriosis</w:t>
      </w:r>
      <w:r>
        <w:rPr>
          <w:rFonts w:ascii="Calibri" w:cs="Calibri" w:eastAsia="Calibri" w:hAnsi="Calibri"/>
          <w:b w:val="false"/>
          <w:bCs w:val="false"/>
          <w:i w:val="false"/>
          <w:iCs w:val="false"/>
          <w:sz w:val="22"/>
          <w:szCs w:val="22"/>
        </w:rPr>
        <w:t xml:space="preserve">. In endometriosis, the tissue that normally lines the uterus grows in places it should not — on the ovaries, on the fallopian tubes, on the bladder, even on the lining of the abdomen. The misplaced tissue still responds to the menstrual cycle, swelling and bleeding each month. Because it has nowhere to drain, it causes severe pain, sometimes scarring, and often infertility. Endometriosis is serious, often underdiagnosed, and should be treated by a doctor. Treatment usually involves hormones, and in severe cases, surgery (Basson, Zdaniuk, &amp; Brotto, 2020).</w:t>
      </w:r>
    </w:p>
    <w:p>
      <w:pPr>
        <w:spacing w:after="160" w:before="0" w:line="320"/>
      </w:pPr>
      <w:r>
        <w:rPr>
          <w:rFonts w:ascii="Calibri" w:cs="Calibri" w:eastAsia="Calibri" w:hAnsi="Calibri"/>
          <w:b w:val="false"/>
          <w:bCs w:val="false"/>
          <w:i w:val="false"/>
          <w:iCs w:val="false"/>
          <w:sz w:val="22"/>
          <w:szCs w:val="22"/>
        </w:rPr>
        <w:t xml:space="preserve">A third problem is </w:t>
      </w:r>
      <w:r>
        <w:rPr>
          <w:rFonts w:ascii="Calibri" w:cs="Calibri" w:eastAsia="Calibri" w:hAnsi="Calibri"/>
          <w:b/>
          <w:bCs/>
          <w:i w:val="false"/>
          <w:iCs w:val="false"/>
          <w:sz w:val="22"/>
          <w:szCs w:val="22"/>
        </w:rPr>
        <w:t xml:space="preserve">amenorrhea</w:t>
      </w:r>
      <w:r>
        <w:rPr>
          <w:rFonts w:ascii="Calibri" w:cs="Calibri" w:eastAsia="Calibri" w:hAnsi="Calibri"/>
          <w:b w:val="false"/>
          <w:bCs w:val="false"/>
          <w:i w:val="false"/>
          <w:iCs w:val="false"/>
          <w:sz w:val="22"/>
          <w:szCs w:val="22"/>
        </w:rPr>
        <w:t xml:space="preserve">, the absence of menstruation. Primary amenorrhea refers to a girl who has not started menstruating by about age 16. Secondary amenorrhea refers to a woman who has menstruated in the past but has stopped for at least three months for reasons other than pregnancy. Causes include pregnancy itself, hormonal imbalances, cysts or tumors, extreme stress, eating disorders, and intense exercise.</w:t>
      </w:r>
    </w:p>
    <w:p>
      <w:pPr>
        <w:pStyle w:val="Heading1"/>
        <w:spacing w:after="220" w:before="360"/>
      </w:pPr>
      <w:r>
        <w:rPr>
          <w:rFonts w:ascii="Calibri" w:cs="Calibri" w:eastAsia="Calibri" w:hAnsi="Calibri"/>
          <w:b/>
          <w:bCs/>
          <w:color w:val="2E2E2E"/>
          <w:sz w:val="36"/>
          <w:szCs w:val="36"/>
        </w:rPr>
        <w:t xml:space="preserve">Premenstrual Symptoms: PMS and the Debate</w:t>
      </w:r>
    </w:p>
    <w:p>
      <w:pPr>
        <w:spacing w:after="160" w:before="0" w:line="320"/>
      </w:pPr>
      <w:r>
        <w:rPr>
          <w:rFonts w:ascii="Calibri" w:cs="Calibri" w:eastAsia="Calibri" w:hAnsi="Calibri"/>
          <w:b w:val="false"/>
          <w:bCs w:val="false"/>
          <w:i w:val="false"/>
          <w:iCs w:val="false"/>
          <w:sz w:val="22"/>
          <w:szCs w:val="22"/>
        </w:rPr>
        <w:t xml:space="preserve">Some women report that during the days leading up to their period, they feel irritable, sad, bloated, or just generally off. The popular name for this is </w:t>
      </w:r>
      <w:r>
        <w:rPr>
          <w:rFonts w:ascii="Calibri" w:cs="Calibri" w:eastAsia="Calibri" w:hAnsi="Calibri"/>
          <w:b/>
          <w:bCs/>
          <w:i w:val="false"/>
          <w:iCs w:val="false"/>
          <w:sz w:val="22"/>
          <w:szCs w:val="22"/>
        </w:rPr>
        <w:t xml:space="preserve">premenstrual syndrome</w:t>
      </w:r>
      <w:r>
        <w:rPr>
          <w:rFonts w:ascii="Calibri" w:cs="Calibri" w:eastAsia="Calibri" w:hAnsi="Calibri"/>
          <w:b w:val="false"/>
          <w:bCs w:val="false"/>
          <w:i w:val="false"/>
          <w:iCs w:val="false"/>
          <w:sz w:val="22"/>
          <w:szCs w:val="22"/>
        </w:rPr>
        <w:t xml:space="preserve">, or </w:t>
      </w:r>
      <w:r>
        <w:rPr>
          <w:rFonts w:ascii="Calibri" w:cs="Calibri" w:eastAsia="Calibri" w:hAnsi="Calibri"/>
          <w:b/>
          <w:bCs/>
          <w:i w:val="false"/>
          <w:iCs w:val="false"/>
          <w:sz w:val="22"/>
          <w:szCs w:val="22"/>
        </w:rPr>
        <w:t xml:space="preserve">PMS</w:t>
      </w:r>
      <w:r>
        <w:rPr>
          <w:rFonts w:ascii="Calibri" w:cs="Calibri" w:eastAsia="Calibri" w:hAnsi="Calibri"/>
          <w:b w:val="false"/>
          <w:bCs w:val="false"/>
          <w:i w:val="false"/>
          <w:iCs w:val="false"/>
          <w:sz w:val="22"/>
          <w:szCs w:val="22"/>
        </w:rPr>
        <w:t xml:space="preserve">. Over the past two decades, scientists have started studying the phenomenon in earnest.</w:t>
      </w:r>
    </w:p>
    <w:p>
      <w:pPr>
        <w:spacing w:after="160" w:before="0" w:line="320"/>
      </w:pPr>
      <w:r>
        <w:rPr>
          <w:rFonts w:ascii="Calibri" w:cs="Calibri" w:eastAsia="Calibri" w:hAnsi="Calibri"/>
          <w:sz w:val="22"/>
          <w:szCs w:val="22"/>
        </w:rPr>
        <w:t xml:space="preserve">A landmark study asked a random sample of women to fill out a short questionnaire every day for six months (Romans et al., 2013). The questionnaire mixed mood items with items about physical activity, social support, and stress, so the participants could not tell the study was specifically about menstruation. The results were striking. None of the positive mood items showed any cyclic pattern. Of the negative mood items, only two — sadness and irritability — varied across the cycle, and the differences were small. Overall mood was more strongly tied to stress, physical health, and social support than to where a woman was in her cycle. Such results, which have been replicated in other studies, point out that PMS symptoms can oftentimes just be natural variation in women’s mood and physiology that just so happen to come before menstruation.</w:t>
      </w:r>
    </w:p>
    <w:p>
      <w:pPr>
        <w:spacing w:after="160" w:before="0" w:line="320"/>
      </w:pPr>
      <w:r>
        <w:rPr>
          <w:rFonts w:ascii="Calibri" w:cs="Calibri" w:eastAsia="Calibri" w:hAnsi="Calibri"/>
          <w:b w:val="false"/>
          <w:bCs w:val="false"/>
          <w:i w:val="false"/>
          <w:iCs w:val="false"/>
          <w:sz w:val="22"/>
          <w:szCs w:val="22"/>
        </w:rPr>
        <w:t xml:space="preserve">These findings do not “disprove” the idea of PMS, though. While PMS symptoms appear to be light for most women, a small percentage experience significant cyclic mood changes. For the most severe cases, the Diagnostic and Statistical Manual of Mental Disorders (DSM-V) includes a diagnosis called </w:t>
      </w:r>
      <w:r>
        <w:rPr>
          <w:rFonts w:ascii="Calibri" w:cs="Calibri" w:eastAsia="Calibri" w:hAnsi="Calibri"/>
          <w:b/>
          <w:bCs/>
          <w:i w:val="false"/>
          <w:iCs w:val="false"/>
          <w:sz w:val="22"/>
          <w:szCs w:val="22"/>
        </w:rPr>
        <w:t xml:space="preserve">premenstrual dysphoric disorder (PMDD)</w:t>
      </w:r>
      <w:r>
        <w:rPr>
          <w:rFonts w:ascii="Calibri" w:cs="Calibri" w:eastAsia="Calibri" w:hAnsi="Calibri"/>
          <w:b w:val="false"/>
          <w:bCs w:val="false"/>
          <w:i w:val="false"/>
          <w:iCs w:val="false"/>
          <w:sz w:val="22"/>
          <w:szCs w:val="22"/>
        </w:rPr>
        <w:t xml:space="preserve">, which requires at least five specific symptoms severe enough to interfere with quality of life, occurring most months for the past year (American Psychiatric Association, 2013). PMDD affects about 3% of women nationally (Reilly et al., 2024).</w:t>
      </w:r>
    </w:p>
    <w:p>
      <w:pPr>
        <w:spacing w:after="160" w:before="0" w:line="320"/>
      </w:pPr>
      <w:r>
        <w:rPr>
          <w:rFonts w:ascii="Calibri" w:cs="Calibri" w:eastAsia="Calibri" w:hAnsi="Calibri"/>
          <w:sz w:val="22"/>
          <w:szCs w:val="22"/>
        </w:rPr>
        <w:t xml:space="preserve">So why does the belief in widespread PMS persist? Researchers point to a long cultural history of treating menstruation as dangerous, dirty, or shameful (Johnston-Robledo &amp; Chrisler, 2013). The book of Leviticus in the Bible declares a menstruating woman “unclean” for 7 days and contagious to anyone she touches. In rural parts of Nepal, a practice called chhaupadi still requires menstruating women to sleep in animal sheds outside the family home; deaths from exposure occur every year (Sharma &amp; Gettleman, 2018). Even in modern Western cultures, advertisements for menstrual products emphasize secrecy and freshness, as if the goal were to hide the period entirely.</w:t>
      </w:r>
    </w:p>
    <w:p>
      <w:pPr>
        <w:spacing w:after="160" w:before="0" w:line="320"/>
      </w:pPr>
      <w:r>
        <w:rPr>
          <w:rFonts w:ascii="Calibri" w:cs="Calibri" w:eastAsia="Calibri" w:hAnsi="Calibri"/>
          <w:sz w:val="22"/>
          <w:szCs w:val="22"/>
        </w:rPr>
        <w:t xml:space="preserve">A classic experiment by psychologist Diane Ruble (1977) showed just how much expectation drives the experience. College women were hooked up to what they were told was a new technology that could predict the date of their next period. One group was told their period was due in a day or two; another was told it was at least a week away. The “machine” did not actually work; women were assigned to one group or the other randomly. Women who believed they were premenstrual reported significantly more water retention, pain, and changes in eating than those who believed they were mid-cycle. Just thinking you are about to get your period can make you feel worse.</w:t>
      </w:r>
    </w:p>
    <w:p>
      <w:pPr>
        <w:spacing w:after="160" w:before="0" w:line="320"/>
      </w:pPr>
      <w:r>
        <w:rPr>
          <w:rFonts w:ascii="Calibri" w:cs="Calibri" w:eastAsia="Calibri" w:hAnsi="Calibri"/>
          <w:b w:val="false"/>
          <w:bCs w:val="false"/>
          <w:i w:val="false"/>
          <w:iCs w:val="false"/>
          <w:sz w:val="22"/>
          <w:szCs w:val="22"/>
        </w:rPr>
        <w:t xml:space="preserve">Not all cultures view menstruation negatively. Among many Indigenous cultures in North America, menstruation is honored as </w:t>
      </w:r>
      <w:r>
        <w:rPr>
          <w:rFonts w:ascii="Calibri" w:cs="Calibri" w:eastAsia="Calibri" w:hAnsi="Calibri"/>
          <w:b/>
          <w:bCs/>
          <w:i w:val="false"/>
          <w:iCs w:val="false"/>
          <w:sz w:val="22"/>
          <w:szCs w:val="22"/>
        </w:rPr>
        <w:t xml:space="preserve">Moon Time</w:t>
      </w:r>
      <w:r>
        <w:rPr>
          <w:rFonts w:ascii="Calibri" w:cs="Calibri" w:eastAsia="Calibri" w:hAnsi="Calibri"/>
          <w:b w:val="false"/>
          <w:bCs w:val="false"/>
          <w:i w:val="false"/>
          <w:iCs w:val="false"/>
          <w:sz w:val="22"/>
          <w:szCs w:val="22"/>
        </w:rPr>
        <w:t xml:space="preserve">, a powerful and sacred period in a woman’s life. Women traditionally gathered together in a Moon Lodge, where they were taught about birth, menopause, and the wisdom of older women in the community (McKenna et al., 2010). Some Indigenous women today are working to reclaim this view, which colonization disrupted.</w:t>
      </w:r>
    </w:p>
    <w:p>
      <w:pPr>
        <w:pStyle w:val="Heading1"/>
        <w:spacing w:after="220" w:before="360"/>
      </w:pPr>
      <w:r>
        <w:rPr>
          <w:rFonts w:ascii="Calibri" w:cs="Calibri" w:eastAsia="Calibri" w:hAnsi="Calibri"/>
          <w:b/>
          <w:bCs/>
          <w:color w:val="2E2E2E"/>
          <w:sz w:val="36"/>
          <w:szCs w:val="36"/>
        </w:rPr>
        <w:t xml:space="preserve">References</w:t>
      </w:r>
    </w:p>
    <w:p>
      <w:pPr>
        <w:spacing w:after="200" w:before="0" w:line="300"/>
        <w:ind w:left="720" w:hanging="720"/>
      </w:pPr>
      <w:r>
        <w:rPr>
          <w:rFonts w:ascii="Calibri" w:cs="Calibri" w:eastAsia="Calibri" w:hAnsi="Calibri"/>
          <w:i w:val="false"/>
          <w:iCs w:val="false"/>
          <w:sz w:val="22"/>
          <w:szCs w:val="22"/>
        </w:rPr>
        <w:t xml:space="preserve">American Psychiatric Association. (2013). </w:t>
      </w:r>
      <w:r>
        <w:rPr>
          <w:rFonts w:ascii="Calibri" w:cs="Calibri" w:eastAsia="Calibri" w:hAnsi="Calibri"/>
          <w:i/>
          <w:iCs/>
          <w:sz w:val="22"/>
          <w:szCs w:val="22"/>
        </w:rPr>
        <w:t xml:space="preserve">Diagnostic and statistical manual of mental disorders</w:t>
      </w:r>
      <w:r>
        <w:rPr>
          <w:rFonts w:ascii="Calibri" w:cs="Calibri" w:eastAsia="Calibri" w:hAnsi="Calibri"/>
          <w:i w:val="false"/>
          <w:iCs w:val="false"/>
          <w:sz w:val="22"/>
          <w:szCs w:val="22"/>
        </w:rPr>
        <w:t xml:space="preserve"> (5th ed.). https://doi.org/10.1176/appi.books.9780890425596</w:t>
      </w:r>
    </w:p>
    <w:p>
      <w:pPr>
        <w:spacing w:after="200" w:before="0" w:line="300"/>
        <w:ind w:left="720" w:hanging="720"/>
      </w:pPr>
      <w:r>
        <w:rPr>
          <w:rFonts w:ascii="Calibri" w:cs="Calibri" w:eastAsia="Calibri" w:hAnsi="Calibri"/>
          <w:i w:val="false"/>
          <w:iCs w:val="false"/>
          <w:sz w:val="22"/>
          <w:szCs w:val="22"/>
        </w:rPr>
        <w:t xml:space="preserve">Baker, F. C., Waner, J. I., Vieira, E. F., Taylor, S. R., Driver, H. S., &amp; Mitchell, D. (2002). Sleep and 24-hour body temperatures: A comparison in young men, naturally cycling women, and women taking hormonal contraceptives. </w:t>
      </w:r>
      <w:r>
        <w:rPr>
          <w:rFonts w:ascii="Calibri" w:cs="Calibri" w:eastAsia="Calibri" w:hAnsi="Calibri"/>
          <w:i/>
          <w:iCs/>
          <w:sz w:val="22"/>
          <w:szCs w:val="22"/>
        </w:rPr>
        <w:t xml:space="preserve">The Journal of Physiology, 530</w:t>
      </w:r>
      <w:r>
        <w:rPr>
          <w:rFonts w:ascii="Calibri" w:cs="Calibri" w:eastAsia="Calibri" w:hAnsi="Calibri"/>
          <w:i w:val="false"/>
          <w:iCs w:val="false"/>
          <w:sz w:val="22"/>
          <w:szCs w:val="22"/>
        </w:rPr>
        <w:t xml:space="preserve">(3), 565–574. https://doi.org/10.1111/j.1469-7793.2001.0565k.x</w:t>
      </w:r>
    </w:p>
    <w:p>
      <w:pPr>
        <w:spacing w:after="200" w:before="0" w:line="300"/>
        <w:ind w:left="720" w:hanging="720"/>
      </w:pPr>
      <w:r>
        <w:rPr>
          <w:rFonts w:ascii="Calibri" w:cs="Calibri" w:eastAsia="Calibri" w:hAnsi="Calibri"/>
          <w:i w:val="false"/>
          <w:iCs w:val="false"/>
          <w:sz w:val="22"/>
          <w:szCs w:val="22"/>
        </w:rPr>
        <w:t xml:space="preserve">Basson, R., Zdaniuk, B., &amp; Brotto, L. A. (2020). Psychological treatment of women with chronic pelvic pain. </w:t>
      </w:r>
      <w:r>
        <w:rPr>
          <w:rFonts w:ascii="Calibri" w:cs="Calibri" w:eastAsia="Calibri" w:hAnsi="Calibri"/>
          <w:i/>
          <w:iCs/>
          <w:sz w:val="22"/>
          <w:szCs w:val="22"/>
        </w:rPr>
        <w:t xml:space="preserve">Journal of Sexual Medicine, 17</w:t>
      </w:r>
      <w:r>
        <w:rPr>
          <w:rFonts w:ascii="Calibri" w:cs="Calibri" w:eastAsia="Calibri" w:hAnsi="Calibri"/>
          <w:i w:val="false"/>
          <w:iCs w:val="false"/>
          <w:sz w:val="22"/>
          <w:szCs w:val="22"/>
        </w:rPr>
        <w:t xml:space="preserve">(4), 794–803. https://doi.org/10.1016/j.jsxm.2019.12.020</w:t>
      </w:r>
    </w:p>
    <w:p>
      <w:pPr>
        <w:spacing w:after="200" w:before="0" w:line="300"/>
        <w:ind w:left="720" w:hanging="720"/>
      </w:pPr>
      <w:r>
        <w:rPr>
          <w:rFonts w:ascii="Calibri" w:cs="Calibri" w:eastAsia="Calibri" w:hAnsi="Calibri"/>
          <w:i w:val="false"/>
          <w:iCs w:val="false"/>
          <w:sz w:val="22"/>
          <w:szCs w:val="22"/>
        </w:rPr>
        <w:t xml:space="preserve">Deligeoroglou, E. (2000). Dysmenorrhea. </w:t>
      </w:r>
      <w:r>
        <w:rPr>
          <w:rFonts w:ascii="Calibri" w:cs="Calibri" w:eastAsia="Calibri" w:hAnsi="Calibri"/>
          <w:i/>
          <w:iCs/>
          <w:sz w:val="22"/>
          <w:szCs w:val="22"/>
        </w:rPr>
        <w:t xml:space="preserve">Annals of the New York Academy of Sciences, 900</w:t>
      </w:r>
      <w:r>
        <w:rPr>
          <w:rFonts w:ascii="Calibri" w:cs="Calibri" w:eastAsia="Calibri" w:hAnsi="Calibri"/>
          <w:i w:val="false"/>
          <w:iCs w:val="false"/>
          <w:sz w:val="22"/>
          <w:szCs w:val="22"/>
        </w:rPr>
        <w:t xml:space="preserve">, 237–244. https://doi.org/10.1111/j.1749-6632.2000.tb06235.x</w:t>
      </w:r>
    </w:p>
    <w:p>
      <w:pPr>
        <w:spacing w:after="200" w:before="0" w:line="300"/>
        <w:ind w:left="720" w:hanging="720"/>
      </w:pPr>
      <w:r>
        <w:rPr>
          <w:rFonts w:ascii="Calibri" w:cs="Calibri" w:eastAsia="Calibri" w:hAnsi="Calibri"/>
          <w:i w:val="false"/>
          <w:iCs w:val="false"/>
          <w:sz w:val="22"/>
          <w:szCs w:val="22"/>
        </w:rPr>
        <w:t xml:space="preserve">Geller, L., Rosen, J., Frankel, A., &amp; Goldenberg, G. (2014). Perimenstrual flare of adult acne. </w:t>
      </w:r>
      <w:r>
        <w:rPr>
          <w:rFonts w:ascii="Calibri" w:cs="Calibri" w:eastAsia="Calibri" w:hAnsi="Calibri"/>
          <w:i/>
          <w:iCs/>
          <w:sz w:val="22"/>
          <w:szCs w:val="22"/>
        </w:rPr>
        <w:t xml:space="preserve">The Journal of Clinical and Aesthetic Dermatology, 7</w:t>
      </w:r>
      <w:r>
        <w:rPr>
          <w:rFonts w:ascii="Calibri" w:cs="Calibri" w:eastAsia="Calibri" w:hAnsi="Calibri"/>
          <w:i w:val="false"/>
          <w:iCs w:val="false"/>
          <w:sz w:val="22"/>
          <w:szCs w:val="22"/>
        </w:rPr>
        <w:t xml:space="preserve">(8), 30–34.</w:t>
      </w:r>
    </w:p>
    <w:p>
      <w:pPr>
        <w:spacing w:after="200" w:before="0" w:line="300"/>
        <w:ind w:left="720" w:hanging="720"/>
      </w:pPr>
      <w:r>
        <w:rPr>
          <w:rFonts w:ascii="Calibri" w:cs="Calibri" w:eastAsia="Calibri" w:hAnsi="Calibri"/>
          <w:i w:val="false"/>
          <w:iCs w:val="false"/>
          <w:sz w:val="22"/>
          <w:szCs w:val="22"/>
        </w:rPr>
        <w:t xml:space="preserve">Hatcher, R. A., Trussell, J., Nelson, A. L., Cates, W., Stewart, F. H., &amp; Kowal, D. (2007). </w:t>
      </w:r>
      <w:r>
        <w:rPr>
          <w:rFonts w:ascii="Calibri" w:cs="Calibri" w:eastAsia="Calibri" w:hAnsi="Calibri"/>
          <w:i/>
          <w:iCs/>
          <w:sz w:val="22"/>
          <w:szCs w:val="22"/>
        </w:rPr>
        <w:t xml:space="preserve">Contraceptive technology</w:t>
      </w:r>
      <w:r>
        <w:rPr>
          <w:rFonts w:ascii="Calibri" w:cs="Calibri" w:eastAsia="Calibri" w:hAnsi="Calibri"/>
          <w:i w:val="false"/>
          <w:iCs w:val="false"/>
          <w:sz w:val="22"/>
          <w:szCs w:val="22"/>
        </w:rPr>
        <w:t xml:space="preserve"> (19th ed.). Ardent Media.</w:t>
      </w:r>
    </w:p>
    <w:p>
      <w:pPr>
        <w:spacing w:after="200" w:before="0" w:line="300"/>
        <w:ind w:left="720" w:hanging="720"/>
      </w:pPr>
      <w:r>
        <w:rPr>
          <w:rFonts w:ascii="Calibri" w:cs="Calibri" w:eastAsia="Calibri" w:hAnsi="Calibri"/>
          <w:i w:val="false"/>
          <w:iCs w:val="false"/>
          <w:sz w:val="22"/>
          <w:szCs w:val="22"/>
        </w:rPr>
        <w:t xml:space="preserve">Johnston-Robledo, I., &amp; Chrisler, J. C. (2013). The menstrual mark: Menstruation as social stigma. </w:t>
      </w:r>
      <w:r>
        <w:rPr>
          <w:rFonts w:ascii="Calibri" w:cs="Calibri" w:eastAsia="Calibri" w:hAnsi="Calibri"/>
          <w:i/>
          <w:iCs/>
          <w:sz w:val="22"/>
          <w:szCs w:val="22"/>
        </w:rPr>
        <w:t xml:space="preserve">Sex Roles, 68</w:t>
      </w:r>
      <w:r>
        <w:rPr>
          <w:rFonts w:ascii="Calibri" w:cs="Calibri" w:eastAsia="Calibri" w:hAnsi="Calibri"/>
          <w:i w:val="false"/>
          <w:iCs w:val="false"/>
          <w:sz w:val="22"/>
          <w:szCs w:val="22"/>
        </w:rPr>
        <w:t xml:space="preserve">(1–2), 9–18. https://doi.org/10.1007/s11199-011-0052-z</w:t>
      </w:r>
    </w:p>
    <w:p>
      <w:pPr>
        <w:spacing w:after="200" w:before="0" w:line="300"/>
        <w:ind w:left="720" w:hanging="720"/>
      </w:pPr>
      <w:r>
        <w:rPr>
          <w:rFonts w:ascii="Calibri" w:cs="Calibri" w:eastAsia="Calibri" w:hAnsi="Calibri"/>
          <w:i w:val="false"/>
          <w:iCs w:val="false"/>
          <w:sz w:val="22"/>
          <w:szCs w:val="22"/>
        </w:rPr>
        <w:t xml:space="preserve">McKenna, K., Anderson, K., &amp; Lavell-Harvard, D. M. (2010). Honouring our missâbewak. In D. M. Lavell-Harvard &amp; J. C. Lavell (Eds.), </w:t>
      </w:r>
      <w:r>
        <w:rPr>
          <w:rFonts w:ascii="Calibri" w:cs="Calibri" w:eastAsia="Calibri" w:hAnsi="Calibri"/>
          <w:i/>
          <w:iCs/>
          <w:sz w:val="22"/>
          <w:szCs w:val="22"/>
        </w:rPr>
        <w:t xml:space="preserve">Until our hearts are on the ground: Aboriginal mothering, oppression, resistance and rebirth</w:t>
      </w:r>
      <w:r>
        <w:rPr>
          <w:rFonts w:ascii="Calibri" w:cs="Calibri" w:eastAsia="Calibri" w:hAnsi="Calibri"/>
          <w:i w:val="false"/>
          <w:iCs w:val="false"/>
          <w:sz w:val="22"/>
          <w:szCs w:val="22"/>
        </w:rPr>
        <w:t xml:space="preserve"> (pp. 224–237). Demeter Press.</w:t>
      </w:r>
    </w:p>
    <w:p>
      <w:pPr>
        <w:spacing w:after="200" w:before="0" w:line="300"/>
        <w:ind w:left="720" w:hanging="720"/>
      </w:pPr>
      <w:r>
        <w:rPr>
          <w:rFonts w:ascii="Calibri" w:cs="Calibri" w:eastAsia="Calibri" w:hAnsi="Calibri"/>
          <w:i w:val="false"/>
          <w:iCs w:val="false"/>
          <w:sz w:val="22"/>
          <w:szCs w:val="22"/>
        </w:rPr>
        <w:t xml:space="preserve">Reilly, T. J., Patel, S., Unachukwu, I. C., Knox, C.-L., Wilson, C. A., Craig, M. C., Schmalenberger, K. M., Eisenlohr-Moul, T. A., &amp; Cullen, A. E. (2024). The prevalence of premenstrual dysphoric disorder: Systematic review and meta-analysis. </w:t>
      </w:r>
      <w:r>
        <w:rPr>
          <w:rFonts w:ascii="Calibri" w:cs="Calibri" w:eastAsia="Calibri" w:hAnsi="Calibri"/>
          <w:i/>
          <w:iCs/>
          <w:sz w:val="22"/>
          <w:szCs w:val="22"/>
        </w:rPr>
        <w:t xml:space="preserve">Journal of Affective Disorders, 349</w:t>
      </w:r>
      <w:r>
        <w:rPr>
          <w:rFonts w:ascii="Calibri" w:cs="Calibri" w:eastAsia="Calibri" w:hAnsi="Calibri"/>
          <w:i w:val="false"/>
          <w:iCs w:val="false"/>
          <w:sz w:val="22"/>
          <w:szCs w:val="22"/>
        </w:rPr>
        <w:t xml:space="preserve">, 534–540. https://doi.org/10.1016/j.jad.2024.01.066</w:t>
      </w:r>
    </w:p>
    <w:p>
      <w:pPr>
        <w:spacing w:after="200" w:before="0" w:line="300"/>
        <w:ind w:left="720" w:hanging="720"/>
      </w:pPr>
      <w:r>
        <w:rPr>
          <w:rFonts w:ascii="Calibri" w:cs="Calibri" w:eastAsia="Calibri" w:hAnsi="Calibri"/>
          <w:i w:val="false"/>
          <w:iCs w:val="false"/>
          <w:sz w:val="22"/>
          <w:szCs w:val="22"/>
        </w:rPr>
        <w:t xml:space="preserve">Romans, S., Clarkson, R., Einstein, G., Petrovic, M., &amp; Stewart, D. (2013). Mood and the menstrual cycle: A review of prospective data studies. </w:t>
      </w:r>
      <w:r>
        <w:rPr>
          <w:rFonts w:ascii="Calibri" w:cs="Calibri" w:eastAsia="Calibri" w:hAnsi="Calibri"/>
          <w:i/>
          <w:iCs/>
          <w:sz w:val="22"/>
          <w:szCs w:val="22"/>
        </w:rPr>
        <w:t xml:space="preserve">Gender Medicine, 9</w:t>
      </w:r>
      <w:r>
        <w:rPr>
          <w:rFonts w:ascii="Calibri" w:cs="Calibri" w:eastAsia="Calibri" w:hAnsi="Calibri"/>
          <w:i w:val="false"/>
          <w:iCs w:val="false"/>
          <w:sz w:val="22"/>
          <w:szCs w:val="22"/>
        </w:rPr>
        <w:t xml:space="preserve">(5), 361–384. https://doi.org/10.1016/j.genm.2012.07.003</w:t>
      </w:r>
    </w:p>
    <w:p>
      <w:pPr>
        <w:spacing w:after="200" w:before="0" w:line="300"/>
        <w:ind w:left="720" w:hanging="720"/>
      </w:pPr>
      <w:r>
        <w:rPr>
          <w:rFonts w:ascii="Calibri" w:cs="Calibri" w:eastAsia="Calibri" w:hAnsi="Calibri"/>
          <w:i w:val="false"/>
          <w:iCs w:val="false"/>
          <w:sz w:val="22"/>
          <w:szCs w:val="22"/>
        </w:rPr>
        <w:t xml:space="preserve">Ruble, D. N. (1977). Premenstrual symptoms: A reinterpretation. </w:t>
      </w:r>
      <w:r>
        <w:rPr>
          <w:rFonts w:ascii="Calibri" w:cs="Calibri" w:eastAsia="Calibri" w:hAnsi="Calibri"/>
          <w:i/>
          <w:iCs/>
          <w:sz w:val="22"/>
          <w:szCs w:val="22"/>
        </w:rPr>
        <w:t xml:space="preserve">Science, 197</w:t>
      </w:r>
      <w:r>
        <w:rPr>
          <w:rFonts w:ascii="Calibri" w:cs="Calibri" w:eastAsia="Calibri" w:hAnsi="Calibri"/>
          <w:i w:val="false"/>
          <w:iCs w:val="false"/>
          <w:sz w:val="22"/>
          <w:szCs w:val="22"/>
        </w:rPr>
        <w:t xml:space="preserve">(4300), 291–292. https://doi.org/10.1126/science.560058</w:t>
      </w:r>
    </w:p>
    <w:p>
      <w:pPr>
        <w:spacing w:after="200" w:before="0" w:line="300"/>
        <w:ind w:left="720" w:hanging="720"/>
      </w:pPr>
      <w:r>
        <w:rPr>
          <w:rFonts w:ascii="Calibri" w:cs="Calibri" w:eastAsia="Calibri" w:hAnsi="Calibri"/>
          <w:i w:val="false"/>
          <w:iCs w:val="false"/>
          <w:sz w:val="22"/>
          <w:szCs w:val="22"/>
        </w:rPr>
        <w:t xml:space="preserve">Schmidt, P. J., Nieman, L. K., Danaceau, M. A., Adams, L. F., &amp; Rubinow, D. R. (1998). Differential behavioral effects of gonadal steroids in women with and in those without premenstrual syndrome. </w:t>
      </w:r>
      <w:r>
        <w:rPr>
          <w:rFonts w:ascii="Calibri" w:cs="Calibri" w:eastAsia="Calibri" w:hAnsi="Calibri"/>
          <w:i/>
          <w:iCs/>
          <w:sz w:val="22"/>
          <w:szCs w:val="22"/>
        </w:rPr>
        <w:t xml:space="preserve">New England Journal of Medicine, 338</w:t>
      </w:r>
      <w:r>
        <w:rPr>
          <w:rFonts w:ascii="Calibri" w:cs="Calibri" w:eastAsia="Calibri" w:hAnsi="Calibri"/>
          <w:i w:val="false"/>
          <w:iCs w:val="false"/>
          <w:sz w:val="22"/>
          <w:szCs w:val="22"/>
        </w:rPr>
        <w:t xml:space="preserve">(4), 209–216. https://doi.org/10.1056/NEJM199801223380401</w:t>
      </w:r>
    </w:p>
    <w:p>
      <w:pPr>
        <w:spacing w:after="200" w:before="0" w:line="300"/>
        <w:ind w:left="720" w:hanging="720"/>
      </w:pPr>
      <w:r>
        <w:rPr>
          <w:rFonts w:ascii="Calibri" w:cs="Calibri" w:eastAsia="Calibri" w:hAnsi="Calibri"/>
          <w:i w:val="false"/>
          <w:iCs w:val="false"/>
          <w:sz w:val="22"/>
          <w:szCs w:val="22"/>
        </w:rPr>
        <w:t xml:space="preserve">Sharma, B., &amp; Gettleman, J. (2018, January 11). A teenager died in Nepal after being banished for menstruating. </w:t>
      </w:r>
      <w:r>
        <w:rPr>
          <w:rFonts w:ascii="Calibri" w:cs="Calibri" w:eastAsia="Calibri" w:hAnsi="Calibri"/>
          <w:i/>
          <w:iCs/>
          <w:sz w:val="22"/>
          <w:szCs w:val="22"/>
        </w:rPr>
        <w:t xml:space="preserve">The New York Times</w:t>
      </w:r>
      <w:r>
        <w:rPr>
          <w:rFonts w:ascii="Calibri" w:cs="Calibri" w:eastAsia="Calibri" w:hAnsi="Calibri"/>
          <w:i w:val="false"/>
          <w:iCs w:val="false"/>
          <w:sz w:val="22"/>
          <w:szCs w:val="22"/>
        </w:rPr>
        <w:t xml:space="preserve">. https://www.nytimes.com/2018/01/11/world/asia/nepal-woman-period-died.html</w:t>
      </w:r>
    </w:p>
    <w:p>
      <w:pPr>
        <w:spacing w:after="200" w:before="0" w:line="300"/>
        <w:ind w:left="720" w:hanging="720"/>
      </w:pPr>
      <w:r>
        <w:rPr>
          <w:rFonts w:ascii="Calibri" w:cs="Calibri" w:eastAsia="Calibri" w:hAnsi="Calibri"/>
          <w:i w:val="false"/>
          <w:iCs w:val="false"/>
          <w:sz w:val="22"/>
          <w:szCs w:val="22"/>
        </w:rPr>
        <w:t xml:space="preserve">Wilcox, A. J., Dunson, D., &amp; Baird, D. D. (2000). The timing of the “fertile window” in the menstrual cycle: Day specific estimates from a prospective study. </w:t>
      </w:r>
      <w:r>
        <w:rPr>
          <w:rFonts w:ascii="Calibri" w:cs="Calibri" w:eastAsia="Calibri" w:hAnsi="Calibri"/>
          <w:i/>
          <w:iCs/>
          <w:sz w:val="22"/>
          <w:szCs w:val="22"/>
        </w:rPr>
        <w:t xml:space="preserve">BMJ, 321</w:t>
      </w:r>
      <w:r>
        <w:rPr>
          <w:rFonts w:ascii="Calibri" w:cs="Calibri" w:eastAsia="Calibri" w:hAnsi="Calibri"/>
          <w:i w:val="false"/>
          <w:iCs w:val="false"/>
          <w:sz w:val="22"/>
          <w:szCs w:val="22"/>
        </w:rPr>
        <w:t xml:space="preserve">(7271), 1259–1262. https://doi.org/10.1136/bmj.321.7271.1259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Calibri" w:cs="Calibri" w:eastAsia="Calibri" w:hAnsi="Calibri"/>
      <w:b/>
      <w:bCs/>
      <w:color w:val="2E2E2E"/>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Menstruation</dc:title>
  <dc:creator>Claude</dc:creator>
  <cp:lastModifiedBy>Un-named</cp:lastModifiedBy>
  <cp:revision>1</cp:revision>
  <dcterms:created xsi:type="dcterms:W3CDTF">2026-05-27T22:13:43.333Z</dcterms:created>
  <dcterms:modified xsi:type="dcterms:W3CDTF">2026-05-27T22:13:43.333Z</dcterms:modified>
</cp:coreProperties>
</file>

<file path=docProps/custom.xml><?xml version="1.0" encoding="utf-8"?>
<Properties xmlns="http://schemas.openxmlformats.org/officeDocument/2006/custom-properties" xmlns:vt="http://schemas.openxmlformats.org/officeDocument/2006/docPropsVTypes"/>
</file>