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Hook-Up Game</w:t>
      </w:r>
    </w:p>
    <w:p>
      <w:pPr>
        <w:spacing w:after="80"/>
      </w:pPr>
      <w:r>
        <w:rPr>
          <w:b/>
          <w:bCs/>
          <w:color w:val="E6552E"/>
          <w:sz w:val="30"/>
          <w:szCs w:val="30"/>
        </w:rPr>
        <w:t xml:space="preserve">Art Direction &amp; ChatGPT Image-Prompt Pack</w:t>
      </w:r>
    </w:p>
    <w:p>
      <w:pPr>
        <w:spacing w:after="240"/>
      </w:pPr>
      <w:r>
        <w:rPr>
          <w:i/>
          <w:iCs/>
          <w:color w:val="444444"/>
          <w:sz w:val="22"/>
          <w:szCs w:val="22"/>
        </w:rPr>
        <w:t xml:space="preserve">A cohesive bespoke illustration system for an educational STI-risk web app for young adults.</w:t>
      </w:r>
    </w:p>
    <w:p>
      <w:pPr>
        <w:pBdr>
          <w:bottom w:val="single" w:color="3E92A8" w:sz="12" w:space="1"/>
        </w:pBdr>
        <w:spacing w:after="200"/>
      </w:pPr>
    </w:p>
    <w:p>
      <w:pPr>
        <w:spacing w:after="120" w:line="276"/>
      </w:pPr>
      <w:r>
        <w:rPr>
          <w:b/>
          <w:bCs/>
        </w:rPr>
        <w:t xml:space="preserve">How to use this document. </w:t>
      </w:r>
      <w:r>
        <w:t xml:space="preserve">Each numbered entry below is a ready-to-paste prompt for ChatGPT's image generator. They all share one visual DNA (see the Master Style System) so the finished set looks like a single designer drew them. For best results, generate them in one continuous ChatGPT conversation: paste the Master Style Prompt first, let it confirm, then paste each numbered prompt one at a time. Re-paste the style block every 4–5 images to keep ChatGPT from drifting.</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Master Style System</w:t>
      </w:r>
    </w:p>
    <w:p>
      <w:pPr>
        <w:spacing w:after="120" w:line="276"/>
      </w:pPr>
      <w:r>
        <w:t xml:space="preserve">Everything in the app is drawn in one flat, modern editorial style: </w:t>
      </w:r>
      <w:r>
        <w:rPr>
          <w:b/>
          <w:bCs/>
        </w:rPr>
        <w:t xml:space="preserve">bold black outlines, flat color, no gradients, no 3D, no photo-realism</w:t>
      </w:r>
      <w:r>
        <w:t xml:space="preserve"> — the look of the four reference images you supplied. Friendly and clean rather than clinical or scary, since the goal is to educate young adults without shaming them.</w:t>
      </w:r>
    </w:p>
    <w:p>
      <w:pPr>
        <w:pStyle w:val="Heading2"/>
      </w:pPr>
      <w:r>
        <w:t xml:space="preserve">1.1  Color palette</w:t>
      </w:r>
    </w:p>
    <w:p>
      <w:pPr>
        <w:spacing w:after="120" w:line="276"/>
      </w:pPr>
      <w:r>
        <w:t xml:space="preserve">Use these six colors and nothing else. Black is reserved for outlines; peach is the default canvas; teal-blue and coral are the workhorse fills; lavender and sage are secondary 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shd w:fill="F4D9BD"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Peach</w:t>
            </w:r>
          </w:p>
          <w:p>
            <w:r>
              <w:rPr>
                <w:color w:val="8A8A8A"/>
                <w:sz w:val="20"/>
                <w:szCs w:val="20"/>
              </w:rPr>
              <w:t xml:space="preserve">#F4D9BD</w:t>
            </w:r>
          </w:p>
        </w:tc>
        <w:tc>
          <w:tcPr>
            <w:tcW w:type="dxa" w:w="5960"/>
            <w:tcMar>
              <w:top w:type="dxa" w:w="80"/>
              <w:left w:type="dxa" w:w="120"/>
              <w:bottom w:type="dxa" w:w="80"/>
              <w:right w:type="dxa" w:w="120"/>
            </w:tcMar>
          </w:tcPr>
          <w:p>
            <w:r>
              <w:t xml:space="preserve">Primary background / canvas. The default page and card color.</w:t>
            </w:r>
          </w:p>
        </w:tc>
      </w:tr>
      <w:tr>
        <w:tc>
          <w:tcPr>
            <w:tcW w:type="dxa" w:w="1400"/>
            <w:shd w:fill="3E92A8"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Teal-blue</w:t>
            </w:r>
          </w:p>
          <w:p>
            <w:r>
              <w:rPr>
                <w:color w:val="8A8A8A"/>
                <w:sz w:val="20"/>
                <w:szCs w:val="20"/>
              </w:rPr>
              <w:t xml:space="preserve">#3E92A8</w:t>
            </w:r>
          </w:p>
        </w:tc>
        <w:tc>
          <w:tcPr>
            <w:tcW w:type="dxa" w:w="5960"/>
            <w:tcMar>
              <w:top w:type="dxa" w:w="80"/>
              <w:left w:type="dxa" w:w="120"/>
              <w:bottom w:type="dxa" w:w="80"/>
              <w:right w:type="dxa" w:w="120"/>
            </w:tcMar>
          </w:tcPr>
          <w:p>
            <w:r>
              <w:t xml:space="preserve">Primary fill — clothing, large shapes, key UI illustration color.</w:t>
            </w:r>
          </w:p>
        </w:tc>
      </w:tr>
      <w:tr>
        <w:tc>
          <w:tcPr>
            <w:tcW w:type="dxa" w:w="1400"/>
            <w:shd w:fill="E6552E"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Red-orange</w:t>
            </w:r>
          </w:p>
          <w:p>
            <w:r>
              <w:rPr>
                <w:color w:val="8A8A8A"/>
                <w:sz w:val="20"/>
                <w:szCs w:val="20"/>
              </w:rPr>
              <w:t xml:space="preserve">#E6552E</w:t>
            </w:r>
          </w:p>
        </w:tc>
        <w:tc>
          <w:tcPr>
            <w:tcW w:type="dxa" w:w="5960"/>
            <w:tcMar>
              <w:top w:type="dxa" w:w="80"/>
              <w:left w:type="dxa" w:w="120"/>
              <w:bottom w:type="dxa" w:w="80"/>
              <w:right w:type="dxa" w:w="120"/>
            </w:tcMar>
          </w:tcPr>
          <w:p>
            <w:r>
              <w:t xml:space="preserve">Accent — highlights, alerts, the 'risk' moments, small pops.</w:t>
            </w:r>
          </w:p>
        </w:tc>
      </w:tr>
      <w:tr>
        <w:tc>
          <w:tcPr>
            <w:tcW w:type="dxa" w:w="1400"/>
            <w:shd w:fill="C8B7E8"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Lavender</w:t>
            </w:r>
          </w:p>
          <w:p>
            <w:r>
              <w:rPr>
                <w:color w:val="8A8A8A"/>
                <w:sz w:val="20"/>
                <w:szCs w:val="20"/>
              </w:rPr>
              <w:t xml:space="preserve">#C8B7E8</w:t>
            </w:r>
          </w:p>
        </w:tc>
        <w:tc>
          <w:tcPr>
            <w:tcW w:type="dxa" w:w="5960"/>
            <w:tcMar>
              <w:top w:type="dxa" w:w="80"/>
              <w:left w:type="dxa" w:w="120"/>
              <w:bottom w:type="dxa" w:w="80"/>
              <w:right w:type="dxa" w:w="120"/>
            </w:tcMar>
          </w:tcPr>
          <w:p>
            <w:r>
              <w:t xml:space="preserve">Secondary background for alternate panels / result screens.</w:t>
            </w:r>
          </w:p>
        </w:tc>
      </w:tr>
      <w:tr>
        <w:tc>
          <w:tcPr>
            <w:tcW w:type="dxa" w:w="1400"/>
            <w:shd w:fill="D7E0C4"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Sage green</w:t>
            </w:r>
          </w:p>
          <w:p>
            <w:r>
              <w:rPr>
                <w:color w:val="8A8A8A"/>
                <w:sz w:val="20"/>
                <w:szCs w:val="20"/>
              </w:rPr>
              <w:t xml:space="preserve">#D7E0C4</w:t>
            </w:r>
          </w:p>
        </w:tc>
        <w:tc>
          <w:tcPr>
            <w:tcW w:type="dxa" w:w="5960"/>
            <w:tcMar>
              <w:top w:type="dxa" w:w="80"/>
              <w:left w:type="dxa" w:w="120"/>
              <w:bottom w:type="dxa" w:w="80"/>
              <w:right w:type="dxa" w:w="120"/>
            </w:tcMar>
          </w:tcPr>
          <w:p>
            <w:r>
              <w:t xml:space="preserve">Secondary background for calmer / 'safe' screens.</w:t>
            </w:r>
          </w:p>
        </w:tc>
      </w:tr>
      <w:tr>
        <w:tc>
          <w:tcPr>
            <w:tcW w:type="dxa" w:w="1400"/>
            <w:shd w:fill="FBF6EE"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Off-white</w:t>
            </w:r>
          </w:p>
          <w:p>
            <w:r>
              <w:rPr>
                <w:color w:val="8A8A8A"/>
                <w:sz w:val="20"/>
                <w:szCs w:val="20"/>
              </w:rPr>
              <w:t xml:space="preserve">#FBF6EE</w:t>
            </w:r>
          </w:p>
        </w:tc>
        <w:tc>
          <w:tcPr>
            <w:tcW w:type="dxa" w:w="5960"/>
            <w:tcMar>
              <w:top w:type="dxa" w:w="80"/>
              <w:left w:type="dxa" w:w="120"/>
              <w:bottom w:type="dxa" w:w="80"/>
              <w:right w:type="dxa" w:w="120"/>
            </w:tcMar>
          </w:tcPr>
          <w:p>
            <w:r>
              <w:t xml:space="preserve">Highlights, paper, negative space inside shapes.</w:t>
            </w:r>
          </w:p>
        </w:tc>
      </w:tr>
      <w:tr>
        <w:tc>
          <w:tcPr>
            <w:tcW w:type="dxa" w:w="1400"/>
            <w:shd w:fill="1A1A1A" w:val="clear"/>
            <w:tcMar>
              <w:top w:type="dxa" w:w="140"/>
              <w:left w:type="dxa" w:w="120"/>
              <w:bottom w:type="dxa" w:w="140"/>
              <w:right w:type="dxa" w:w="120"/>
            </w:tcMar>
          </w:tcPr>
          <w:p/>
        </w:tc>
        <w:tc>
          <w:tcPr>
            <w:tcW w:type="dxa" w:w="2000"/>
            <w:tcMar>
              <w:top w:type="dxa" w:w="80"/>
              <w:left w:type="dxa" w:w="120"/>
              <w:bottom w:type="dxa" w:w="80"/>
              <w:right w:type="dxa" w:w="120"/>
            </w:tcMar>
          </w:tcPr>
          <w:p>
            <w:r>
              <w:rPr>
                <w:b/>
                <w:bCs/>
              </w:rPr>
              <w:t xml:space="preserve">Near-black</w:t>
            </w:r>
          </w:p>
          <w:p>
            <w:r>
              <w:rPr>
                <w:color w:val="8A8A8A"/>
                <w:sz w:val="20"/>
                <w:szCs w:val="20"/>
              </w:rPr>
              <w:t xml:space="preserve">#1A1A1A</w:t>
            </w:r>
          </w:p>
        </w:tc>
        <w:tc>
          <w:tcPr>
            <w:tcW w:type="dxa" w:w="5960"/>
            <w:tcMar>
              <w:top w:type="dxa" w:w="80"/>
              <w:left w:type="dxa" w:w="120"/>
              <w:bottom w:type="dxa" w:w="80"/>
              <w:right w:type="dxa" w:w="120"/>
            </w:tcMar>
          </w:tcPr>
          <w:p>
            <w:r>
              <w:t xml:space="preserve">ALL outlines, linework, hair, and fine detail. Never pure #000.</w:t>
            </w:r>
          </w:p>
        </w:tc>
      </w:tr>
    </w:tbl>
    <w:p>
      <w:pPr>
        <w:pStyle w:val="Heading2"/>
      </w:pPr>
      <w:r>
        <w:t xml:space="preserve">1.2  Line &amp; form rules</w:t>
      </w:r>
    </w:p>
    <w:p>
      <w:pPr>
        <w:pStyle w:val="ListParagraph"/>
        <w:numPr>
          <w:ilvl w:val="0"/>
          <w:numId w:val="2"/>
        </w:numPr>
        <w:spacing w:after="60" w:line="264"/>
      </w:pPr>
      <w:r>
        <w:rPr>
          <w:b/>
          <w:bCs/>
        </w:rPr>
        <w:t xml:space="preserve">Outlines: </w:t>
      </w:r>
      <w:r>
        <w:t xml:space="preserve">uniform-weight bold black strokes on every shape, like a felt-tip pen. Consistent thickness throughout.</w:t>
      </w:r>
    </w:p>
    <w:p>
      <w:pPr>
        <w:pStyle w:val="ListParagraph"/>
        <w:numPr>
          <w:ilvl w:val="0"/>
          <w:numId w:val="2"/>
        </w:numPr>
        <w:spacing w:after="60" w:line="264"/>
      </w:pPr>
      <w:r>
        <w:rPr>
          <w:b/>
          <w:bCs/>
        </w:rPr>
        <w:t xml:space="preserve">Fills: </w:t>
      </w:r>
      <w:r>
        <w:t xml:space="preserve">100% flat — no gradients, no drop shadows, no texture, no cross-hatching.</w:t>
      </w:r>
    </w:p>
    <w:p>
      <w:pPr>
        <w:pStyle w:val="ListParagraph"/>
        <w:numPr>
          <w:ilvl w:val="0"/>
          <w:numId w:val="2"/>
        </w:numPr>
        <w:spacing w:after="60" w:line="264"/>
      </w:pPr>
      <w:r>
        <w:rPr>
          <w:b/>
          <w:bCs/>
        </w:rPr>
        <w:t xml:space="preserve">Faces: </w:t>
      </w:r>
      <w:r>
        <w:t xml:space="preserve">minimal and geometric — dot or short-line eyes, tiny nose, simple mouth. Often calm or gently smiling.</w:t>
      </w:r>
    </w:p>
    <w:p>
      <w:pPr>
        <w:pStyle w:val="ListParagraph"/>
        <w:numPr>
          <w:ilvl w:val="0"/>
          <w:numId w:val="2"/>
        </w:numPr>
        <w:spacing w:after="60" w:line="264"/>
      </w:pPr>
      <w:r>
        <w:rPr>
          <w:b/>
          <w:bCs/>
        </w:rPr>
        <w:t xml:space="preserve">Bodies: </w:t>
      </w:r>
      <w:r>
        <w:t xml:space="preserve">slightly stylized and elongated, relaxed everyday poses (sitting, leaning, standing, on a phone).</w:t>
      </w:r>
    </w:p>
    <w:p>
      <w:pPr>
        <w:pStyle w:val="ListParagraph"/>
        <w:numPr>
          <w:ilvl w:val="0"/>
          <w:numId w:val="2"/>
        </w:numPr>
        <w:spacing w:after="60" w:line="264"/>
      </w:pPr>
      <w:r>
        <w:rPr>
          <w:b/>
          <w:bCs/>
        </w:rPr>
        <w:t xml:space="preserve">Accents: </w:t>
      </w:r>
      <w:r>
        <w:t xml:space="preserve">small decorative marks — dashes, dots, squiggles, little plants, motion lines — to fill negative space.</w:t>
      </w:r>
    </w:p>
    <w:p>
      <w:pPr>
        <w:pStyle w:val="ListParagraph"/>
        <w:numPr>
          <w:ilvl w:val="0"/>
          <w:numId w:val="2"/>
        </w:numPr>
        <w:spacing w:after="60" w:line="264"/>
      </w:pPr>
      <w:r>
        <w:rPr>
          <w:b/>
          <w:bCs/>
        </w:rPr>
        <w:t xml:space="preserve">Diversity: </w:t>
      </w:r>
      <w:r>
        <w:t xml:space="preserve">vary hair (bun, curls, short, wavy), skin tone (rendered as flat outline-only or a single muted flat fill), glasses, body types. Keep it inclusive.</w:t>
      </w:r>
    </w:p>
    <w:p>
      <w:pPr>
        <w:pStyle w:val="ListParagraph"/>
        <w:numPr>
          <w:ilvl w:val="0"/>
          <w:numId w:val="2"/>
        </w:numPr>
        <w:spacing w:after="60" w:line="264"/>
      </w:pPr>
      <w:r>
        <w:rPr>
          <w:b/>
          <w:bCs/>
        </w:rPr>
        <w:t xml:space="preserve">Composition: </w:t>
      </w:r>
      <w:r>
        <w:t xml:space="preserve">centered subject, lots of clean empty margin, transparent or single flat-color background per asset.</w:t>
      </w:r>
    </w:p>
    <w:p>
      <w:pPr>
        <w:pStyle w:val="ListParagraph"/>
        <w:numPr>
          <w:ilvl w:val="0"/>
          <w:numId w:val="2"/>
        </w:numPr>
        <w:spacing w:after="60" w:line="264"/>
      </w:pPr>
      <w:r>
        <w:rPr>
          <w:b/>
          <w:bCs/>
        </w:rPr>
        <w:t xml:space="preserve">Never: </w:t>
      </w:r>
      <w:r>
        <w:t xml:space="preserve">no text/letters/numbers baked into art, no realistic anatomy, no nudity, no gore, no watermarks, no gradients.</w:t>
      </w:r>
    </w:p>
    <w:p>
      <w:pPr>
        <w:pStyle w:val="Heading2"/>
      </w:pPr>
      <w:r>
        <w:t xml:space="preserve">1.3  Tone</w:t>
      </w:r>
    </w:p>
    <w:p>
      <w:pPr>
        <w:spacing w:after="120" w:line="276"/>
      </w:pPr>
      <w:r>
        <w:t xml:space="preserve">Warm, modern, non-judgmental, a little playful. This is sexual-health education, not a horror lesson — even the 'you contracted an STI' outcome art should feel matter-of-fact and supportive, pointing the student toward testing and care rather than shame.</w:t>
      </w:r>
    </w:p>
    <w:p>
      <w:pPr>
        <w:pStyle w:val="Heading2"/>
      </w:pPr>
      <w:r>
        <w:t xml:space="preserve">1.4  Master Style Prompt (paste this FIRST in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7E0C4" w:val="clear"/>
            <w:tcMar>
              <w:top w:type="dxa" w:w="160"/>
              <w:left w:type="dxa" w:w="160"/>
              <w:bottom w:type="dxa" w:w="160"/>
              <w:right w:type="dxa" w:w="160"/>
            </w:tcMar>
          </w:tcPr>
          <w:p>
            <w:pPr>
              <w:spacing w:after="80"/>
            </w:pPr>
            <w:r>
              <w:rPr>
                <w:b/>
                <w:bCs/>
                <w:color w:val="E6552E"/>
                <w:sz w:val="19"/>
                <w:szCs w:val="19"/>
              </w:rPr>
              <w:t xml:space="preserve">MASTER STYLE PROMPT</w:t>
            </w:r>
          </w:p>
          <w:p>
            <w:r>
              <w:rPr>
                <w:sz w:val="21"/>
                <w:szCs w:val="21"/>
              </w:rPr>
              <w:t xml:space="preserve">I'm going to ask you to generate a series of illustrations for an educational web app. They MUST all share one consistent visual style. Hold this style for every image I request: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Confirm you understand, and from now on apply this style to every image I describe, only changing the subject I name.</w:t>
            </w:r>
          </w:p>
        </w:tc>
      </w:tr>
    </w:tbl>
    <w:p>
      <w:pPr>
        <w:spacing w:after="120" w:line="276"/>
      </w:pPr>
      <w:r>
        <w:rPr>
          <w:b/>
          <w:bCs/>
        </w:rPr>
        <w:t xml:space="preserve">Reminder shorthand. </w:t>
      </w:r>
      <w:r>
        <w:t xml:space="preserve">Each prompt below ends with “[STYLE]”. That's your cue to append the Master Style Prompt's style sentence again if ChatGPT starts drifting. Every prompt is otherwise self-contained.</w:t>
      </w:r>
    </w:p>
    <w:p>
      <w:r>
        <w:br w:type="page"/>
      </w:r>
    </w:p>
    <w:p>
      <w:pPr>
        <w:pStyle w:val="Heading1"/>
      </w:pPr>
      <w:r>
        <w:t xml:space="preserve">2  ·  Brand &amp; Global Assets</w:t>
      </w:r>
    </w:p>
    <w:p>
      <w:pPr>
        <w:spacing w:after="40" w:before="260"/>
      </w:pPr>
      <w:r>
        <w:rPr>
          <w:b/>
          <w:bCs/>
          <w:color w:val="1A1A1A"/>
          <w:sz w:val="26"/>
          <w:szCs w:val="26"/>
        </w:rPr>
        <w:t xml:space="preserve">1. App hero illustration (landing screen)</w:t>
      </w:r>
    </w:p>
    <w:p>
      <w:pPr>
        <w:spacing w:after="40"/>
      </w:pPr>
      <w:r>
        <w:rPr>
          <w:b/>
          <w:bCs/>
          <w:color w:val="3E92A8"/>
          <w:sz w:val="20"/>
          <w:szCs w:val="20"/>
        </w:rPr>
        <w:t xml:space="preserve">Where it's used: </w:t>
      </w:r>
      <w:r>
        <w:rPr>
          <w:color w:val="444444"/>
          <w:sz w:val="20"/>
          <w:szCs w:val="20"/>
        </w:rPr>
        <w:t xml:space="preserve">Top of the landing page — the first thing students see.</w:t>
      </w:r>
    </w:p>
    <w:p>
      <w:pPr>
        <w:spacing w:after="80"/>
      </w:pPr>
      <w:r>
        <w:rPr>
          <w:b/>
          <w:bCs/>
          <w:color w:val="3E92A8"/>
          <w:sz w:val="20"/>
          <w:szCs w:val="20"/>
        </w:rPr>
        <w:t xml:space="preserve">Aspect ratio: </w:t>
      </w:r>
      <w:r>
        <w:rPr>
          <w:color w:val="444444"/>
          <w:sz w:val="20"/>
          <w:szCs w:val="20"/>
        </w:rPr>
        <w:t xml:space="preserve">16:9 (landscape, 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wide friendly scene of three diverse young adults (around age 20–25) in a relaxed social setting — one sitting and looking at a phone, one standing and leaning casually, one waving hello. They suggest a social/dating vibe without being explicit or romantic. Surround them with small decorative dots, dashes and a couple of simple potted plants. Peach #F4D9BD background, clothing in teal-blue and coral, lavender and sage as small accents.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2. Logo mark / icon</w:t>
      </w:r>
    </w:p>
    <w:p>
      <w:pPr>
        <w:spacing w:after="40"/>
      </w:pPr>
      <w:r>
        <w:rPr>
          <w:b/>
          <w:bCs/>
          <w:color w:val="3E92A8"/>
          <w:sz w:val="20"/>
          <w:szCs w:val="20"/>
        </w:rPr>
        <w:t xml:space="preserve">Where it's used: </w:t>
      </w:r>
      <w:r>
        <w:rPr>
          <w:color w:val="444444"/>
          <w:sz w:val="20"/>
          <w:szCs w:val="20"/>
        </w:rPr>
        <w:t xml:space="preserve">Favicon, header logo, social share image.</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simple flat icon-style logo for a sexual-health education app: two overlapping speech-bubble or heart-adjacent rounded shapes forming a subtle connection symbol, drawn with a single bold black outline and filled with teal-blue and coral. Minimal, geometric, instantly readable at small size. Off-white #FBF6EE background.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3. Seamless background pattern</w:t>
      </w:r>
    </w:p>
    <w:p>
      <w:pPr>
        <w:spacing w:after="40"/>
      </w:pPr>
      <w:r>
        <w:rPr>
          <w:b/>
          <w:bCs/>
          <w:color w:val="3E92A8"/>
          <w:sz w:val="20"/>
          <w:szCs w:val="20"/>
        </w:rPr>
        <w:t xml:space="preserve">Where it's used: </w:t>
      </w:r>
      <w:r>
        <w:rPr>
          <w:color w:val="444444"/>
          <w:sz w:val="20"/>
          <w:szCs w:val="20"/>
        </w:rPr>
        <w:t xml:space="preserve">Subtle page background / section dividers behind cards.</w:t>
      </w:r>
    </w:p>
    <w:p>
      <w:pPr>
        <w:spacing w:after="80"/>
      </w:pPr>
      <w:r>
        <w:rPr>
          <w:b/>
          <w:bCs/>
          <w:color w:val="3E92A8"/>
          <w:sz w:val="20"/>
          <w:szCs w:val="20"/>
        </w:rPr>
        <w:t xml:space="preserve">Aspect ratio: </w:t>
      </w:r>
      <w:r>
        <w:rPr>
          <w:color w:val="444444"/>
          <w:sz w:val="20"/>
          <w:szCs w:val="20"/>
        </w:rPr>
        <w:t xml:space="preserve">1:1 (square, tileable)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light, airy seamless repeating pattern of tiny scattered flat motifs: small dots, short dashes, little squiggles, simple plant sprigs and tiny hearts, widely spaced on a peach #F4D9BD field. Very low visual density so text stays readable on top. Motifs outlined in near-black with occasional teal-blue and lavender fills. Tileable edges.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r>
        <w:br w:type="page"/>
      </w:r>
    </w:p>
    <w:p>
      <w:pPr>
        <w:pStyle w:val="Heading1"/>
      </w:pPr>
      <w:r>
        <w:t xml:space="preserve">3  ·  Input-Flow Illustrations</w:t>
      </w:r>
    </w:p>
    <w:p>
      <w:pPr>
        <w:spacing w:after="120" w:line="276"/>
      </w:pPr>
      <w:r>
        <w:t xml:space="preserve">These illustrate the questions the student answers. The two anatomy questions must be educational and tasteful — clean, abstract, clinical-friendly icons, never explicit or photoreal.</w:t>
      </w:r>
    </w:p>
    <w:p>
      <w:pPr>
        <w:pStyle w:val="Heading3"/>
      </w:pPr>
      <w:r>
        <w:t xml:space="preserve">Your anatomy</w:t>
      </w:r>
    </w:p>
    <w:p>
      <w:pPr>
        <w:spacing w:after="40" w:before="260"/>
      </w:pPr>
      <w:r>
        <w:rPr>
          <w:b/>
          <w:bCs/>
          <w:color w:val="1A1A1A"/>
          <w:sz w:val="26"/>
          <w:szCs w:val="26"/>
        </w:rPr>
        <w:t xml:space="preserve">4. Anatomy option — “Penis” (tasteful icon)</w:t>
      </w:r>
    </w:p>
    <w:p>
      <w:pPr>
        <w:spacing w:after="40"/>
      </w:pPr>
      <w:r>
        <w:rPr>
          <w:b/>
          <w:bCs/>
          <w:color w:val="3E92A8"/>
          <w:sz w:val="20"/>
          <w:szCs w:val="20"/>
        </w:rPr>
        <w:t xml:space="preserve">Where it's used: </w:t>
      </w:r>
      <w:r>
        <w:rPr>
          <w:color w:val="444444"/>
          <w:sz w:val="20"/>
          <w:szCs w:val="20"/>
        </w:rPr>
        <w:t xml:space="preserve">Selectable card for the student's own anatomy question.</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tasteful, abstract, clinically-friendly flat icon representing male anatomy for a sex-education app: a simple minimal symbolic shape (NOT realistic, NOT explicit) — e.g. a clean rounded medical/diagrammatic glyph — enclosed in a soft rounded card. Bold black outline, teal-blue flat fill, off-white card on a peach background. Friendly and non-graphic, suitable for a school health curriculum.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5. Anatomy option — “Vulva” (tasteful icon)</w:t>
      </w:r>
    </w:p>
    <w:p>
      <w:pPr>
        <w:spacing w:after="40"/>
      </w:pPr>
      <w:r>
        <w:rPr>
          <w:b/>
          <w:bCs/>
          <w:color w:val="3E92A8"/>
          <w:sz w:val="20"/>
          <w:szCs w:val="20"/>
        </w:rPr>
        <w:t xml:space="preserve">Where it's used: </w:t>
      </w:r>
      <w:r>
        <w:rPr>
          <w:color w:val="444444"/>
          <w:sz w:val="20"/>
          <w:szCs w:val="20"/>
        </w:rPr>
        <w:t xml:space="preserve">Selectable card for the student's own anatomy question.</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tasteful, abstract, clinically-friendly flat icon representing female anatomy for a sex-education app: a simple minimal symbolic shape (NOT realistic, NOT explicit) — e.g. a clean rounded diagrammatic glyph — enclosed in a soft rounded card. Bold black outline, coral flat fill, off-white card on a peach background. Friendly and non-graphic, suitable for a school health curriculum.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6. Partner-anatomy / orientation icon</w:t>
      </w:r>
    </w:p>
    <w:p>
      <w:pPr>
        <w:spacing w:after="40"/>
      </w:pPr>
      <w:r>
        <w:rPr>
          <w:b/>
          <w:bCs/>
          <w:color w:val="3E92A8"/>
          <w:sz w:val="20"/>
          <w:szCs w:val="20"/>
        </w:rPr>
        <w:t xml:space="preserve">Where it's used: </w:t>
      </w:r>
      <w:r>
        <w:rPr>
          <w:color w:val="444444"/>
          <w:sz w:val="20"/>
          <w:szCs w:val="20"/>
        </w:rPr>
        <w:t xml:space="preserve">The 'do your partners have penises, vulvas, or both?' question, including a bi/pan option.</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small flat symbolic icon showing connection between partners for an orientation question: two simple abstract rounded symbols side by side linked by a small heart or plus sign, one teal-blue and one coral, with a lavender version suggesting 'both / bi-pansexual'. Abstract and non-explicit, bold black outlines, off-white card on peach background.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pStyle w:val="Heading3"/>
      </w:pPr>
      <w:r>
        <w:t xml:space="preserve">Partner types (the relationship tiers)</w:t>
      </w:r>
    </w:p>
    <w:p>
      <w:pPr>
        <w:spacing w:after="40" w:before="260"/>
      </w:pPr>
      <w:r>
        <w:rPr>
          <w:b/>
          <w:bCs/>
          <w:color w:val="1A1A1A"/>
          <w:sz w:val="26"/>
          <w:szCs w:val="26"/>
        </w:rPr>
        <w:t xml:space="preserve">7. Partner type — “Relationship Partner”</w:t>
      </w:r>
    </w:p>
    <w:p>
      <w:pPr>
        <w:spacing w:after="40"/>
      </w:pPr>
      <w:r>
        <w:rPr>
          <w:b/>
          <w:bCs/>
          <w:color w:val="3E92A8"/>
          <w:sz w:val="20"/>
          <w:szCs w:val="20"/>
        </w:rPr>
        <w:t xml:space="preserve">Where it's used: </w:t>
      </w:r>
      <w:r>
        <w:rPr>
          <w:color w:val="444444"/>
          <w:sz w:val="20"/>
          <w:szCs w:val="20"/>
        </w:rPr>
        <w:t xml:space="preserve">Icon for the lowest-risk tier (boyfriend/girlfriend/spouse).</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flat illustrated icon of a committed couple: two young adults standing close together, comfortable and affectionate (holding hands or a small heart between them), suggesting a steady relationship. Sage-green #D7E0C4 rounded background to signal lower risk, clothing in teal-blue and coral,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8. Partner type — “Friend”</w:t>
      </w:r>
    </w:p>
    <w:p>
      <w:pPr>
        <w:spacing w:after="40"/>
      </w:pPr>
      <w:r>
        <w:rPr>
          <w:b/>
          <w:bCs/>
          <w:color w:val="3E92A8"/>
          <w:sz w:val="20"/>
          <w:szCs w:val="20"/>
        </w:rPr>
        <w:t xml:space="preserve">Where it's used: </w:t>
      </w:r>
      <w:r>
        <w:rPr>
          <w:color w:val="444444"/>
          <w:sz w:val="20"/>
          <w:szCs w:val="20"/>
        </w:rPr>
        <w:t xml:space="preserve">Icon for the friend tier (30% of stranger risk).</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flat illustrated icon of two friends laughing together casually, one with an arm around the other's shoulder, relaxed and familiar but clearly platonic. Lavender #C8B7E8 rounded background, clothing in teal-blue and coral,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9. Partner type — “Acquaintance”</w:t>
      </w:r>
    </w:p>
    <w:p>
      <w:pPr>
        <w:spacing w:after="40"/>
      </w:pPr>
      <w:r>
        <w:rPr>
          <w:b/>
          <w:bCs/>
          <w:color w:val="3E92A8"/>
          <w:sz w:val="20"/>
          <w:szCs w:val="20"/>
        </w:rPr>
        <w:t xml:space="preserve">Where it's used: </w:t>
      </w:r>
      <w:r>
        <w:rPr>
          <w:color w:val="444444"/>
          <w:sz w:val="20"/>
          <w:szCs w:val="20"/>
        </w:rPr>
        <w:t xml:space="preserve">Icon for the acquaintance tier (60% of stranger risk).</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flat illustrated icon of two young adults giving a casual wave or light handshake, friendly but slightly distant body language, as people who only sort of know each other. Peach background with a coral rounded panel, clothing in teal-blue,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10. Partner type — “Stranger”</w:t>
      </w:r>
    </w:p>
    <w:p>
      <w:pPr>
        <w:spacing w:after="40"/>
      </w:pPr>
      <w:r>
        <w:rPr>
          <w:b/>
          <w:bCs/>
          <w:color w:val="3E92A8"/>
          <w:sz w:val="20"/>
          <w:szCs w:val="20"/>
        </w:rPr>
        <w:t xml:space="preserve">Where it's used: </w:t>
      </w:r>
      <w:r>
        <w:rPr>
          <w:color w:val="444444"/>
          <w:sz w:val="20"/>
          <w:szCs w:val="20"/>
        </w:rPr>
        <w:t xml:space="preserve">Icon for the highest-risk tier (100% baseline risk).</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flat illustrated icon of two young adults meeting for the first time — one with a question-mark thought bubble (drawn as a simple punctuation-free symbol shape, no letters), suggesting the unknown. Coral #E6552E rounded background to signal higher risk, clothing in teal-blue,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pStyle w:val="Heading3"/>
      </w:pPr>
      <w:r>
        <w:t xml:space="preserve">Controls</w:t>
      </w:r>
    </w:p>
    <w:p>
      <w:pPr>
        <w:spacing w:after="40" w:before="260"/>
      </w:pPr>
      <w:r>
        <w:rPr>
          <w:b/>
          <w:bCs/>
          <w:color w:val="1A1A1A"/>
          <w:sz w:val="26"/>
          <w:szCs w:val="26"/>
        </w:rPr>
        <w:t xml:space="preserve">11. Number-of-partners control art</w:t>
      </w:r>
    </w:p>
    <w:p>
      <w:pPr>
        <w:spacing w:after="40"/>
      </w:pPr>
      <w:r>
        <w:rPr>
          <w:b/>
          <w:bCs/>
          <w:color w:val="3E92A8"/>
          <w:sz w:val="20"/>
          <w:szCs w:val="20"/>
        </w:rPr>
        <w:t xml:space="preserve">Where it's used: </w:t>
      </w:r>
      <w:r>
        <w:rPr>
          <w:color w:val="444444"/>
          <w:sz w:val="20"/>
          <w:szCs w:val="20"/>
        </w:rPr>
        <w:t xml:space="preserve">Decorative art beside the 1–10 partners slider.</w:t>
      </w:r>
    </w:p>
    <w:p>
      <w:pPr>
        <w:spacing w:after="80"/>
      </w:pPr>
      <w:r>
        <w:rPr>
          <w:b/>
          <w:bCs/>
          <w:color w:val="3E92A8"/>
          <w:sz w:val="20"/>
          <w:szCs w:val="20"/>
        </w:rPr>
        <w:t xml:space="preserve">Aspect ratio: </w:t>
      </w:r>
      <w:r>
        <w:rPr>
          <w:color w:val="444444"/>
          <w:sz w:val="20"/>
          <w:szCs w:val="20"/>
        </w:rPr>
        <w:t xml:space="preserve">4:3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flat illustrative row of small simple human figures standing in a line, increasing from one figure on the left to a small crowd on the right, suggesting a growing number of partners. Figures alternate teal-blue and coral clothing on a peach background, with little dashes and dots between them,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12. Condom toggle — ON / OFF pair</w:t>
      </w:r>
    </w:p>
    <w:p>
      <w:pPr>
        <w:spacing w:after="40"/>
      </w:pPr>
      <w:r>
        <w:rPr>
          <w:b/>
          <w:bCs/>
          <w:color w:val="3E92A8"/>
          <w:sz w:val="20"/>
          <w:szCs w:val="20"/>
        </w:rPr>
        <w:t xml:space="preserve">Where it's used: </w:t>
      </w:r>
      <w:r>
        <w:rPr>
          <w:color w:val="444444"/>
          <w:sz w:val="20"/>
          <w:szCs w:val="20"/>
        </w:rPr>
        <w:t xml:space="preserve">The global condoms on/off switch. Generate two matching versions.</w:t>
      </w:r>
    </w:p>
    <w:p>
      <w:pPr>
        <w:spacing w:after="80"/>
      </w:pPr>
      <w:r>
        <w:rPr>
          <w:b/>
          <w:bCs/>
          <w:color w:val="3E92A8"/>
          <w:sz w:val="20"/>
          <w:szCs w:val="20"/>
        </w:rPr>
        <w:t xml:space="preserve">Aspect ratio: </w:t>
      </w:r>
      <w:r>
        <w:rPr>
          <w:color w:val="444444"/>
          <w:sz w:val="20"/>
          <w:szCs w:val="20"/>
        </w:rPr>
        <w:t xml:space="preserve">1:1 (square, two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Two matching flat icons of a simple wrapped condom packet for a health app. Version A ('protected'): the packet with a small check mark and a calm sage-green glow, teal-blue fill. Version B ('unprotected'): the same packet faded/greyed with a small coral warning spark. Tasteful, educational, non-graphic, bold black outlines, off-white cards on peach background.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r>
        <w:br w:type="page"/>
      </w:r>
    </w:p>
    <w:p>
      <w:pPr>
        <w:pStyle w:val="Heading1"/>
      </w:pPr>
      <w:r>
        <w:t xml:space="preserve">4  ·  Calculation &amp; Result Illustrations</w:t>
      </w:r>
    </w:p>
    <w:p>
      <w:pPr>
        <w:spacing w:after="40" w:before="260"/>
      </w:pPr>
      <w:r>
        <w:rPr>
          <w:b/>
          <w:bCs/>
          <w:color w:val="1A1A1A"/>
          <w:sz w:val="26"/>
          <w:szCs w:val="26"/>
        </w:rPr>
        <w:t xml:space="preserve">13. “Rolling the dice” / calculating animation frame</w:t>
      </w:r>
    </w:p>
    <w:p>
      <w:pPr>
        <w:spacing w:after="40"/>
      </w:pPr>
      <w:r>
        <w:rPr>
          <w:b/>
          <w:bCs/>
          <w:color w:val="3E92A8"/>
          <w:sz w:val="20"/>
          <w:szCs w:val="20"/>
        </w:rPr>
        <w:t xml:space="preserve">Where it's used: </w:t>
      </w:r>
      <w:r>
        <w:rPr>
          <w:color w:val="444444"/>
          <w:sz w:val="20"/>
          <w:szCs w:val="20"/>
        </w:rPr>
        <w:t xml:space="preserve">Shown while the app computes odds and 'rolls'.</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playful flat illustration of a pair of dice mid-tumble surrounded by motion lines, small dots and sparkles, suggesting chance and probability. Dice in off-white with black pips and bold black outlines, motion accents in coral and teal-blue, lavender background. Energetic but friendly.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14. Result — “You stayed STI-free” (positive)</w:t>
      </w:r>
    </w:p>
    <w:p>
      <w:pPr>
        <w:spacing w:after="40"/>
      </w:pPr>
      <w:r>
        <w:rPr>
          <w:b/>
          <w:bCs/>
          <w:color w:val="3E92A8"/>
          <w:sz w:val="20"/>
          <w:szCs w:val="20"/>
        </w:rPr>
        <w:t xml:space="preserve">Where it's used: </w:t>
      </w:r>
      <w:r>
        <w:rPr>
          <w:color w:val="444444"/>
          <w:sz w:val="20"/>
          <w:szCs w:val="20"/>
        </w:rPr>
        <w:t xml:space="preserve">Outcome screen when the roll comes back clear.</w:t>
      </w:r>
    </w:p>
    <w:p>
      <w:pPr>
        <w:spacing w:after="80"/>
      </w:pPr>
      <w:r>
        <w:rPr>
          <w:b/>
          <w:bCs/>
          <w:color w:val="3E92A8"/>
          <w:sz w:val="20"/>
          <w:szCs w:val="20"/>
        </w:rPr>
        <w:t xml:space="preserve">Aspect ratio: </w:t>
      </w:r>
      <w:r>
        <w:rPr>
          <w:color w:val="444444"/>
          <w:sz w:val="20"/>
          <w:szCs w:val="20"/>
        </w:rPr>
        <w:t xml:space="preserve">4:3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An upbeat flat illustration of a happy young adult stretching with relief and a small smile, surrounded by little celebratory dashes, dots and a leafy sprig. Calm and reassuring, NOT over-the-top. Sage-green #D7E0C4 background, clothing in teal-blue, small coral accents,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15. Result — “You contracted an STI” (supportive, non-shaming)</w:t>
      </w:r>
    </w:p>
    <w:p>
      <w:pPr>
        <w:spacing w:after="40"/>
      </w:pPr>
      <w:r>
        <w:rPr>
          <w:b/>
          <w:bCs/>
          <w:color w:val="3E92A8"/>
          <w:sz w:val="20"/>
          <w:szCs w:val="20"/>
        </w:rPr>
        <w:t xml:space="preserve">Where it's used: </w:t>
      </w:r>
      <w:r>
        <w:rPr>
          <w:color w:val="444444"/>
          <w:sz w:val="20"/>
          <w:szCs w:val="20"/>
        </w:rPr>
        <w:t xml:space="preserve">Outcome screen when the roll lands on an infection — must feel matter-of-fact and caring.</w:t>
      </w:r>
    </w:p>
    <w:p>
      <w:pPr>
        <w:spacing w:after="80"/>
      </w:pPr>
      <w:r>
        <w:rPr>
          <w:b/>
          <w:bCs/>
          <w:color w:val="3E92A8"/>
          <w:sz w:val="20"/>
          <w:szCs w:val="20"/>
        </w:rPr>
        <w:t xml:space="preserve">Aspect ratio: </w:t>
      </w:r>
      <w:r>
        <w:rPr>
          <w:color w:val="444444"/>
          <w:sz w:val="20"/>
          <w:szCs w:val="20"/>
        </w:rPr>
        <w:t xml:space="preserve">4:3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calm, supportive flat illustration of a young adult looking thoughtful but not distressed, with a small reassuring element nearby such as a speech bubble heart or a steady hand on the shoulder (drawn abstractly), signaling 'this is manageable, go get tested.' Neutral and non-judgmental, NOT scary or shameful. Peach background, clothing in teal-blue, gentle coral accent,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pStyle w:val="Heading2"/>
      </w:pPr>
      <w:r>
        <w:t xml:space="preserve">4.1  Individual STI illustrations</w:t>
      </w:r>
    </w:p>
    <w:p>
      <w:pPr>
        <w:spacing w:after="120" w:line="276"/>
      </w:pPr>
      <w:r>
        <w:t xml:space="preserve">One small friendly 'microbe character' or symbolic icon per infection, shown on the result screen when that STI is selected. Keep them consistent as a matched set — simple rounded microbe shapes with minimal faces, varied silhouettes so each is distinguishable. Educational, never gross.</w:t>
      </w:r>
    </w:p>
    <w:p>
      <w:pPr>
        <w:spacing w:after="40" w:before="260"/>
      </w:pPr>
      <w:r>
        <w:rPr>
          <w:b/>
          <w:bCs/>
          <w:color w:val="1A1A1A"/>
          <w:sz w:val="26"/>
          <w:szCs w:val="26"/>
        </w:rPr>
        <w:t xml:space="preserve">16. STI set A — Chlamydia, Gonorrhea, Trichomoniasis</w:t>
      </w:r>
    </w:p>
    <w:p>
      <w:pPr>
        <w:spacing w:after="40"/>
      </w:pPr>
      <w:r>
        <w:rPr>
          <w:b/>
          <w:bCs/>
          <w:color w:val="3E92A8"/>
          <w:sz w:val="20"/>
          <w:szCs w:val="20"/>
        </w:rPr>
        <w:t xml:space="preserve">Where it's used: </w:t>
      </w:r>
      <w:r>
        <w:rPr>
          <w:color w:val="444444"/>
          <w:sz w:val="20"/>
          <w:szCs w:val="20"/>
        </w:rPr>
        <w:t xml:space="preserve">Result-screen icon for whichever bacterial/parasitic STI is selected.</w:t>
      </w:r>
    </w:p>
    <w:p>
      <w:pPr>
        <w:spacing w:after="80"/>
      </w:pPr>
      <w:r>
        <w:rPr>
          <w:b/>
          <w:bCs/>
          <w:color w:val="3E92A8"/>
          <w:sz w:val="20"/>
          <w:szCs w:val="20"/>
        </w:rPr>
        <w:t xml:space="preserve">Aspect ratio: </w:t>
      </w:r>
      <w:r>
        <w:rPr>
          <w:color w:val="444444"/>
          <w:sz w:val="20"/>
          <w:szCs w:val="20"/>
        </w:rPr>
        <w:t xml:space="preserve">1:1 each (square, matched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matched set of three friendly flat 'microbe' icons, each a simple rounded blob organism with a tiny minimal face and small flagella or dots, clearly distinct from one another in silhouette. Drawn as a consistent family. Each on its own off-white rounded card: organism 1 teal-blue, organism 2 coral, organism 3 lavender. Educational and approachable, not gross, bold black outlines, peach background. Generate the three as a clean labeled-by-position lineup (no text).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17. STI set B — HPV, Herpes (HSV), Syphilis, HIV</w:t>
      </w:r>
    </w:p>
    <w:p>
      <w:pPr>
        <w:spacing w:after="40"/>
      </w:pPr>
      <w:r>
        <w:rPr>
          <w:b/>
          <w:bCs/>
          <w:color w:val="3E92A8"/>
          <w:sz w:val="20"/>
          <w:szCs w:val="20"/>
        </w:rPr>
        <w:t xml:space="preserve">Where it's used: </w:t>
      </w:r>
      <w:r>
        <w:rPr>
          <w:color w:val="444444"/>
          <w:sz w:val="20"/>
          <w:szCs w:val="20"/>
        </w:rPr>
        <w:t xml:space="preserve">Result-screen icon for whichever viral STI / syphilis is selected.</w:t>
      </w:r>
    </w:p>
    <w:p>
      <w:pPr>
        <w:spacing w:after="80"/>
      </w:pPr>
      <w:r>
        <w:rPr>
          <w:b/>
          <w:bCs/>
          <w:color w:val="3E92A8"/>
          <w:sz w:val="20"/>
          <w:szCs w:val="20"/>
        </w:rPr>
        <w:t xml:space="preserve">Aspect ratio: </w:t>
      </w:r>
      <w:r>
        <w:rPr>
          <w:color w:val="444444"/>
          <w:sz w:val="20"/>
          <w:szCs w:val="20"/>
        </w:rPr>
        <w:t xml:space="preserve">1:1 each (square, matched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matched set of four friendly flat 'microbe' icons in the same family style as before: simple rounded organisms with tiny minimal faces and distinct silhouettes (e.g. a spiky one, a smooth oval one, a chain-of-beads one, a many-legged one). Each on its own off-white rounded card with fills rotating through teal-blue, coral, lavender and sage. Educational, approachable, not frightening, bold black outlines, peach background. (No text.)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r>
        <w:br w:type="page"/>
      </w:r>
    </w:p>
    <w:p>
      <w:pPr>
        <w:pStyle w:val="Heading1"/>
      </w:pPr>
      <w:r>
        <w:t xml:space="preserve">5  ·  Supporting &amp; Educational Assets</w:t>
      </w:r>
    </w:p>
    <w:p>
      <w:pPr>
        <w:spacing w:after="40" w:before="260"/>
      </w:pPr>
      <w:r>
        <w:rPr>
          <w:b/>
          <w:bCs/>
          <w:color w:val="1A1A1A"/>
          <w:sz w:val="26"/>
          <w:szCs w:val="26"/>
        </w:rPr>
        <w:t xml:space="preserve">18. “Get tested” call-to-action illustration</w:t>
      </w:r>
    </w:p>
    <w:p>
      <w:pPr>
        <w:spacing w:after="40"/>
      </w:pPr>
      <w:r>
        <w:rPr>
          <w:b/>
          <w:bCs/>
          <w:color w:val="3E92A8"/>
          <w:sz w:val="20"/>
          <w:szCs w:val="20"/>
        </w:rPr>
        <w:t xml:space="preserve">Where it's used: </w:t>
      </w:r>
      <w:r>
        <w:rPr>
          <w:color w:val="444444"/>
          <w:sz w:val="20"/>
          <w:szCs w:val="20"/>
        </w:rPr>
        <w:t xml:space="preserve">Footer / results CTA encouraging real-world testing and care.</w:t>
      </w:r>
    </w:p>
    <w:p>
      <w:pPr>
        <w:spacing w:after="80"/>
      </w:pPr>
      <w:r>
        <w:rPr>
          <w:b/>
          <w:bCs/>
          <w:color w:val="3E92A8"/>
          <w:sz w:val="20"/>
          <w:szCs w:val="20"/>
        </w:rPr>
        <w:t xml:space="preserve">Aspect ratio: </w:t>
      </w:r>
      <w:r>
        <w:rPr>
          <w:color w:val="444444"/>
          <w:sz w:val="20"/>
          <w:szCs w:val="20"/>
        </w:rPr>
        <w:t xml:space="preserve">4:3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reassuring flat illustration of a young adult at a friendly clinic counter or holding a simple test kit, with a healthcare worker giving a thumbs-up or warm gesture. Encouraging and routine, de-stigmatizing testing. Teal-blue and coral clothing, sage and off-white clinic elements, peach background, bold black outlines.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19. Info / disclaimer spot icon</w:t>
      </w:r>
    </w:p>
    <w:p>
      <w:pPr>
        <w:spacing w:after="40"/>
      </w:pPr>
      <w:r>
        <w:rPr>
          <w:b/>
          <w:bCs/>
          <w:color w:val="3E92A8"/>
          <w:sz w:val="20"/>
          <w:szCs w:val="20"/>
        </w:rPr>
        <w:t xml:space="preserve">Where it's used: </w:t>
      </w:r>
      <w:r>
        <w:rPr>
          <w:color w:val="444444"/>
          <w:sz w:val="20"/>
          <w:szCs w:val="20"/>
        </w:rPr>
        <w:t xml:space="preserve">Sits next to the 'illustrative model, not medical advice' disclaimer.</w:t>
      </w:r>
    </w:p>
    <w:p>
      <w:pPr>
        <w:spacing w:after="80"/>
      </w:pPr>
      <w:r>
        <w:rPr>
          <w:b/>
          <w:bCs/>
          <w:color w:val="3E92A8"/>
          <w:sz w:val="20"/>
          <w:szCs w:val="20"/>
        </w:rPr>
        <w:t xml:space="preserve">Aspect ratio: </w:t>
      </w:r>
      <w:r>
        <w:rPr>
          <w:color w:val="444444"/>
          <w:sz w:val="20"/>
          <w:szCs w:val="20"/>
        </w:rPr>
        <w:t xml:space="preserve">1:1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small simple flat icon of an open book or a friendly information symbol made of rounded shapes (no letters), suggesting education and honesty. Teal-blue fill, coral accent, off-white card, peach background, bold black outline. Minimal and clean.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pPr>
        <w:spacing w:after="40" w:before="260"/>
      </w:pPr>
      <w:r>
        <w:rPr>
          <w:b/>
          <w:bCs/>
          <w:color w:val="1A1A1A"/>
          <w:sz w:val="26"/>
          <w:szCs w:val="26"/>
        </w:rPr>
        <w:t xml:space="preserve">20. Decorative section divider motif</w:t>
      </w:r>
    </w:p>
    <w:p>
      <w:pPr>
        <w:spacing w:after="40"/>
      </w:pPr>
      <w:r>
        <w:rPr>
          <w:b/>
          <w:bCs/>
          <w:color w:val="3E92A8"/>
          <w:sz w:val="20"/>
          <w:szCs w:val="20"/>
        </w:rPr>
        <w:t xml:space="preserve">Where it's used: </w:t>
      </w:r>
      <w:r>
        <w:rPr>
          <w:color w:val="444444"/>
          <w:sz w:val="20"/>
          <w:szCs w:val="20"/>
        </w:rPr>
        <w:t xml:space="preserve">Thin horizontal flourish between content sections.</w:t>
      </w:r>
    </w:p>
    <w:p>
      <w:pPr>
        <w:spacing w:after="80"/>
      </w:pPr>
      <w:r>
        <w:rPr>
          <w:b/>
          <w:bCs/>
          <w:color w:val="3E92A8"/>
          <w:sz w:val="20"/>
          <w:szCs w:val="20"/>
        </w:rPr>
        <w:t xml:space="preserve">Aspect ratio: </w:t>
      </w:r>
      <w:r>
        <w:rPr>
          <w:color w:val="444444"/>
          <w:sz w:val="20"/>
          <w:szCs w:val="20"/>
        </w:rPr>
        <w:t xml:space="preserve">Wide banner (approx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BF6EE" w:val="clear"/>
            <w:tcMar>
              <w:top w:type="dxa" w:w="140"/>
              <w:left w:type="dxa" w:w="160"/>
              <w:bottom w:type="dxa" w:w="140"/>
              <w:right w:type="dxa" w:w="160"/>
            </w:tcMar>
          </w:tcPr>
          <w:p>
            <w:pPr>
              <w:spacing w:after="60"/>
            </w:pPr>
            <w:r>
              <w:rPr>
                <w:b/>
                <w:bCs/>
                <w:color w:val="E6552E"/>
                <w:sz w:val="18"/>
                <w:szCs w:val="18"/>
              </w:rPr>
              <w:t xml:space="preserve">PROMPT (paste into ChatGPT):</w:t>
            </w:r>
          </w:p>
          <w:p>
            <w:r>
              <w:rPr>
                <w:color w:val="1A1A1A"/>
                <w:sz w:val="21"/>
                <w:szCs w:val="21"/>
              </w:rPr>
              <w:t xml:space="preserve">A wide thin horizontal decorative divider made of a single flowing black line with small evenly-spaced flat motifs along it — dots, tiny plants, a small heart, dashes — alternating teal-blue, coral and lavender fills, on a transparent or peach background. Balanced and symmetrical, lots of breathing room. Flat 2D editorial vector illustration, bold uniform black outlines of even weight, no gradients and no shading, simple solid flat color fills, clean modern Scandinavian illustration style with confident slightly hand-drawn linework. Friendly, minimal, geometric characters with small simple facial features. Use only this exact color palette: warm peach background #F4D9BD, teal-blue #3E92A8, red-orange #E6552E, soft lavender #C8B7E8, sage green #D7E0C4, off-white #FBF6EE, and near-black #1A1A1A for all outlines. Add small decorative line accents (tiny dashes, dots, squiggles, motion lines). Centered composition with generous empty margins. No text, letters, numbers, watermarks, logos, or signatures in the image. [STYLE]</w:t>
            </w:r>
          </w:p>
        </w:tc>
      </w:tr>
    </w:tbl>
    <w:p>
      <w:r>
        <w:br w:type="page"/>
      </w:r>
    </w:p>
    <w:p>
      <w:pPr>
        <w:pStyle w:val="Heading1"/>
      </w:pPr>
      <w:r>
        <w:t xml:space="preserve">6  ·  Production Notes</w:t>
      </w:r>
    </w:p>
    <w:p>
      <w:pPr>
        <w:pStyle w:val="Heading2"/>
      </w:pPr>
      <w:r>
        <w:t xml:space="preserve">6.1  Getting consistent results from ChatGPT</w:t>
      </w:r>
    </w:p>
    <w:p>
      <w:pPr>
        <w:pStyle w:val="ListParagraph"/>
        <w:numPr>
          <w:ilvl w:val="0"/>
          <w:numId w:val="2"/>
        </w:numPr>
        <w:spacing w:after="60" w:line="264"/>
      </w:pPr>
      <w:r>
        <w:rPr>
          <w:b w:val="false"/>
          <w:bCs w:val="false"/>
        </w:rPr>
        <w:t xml:space="preserve">Work in ONE chat session. Paste the Master Style Prompt first; generate every asset in that same thread so ChatGPT keeps the visual memory.</w:t>
      </w:r>
    </w:p>
    <w:p>
      <w:pPr>
        <w:pStyle w:val="ListParagraph"/>
        <w:numPr>
          <w:ilvl w:val="0"/>
          <w:numId w:val="2"/>
        </w:numPr>
        <w:spacing w:after="60" w:line="264"/>
      </w:pPr>
      <w:r>
        <w:rPr>
          <w:b w:val="false"/>
          <w:bCs w:val="false"/>
        </w:rPr>
        <w:t xml:space="preserve">Generate related assets back-to-back (all four partner-type icons together, both condom states together, each STI set in one go) so they match as a family.</w:t>
      </w:r>
    </w:p>
    <w:p>
      <w:pPr>
        <w:pStyle w:val="ListParagraph"/>
        <w:numPr>
          <w:ilvl w:val="0"/>
          <w:numId w:val="2"/>
        </w:numPr>
        <w:spacing w:after="60" w:line="264"/>
      </w:pPr>
      <w:r>
        <w:t xml:space="preserve">If the style drifts, re-paste the style sentence (the “</w:t>
      </w:r>
      <w:r>
        <w:rPr>
          <w:b/>
          <w:bCs/>
        </w:rPr>
        <w:t xml:space="preserve">[STYLE]</w:t>
      </w:r>
      <w:r>
        <w:t xml:space="preserve">” cue) and say “regenerate in the established style.”</w:t>
      </w:r>
    </w:p>
    <w:p>
      <w:pPr>
        <w:pStyle w:val="ListParagraph"/>
        <w:numPr>
          <w:ilvl w:val="0"/>
          <w:numId w:val="2"/>
        </w:numPr>
        <w:spacing w:after="60" w:line="264"/>
      </w:pPr>
      <w:r>
        <w:rPr>
          <w:b w:val="false"/>
          <w:bCs w:val="false"/>
        </w:rPr>
        <w:t xml:space="preserve">Ask for a transparent background where possible (icons), or the named flat background color (scenes). For true transparency you may need to remove the background afterward in a tool like remove.bg or Figma.</w:t>
      </w:r>
    </w:p>
    <w:p>
      <w:pPr>
        <w:pStyle w:val="ListParagraph"/>
        <w:numPr>
          <w:ilvl w:val="0"/>
          <w:numId w:val="2"/>
        </w:numPr>
        <w:spacing w:after="60" w:line="264"/>
      </w:pPr>
      <w:r>
        <w:rPr>
          <w:b w:val="false"/>
          <w:bCs w:val="false"/>
        </w:rPr>
        <w:t xml:space="preserve">Request high resolution (e.g. “1024×1024” or larger). Export icons as PNG with transparency; export scenes as PNG or SVG-traced for crisp scaling.</w:t>
      </w:r>
    </w:p>
    <w:p>
      <w:pPr>
        <w:pStyle w:val="Heading2"/>
      </w:pPr>
      <w:r>
        <w:t xml:space="preserve">6.2  Asset checklist</w:t>
      </w:r>
    </w:p>
    <w:p>
      <w:pPr>
        <w:spacing w:after="120" w:line="276"/>
      </w:pPr>
      <w:r>
        <w:t xml:space="preserve">Minimum set to launch (20 prompts above cover all of these):</w:t>
      </w:r>
    </w:p>
    <w:p>
      <w:pPr>
        <w:pStyle w:val="ListParagraph"/>
        <w:numPr>
          <w:ilvl w:val="0"/>
          <w:numId w:val="2"/>
        </w:numPr>
        <w:spacing w:after="60" w:line="264"/>
      </w:pPr>
      <w:r>
        <w:rPr>
          <w:b w:val="false"/>
          <w:bCs w:val="false"/>
        </w:rPr>
        <w:t xml:space="preserve">1 hero, 1 logo, 1 background pattern, 1 divider motif</w:t>
      </w:r>
    </w:p>
    <w:p>
      <w:pPr>
        <w:pStyle w:val="ListParagraph"/>
        <w:numPr>
          <w:ilvl w:val="0"/>
          <w:numId w:val="2"/>
        </w:numPr>
        <w:spacing w:after="60" w:line="264"/>
      </w:pPr>
      <w:r>
        <w:rPr>
          <w:b w:val="false"/>
          <w:bCs w:val="false"/>
        </w:rPr>
        <w:t xml:space="preserve">2 self-anatomy icons + 1 partner-anatomy/orientation icon</w:t>
      </w:r>
    </w:p>
    <w:p>
      <w:pPr>
        <w:pStyle w:val="ListParagraph"/>
        <w:numPr>
          <w:ilvl w:val="0"/>
          <w:numId w:val="2"/>
        </w:numPr>
        <w:spacing w:after="60" w:line="264"/>
      </w:pPr>
      <w:r>
        <w:rPr>
          <w:b w:val="false"/>
          <w:bCs w:val="false"/>
        </w:rPr>
        <w:t xml:space="preserve">4 partner-type tier icons (partner / friend / acquaintance / stranger)</w:t>
      </w:r>
    </w:p>
    <w:p>
      <w:pPr>
        <w:pStyle w:val="ListParagraph"/>
        <w:numPr>
          <w:ilvl w:val="0"/>
          <w:numId w:val="2"/>
        </w:numPr>
        <w:spacing w:after="60" w:line="264"/>
      </w:pPr>
      <w:r>
        <w:rPr>
          <w:b w:val="false"/>
          <w:bCs w:val="false"/>
        </w:rPr>
        <w:t xml:space="preserve">1 partners-count graphic + 1 condom toggle pair (2 states)</w:t>
      </w:r>
    </w:p>
    <w:p>
      <w:pPr>
        <w:pStyle w:val="ListParagraph"/>
        <w:numPr>
          <w:ilvl w:val="0"/>
          <w:numId w:val="2"/>
        </w:numPr>
        <w:spacing w:after="60" w:line="264"/>
      </w:pPr>
      <w:r>
        <w:rPr>
          <w:b w:val="false"/>
          <w:bCs w:val="false"/>
        </w:rPr>
        <w:t xml:space="preserve">1 dice/calculating graphic</w:t>
      </w:r>
    </w:p>
    <w:p>
      <w:pPr>
        <w:pStyle w:val="ListParagraph"/>
        <w:numPr>
          <w:ilvl w:val="0"/>
          <w:numId w:val="2"/>
        </w:numPr>
        <w:spacing w:after="60" w:line="264"/>
      </w:pPr>
      <w:r>
        <w:rPr>
          <w:b w:val="false"/>
          <w:bCs w:val="false"/>
        </w:rPr>
        <w:t xml:space="preserve">2 result scenes (STI-free / contracted) + 1 get-tested CTA</w:t>
      </w:r>
    </w:p>
    <w:p>
      <w:pPr>
        <w:pStyle w:val="ListParagraph"/>
        <w:numPr>
          <w:ilvl w:val="0"/>
          <w:numId w:val="2"/>
        </w:numPr>
        <w:spacing w:after="60" w:line="264"/>
      </w:pPr>
      <w:r>
        <w:rPr>
          <w:b w:val="false"/>
          <w:bCs w:val="false"/>
        </w:rPr>
        <w:t xml:space="preserve">7 STI microbe icons (3 in set A, 4 in set B) + 1 info icon</w:t>
      </w:r>
    </w:p>
    <w:p>
      <w:pPr>
        <w:pStyle w:val="Heading2"/>
      </w:pPr>
      <w:r>
        <w:t xml:space="preserve">6.3  Accessibility &amp; tone reminders</w:t>
      </w:r>
    </w:p>
    <w:p>
      <w:pPr>
        <w:pStyle w:val="ListParagraph"/>
        <w:numPr>
          <w:ilvl w:val="0"/>
          <w:numId w:val="2"/>
        </w:numPr>
        <w:spacing w:after="60" w:line="264"/>
      </w:pPr>
      <w:r>
        <w:rPr>
          <w:b w:val="false"/>
          <w:bCs w:val="false"/>
        </w:rPr>
        <w:t xml:space="preserve">Keep contrast high: black linework on light fills reads well; avoid coral text on peach.</w:t>
      </w:r>
    </w:p>
    <w:p>
      <w:pPr>
        <w:pStyle w:val="ListParagraph"/>
        <w:numPr>
          <w:ilvl w:val="0"/>
          <w:numId w:val="2"/>
        </w:numPr>
        <w:spacing w:after="60" w:line="264"/>
      </w:pPr>
      <w:r>
        <w:rPr>
          <w:b w:val="false"/>
          <w:bCs w:val="false"/>
        </w:rPr>
        <w:t xml:space="preserve">Every illustration should work without color (the linework carries the meaning) for colorblind users.</w:t>
      </w:r>
    </w:p>
    <w:p>
      <w:pPr>
        <w:pStyle w:val="ListParagraph"/>
        <w:numPr>
          <w:ilvl w:val="0"/>
          <w:numId w:val="2"/>
        </w:numPr>
        <w:spacing w:after="60" w:line="264"/>
      </w:pPr>
      <w:r>
        <w:rPr>
          <w:b w:val="false"/>
          <w:bCs w:val="false"/>
        </w:rPr>
        <w:t xml:space="preserve">Maintain the non-shaming tone in every 'risk' and 'outcome' asset — this is education, not punishment.</w:t>
      </w:r>
    </w:p>
    <w:p>
      <w:r>
        <w:br w:type="page"/>
      </w:r>
    </w:p>
    <w:p>
      <w:pPr>
        <w:pStyle w:val="Heading1"/>
      </w:pPr>
      <w:r>
        <w:t xml:space="preserve">7  ·  Appendix — Risk Model &amp; Methodology</w:t>
      </w:r>
    </w:p>
    <w:p>
      <w:pPr>
        <w:spacing w:after="120" w:line="276"/>
      </w:pPr>
      <w:r>
        <w:rPr>
          <w:b/>
          <w:bCs/>
        </w:rPr>
        <w:t xml:space="preserve">These are educational estimates</w:t>
      </w:r>
      <w:r>
        <w:t xml:space="preserve"> calibrated to public-health literature (CDC, NHANES, per-partnership transmission studies), not medical advice. The web app implements the equations and tables below (see </w:t>
      </w:r>
      <w:r>
        <w:rPr>
          <w:i/>
          <w:iCs/>
        </w:rPr>
        <w:t xml:space="preserve">riskModel.js</w:t>
      </w:r>
      <w:r>
        <w:t xml:space="preserve">).</w:t>
      </w:r>
    </w:p>
    <w:p>
      <w:pPr>
        <w:pStyle w:val="Heading2"/>
      </w:pPr>
      <w:r>
        <w:t xml:space="preserve">7.1  Core equations</w:t>
      </w:r>
    </w:p>
    <w:p>
      <w:pPr>
        <w:spacing w:after="120" w:line="276"/>
      </w:pPr>
      <w:r>
        <w:t xml:space="preserve">For each STI s and each partner, the chance that partner transmits s to the student:</w:t>
      </w:r>
    </w:p>
    <w:p>
      <w:pPr>
        <w:spacing w:after="120" w:line="276"/>
      </w:pPr>
      <w:r>
        <w:rPr>
          <w:rFonts w:ascii="Courier New" w:cs="Courier New" w:eastAsia="Courier New" w:hAnsi="Courier New"/>
          <w:sz w:val="18"/>
          <w:szCs w:val="18"/>
        </w:rPr>
        <w:t xml:space="preserve">risk_per_partner(s) = [ prevalence(s) × tier_multiplier ] × transmission(s, pairing) × condom_factor(s) × vaccine_factor(s)</w:t>
      </w:r>
    </w:p>
    <w:p>
      <w:pPr>
        <w:spacing w:after="120" w:line="276"/>
      </w:pPr>
      <w:r>
        <w:t xml:space="preserve">Across N independent partners, and across all STIs:</w:t>
      </w:r>
    </w:p>
    <w:p>
      <w:pPr>
        <w:spacing w:after="120" w:line="276"/>
      </w:pPr>
      <w:r>
        <w:rPr>
          <w:rFonts w:ascii="Courier New" w:cs="Courier New" w:eastAsia="Courier New" w:hAnsi="Courier New"/>
          <w:sz w:val="18"/>
          <w:szCs w:val="18"/>
        </w:rPr>
        <w:t xml:space="preserve">P(get s)   = 1 − Π over partners ( 1 − risk_per_partner(s) )</w:t>
      </w:r>
    </w:p>
    <w:p>
      <w:pPr>
        <w:spacing w:after="120" w:line="276"/>
      </w:pPr>
      <w:r>
        <w:rPr>
          <w:rFonts w:ascii="Courier New" w:cs="Courier New" w:eastAsia="Courier New" w:hAnsi="Courier New"/>
          <w:sz w:val="18"/>
          <w:szCs w:val="18"/>
        </w:rPr>
        <w:t xml:space="preserve">P(any STI) = 1 − Π over STIs ( 1 − P(get s) )</w:t>
      </w:r>
    </w:p>
    <w:p>
      <w:pPr>
        <w:pStyle w:val="ListParagraph"/>
        <w:numPr>
          <w:ilvl w:val="0"/>
          <w:numId w:val="2"/>
        </w:numPr>
        <w:spacing w:after="60" w:line="264"/>
      </w:pPr>
      <w:r>
        <w:rPr>
          <w:i/>
          <w:iCs/>
        </w:rPr>
        <w:t xml:space="preserve">condom_factor(s)</w:t>
      </w:r>
      <w:r>
        <w:t xml:space="preserve"> = 1 when condoms are off. When on: 0.02 for fluid-borne STIs (~98% reduction), 0.60 for skin-contact HPV &amp; herpes (~40% reduction). See Table 1.</w:t>
      </w:r>
    </w:p>
    <w:p>
      <w:pPr>
        <w:pStyle w:val="ListParagraph"/>
        <w:numPr>
          <w:ilvl w:val="0"/>
          <w:numId w:val="2"/>
        </w:numPr>
        <w:spacing w:after="60" w:line="264"/>
      </w:pPr>
      <w:r>
        <w:rPr>
          <w:i/>
          <w:iCs/>
        </w:rPr>
        <w:t xml:space="preserve">vaccine_factor(s)</w:t>
      </w:r>
      <w:r>
        <w:t xml:space="preserve"> = 0.10 for HPV when the student reports the HPV vaccine (90% protection against the high-risk, cancer-causing strains); 1 for every other STI and for the unvaccinated.</w:t>
      </w:r>
    </w:p>
    <w:p>
      <w:pPr>
        <w:spacing w:after="120" w:line="276"/>
      </w:pPr>
      <w:r>
        <w:rPr>
          <w:b/>
          <w:bCs/>
        </w:rPr>
        <w:t xml:space="preserve">Rolling the outcome: </w:t>
      </w:r>
      <w:r>
        <w:t xml:space="preserve">each STI is rolled independently against its own P(get s), so a student can contract zero, one, or several STIs in a year. The result screen shows every STI that lands (and titles the box “You contracted multiple STIs” when more than one does).</w:t>
      </w:r>
    </w:p>
    <w:p>
      <w:pPr>
        <w:spacing w:after="120" w:line="276"/>
      </w:pPr>
      <w:r>
        <w:rPr>
          <w:b/>
          <w:bCs/>
        </w:rPr>
        <w:t xml:space="preserve">Partner selection: </w:t>
      </w:r>
      <w:r>
        <w:t xml:space="preserve">the student picks one partner type (tier) and a count of 1–10; that tier's multiplier and count drive the product above, while the other tiers contribute zero.</w:t>
      </w:r>
    </w:p>
    <w:p>
      <w:pPr>
        <w:pStyle w:val="Heading2"/>
      </w:pPr>
      <w:r>
        <w:t xml:space="preserve">7.2  Table 1 — Per-STI prevalence &amp; condom protection</w:t>
      </w:r>
    </w:p>
    <w:p>
      <w:pPr>
        <w:spacing w:after="120" w:line="276"/>
      </w:pPr>
      <w:r>
        <w:t xml:space="preserve">Stranger-pool prevalence = chance a random unscreened young adult carries it. Condom factor = transmission multiplier when condoms are ON. Fluid-borne STIs are cut ~98%; skin-contact HPV and herpes only ~40%, because they spread from areas a condom doesn't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200"/>
        <w:gridCol w:w="2050"/>
        <w:gridCol w:w="2050"/>
      </w:tblGrid>
      <w:tr>
        <w:trPr>
          <w:tblHeader/>
        </w:trPr>
        <w:tc>
          <w:tcPr>
            <w:tcW w:type="dxa" w:w="306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STI</w:t>
            </w:r>
          </w:p>
        </w:tc>
        <w:tc>
          <w:tcPr>
            <w:tcW w:type="dxa" w:w="220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Stranger prevalence</w:t>
            </w:r>
          </w:p>
        </w:tc>
        <w:tc>
          <w:tcPr>
            <w:tcW w:type="dxa" w:w="205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Condom factor (ON)</w:t>
            </w:r>
          </w:p>
        </w:tc>
        <w:tc>
          <w:tcPr>
            <w:tcW w:type="dxa" w:w="205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Condom reduction</w:t>
            </w:r>
          </w:p>
        </w:tc>
      </w:tr>
      <w:tr>
        <w:tc>
          <w:tcPr>
            <w:tcW w:type="dxa" w:w="30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HPV</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0.40</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0.60</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~40% (skin)</w:t>
            </w:r>
          </w:p>
        </w:tc>
      </w:tr>
      <w:tr>
        <w:tc>
          <w:tcPr>
            <w:tcW w:type="dxa" w:w="306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Herpes (HSV-2)</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0.10</w:t>
            </w:r>
          </w:p>
        </w:tc>
        <w:tc>
          <w:tcPr>
            <w:tcW w:type="dxa" w:w="205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0.60</w:t>
            </w:r>
          </w:p>
        </w:tc>
        <w:tc>
          <w:tcPr>
            <w:tcW w:type="dxa" w:w="205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~40% (skin)</w:t>
            </w:r>
          </w:p>
        </w:tc>
      </w:tr>
      <w:tr>
        <w:tc>
          <w:tcPr>
            <w:tcW w:type="dxa" w:w="30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Chlamydia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0.04</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0.02</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~98%</w:t>
            </w:r>
          </w:p>
        </w:tc>
      </w:tr>
      <w:tr>
        <w:tc>
          <w:tcPr>
            <w:tcW w:type="dxa" w:w="306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Trichomoniasis</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0.02</w:t>
            </w:r>
          </w:p>
        </w:tc>
        <w:tc>
          <w:tcPr>
            <w:tcW w:type="dxa" w:w="205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0.02</w:t>
            </w:r>
          </w:p>
        </w:tc>
        <w:tc>
          <w:tcPr>
            <w:tcW w:type="dxa" w:w="205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~98%</w:t>
            </w:r>
          </w:p>
        </w:tc>
      </w:tr>
      <w:tr>
        <w:tc>
          <w:tcPr>
            <w:tcW w:type="dxa" w:w="30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Gonorrhea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0.007</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0.02</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~98%</w:t>
            </w:r>
          </w:p>
        </w:tc>
      </w:tr>
      <w:tr>
        <w:tc>
          <w:tcPr>
            <w:tcW w:type="dxa" w:w="306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HIV</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0.003</w:t>
            </w:r>
          </w:p>
        </w:tc>
        <w:tc>
          <w:tcPr>
            <w:tcW w:type="dxa" w:w="205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0.02</w:t>
            </w:r>
          </w:p>
        </w:tc>
        <w:tc>
          <w:tcPr>
            <w:tcW w:type="dxa" w:w="205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~98%</w:t>
            </w:r>
          </w:p>
        </w:tc>
      </w:tr>
      <w:tr>
        <w:tc>
          <w:tcPr>
            <w:tcW w:type="dxa" w:w="30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Syphilis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0.002</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0.02</w:t>
            </w:r>
          </w:p>
        </w:tc>
        <w:tc>
          <w:tcPr>
            <w:tcW w:type="dxa" w:w="20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~98%</w:t>
            </w:r>
          </w:p>
        </w:tc>
      </w:tr>
    </w:tbl>
    <w:p>
      <w:pPr>
        <w:spacing w:after="120" w:line="276"/>
      </w:pPr>
      <w:r>
        <w:rPr>
          <w:b/>
          <w:bCs/>
        </w:rPr>
        <w:t xml:space="preserve">HPV vaccine: </w:t>
      </w:r>
      <w:r>
        <w:t xml:space="preserve">a vaccinated student's HPV transmission is additionally multiplied by 0.10 (90% protection), focused on the high-risk, cancer-causing HPV types the vaccine targets — the strains that matter for health outcomes. Syphilis is technically skin-contact too, but is grouped with the 98% set here since its prevalence is negligible.</w:t>
      </w:r>
    </w:p>
    <w:p>
      <w:pPr>
        <w:pStyle w:val="Heading2"/>
      </w:pPr>
      <w:r>
        <w:t xml:space="preserve">7.3  Table 2 — Transmission per partnership (condomless)</w:t>
      </w:r>
    </w:p>
    <w:p>
      <w:pPr>
        <w:spacing w:after="120" w:line="276"/>
      </w:pPr>
      <w:r>
        <w:t xml:space="preserve">Probability the infection crosses TO the student, by anatomy pairing. Bi/pan students use the higher-risk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00"/>
        <w:gridCol w:w="2200"/>
        <w:gridCol w:w="1600"/>
        <w:gridCol w:w="1600"/>
      </w:tblGrid>
      <w:tr>
        <w:trPr>
          <w:tblHeader/>
        </w:trPr>
        <w:tc>
          <w:tcPr>
            <w:tcW w:type="dxa" w:w="176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STI</w:t>
            </w:r>
          </w:p>
        </w:tc>
        <w:tc>
          <w:tcPr>
            <w:tcW w:type="dxa" w:w="220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Vulva + penis (receptive)</w:t>
            </w:r>
          </w:p>
        </w:tc>
        <w:tc>
          <w:tcPr>
            <w:tcW w:type="dxa" w:w="220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Penis + vulva (insertive)</w:t>
            </w:r>
          </w:p>
        </w:tc>
        <w:tc>
          <w:tcPr>
            <w:tcW w:type="dxa" w:w="160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P+P (anal blend)</w:t>
            </w:r>
          </w:p>
        </w:tc>
        <w:tc>
          <w:tcPr>
            <w:tcW w:type="dxa" w:w="160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V+V</w:t>
            </w:r>
          </w:p>
        </w:tc>
      </w:tr>
      <w:tr>
        <w:tc>
          <w:tcPr>
            <w:tcW w:type="dxa" w:w="17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HPV</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0.55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0.45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0.50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0.30</w:t>
            </w:r>
          </w:p>
        </w:tc>
      </w:tr>
      <w:tr>
        <w:tc>
          <w:tcPr>
            <w:tcW w:type="dxa" w:w="176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Herpes</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0.15</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0.08</w:t>
            </w:r>
          </w:p>
        </w:tc>
        <w:tc>
          <w:tcPr>
            <w:tcW w:type="dxa" w:w="16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0.12</w:t>
            </w:r>
          </w:p>
        </w:tc>
        <w:tc>
          <w:tcPr>
            <w:tcW w:type="dxa" w:w="16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0.08</w:t>
            </w:r>
          </w:p>
        </w:tc>
      </w:tr>
      <w:tr>
        <w:tc>
          <w:tcPr>
            <w:tcW w:type="dxa" w:w="17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Chlamydia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0.35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0.10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0.30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0.02</w:t>
            </w:r>
          </w:p>
        </w:tc>
      </w:tr>
      <w:tr>
        <w:tc>
          <w:tcPr>
            <w:tcW w:type="dxa" w:w="176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Trichomoniasis</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0.40</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0.10</w:t>
            </w:r>
          </w:p>
        </w:tc>
        <w:tc>
          <w:tcPr>
            <w:tcW w:type="dxa" w:w="16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0.05</w:t>
            </w:r>
          </w:p>
        </w:tc>
        <w:tc>
          <w:tcPr>
            <w:tcW w:type="dxa" w:w="16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0.10</w:t>
            </w:r>
          </w:p>
        </w:tc>
      </w:tr>
      <w:tr>
        <w:tc>
          <w:tcPr>
            <w:tcW w:type="dxa" w:w="17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Gonorrhea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0.50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0.20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0.45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0.02</w:t>
            </w:r>
          </w:p>
        </w:tc>
      </w:tr>
      <w:tr>
        <w:tc>
          <w:tcPr>
            <w:tcW w:type="dxa" w:w="176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HIV</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0.02</w:t>
            </w:r>
          </w:p>
        </w:tc>
        <w:tc>
          <w:tcPr>
            <w:tcW w:type="dxa" w:w="22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0.007</w:t>
            </w:r>
          </w:p>
        </w:tc>
        <w:tc>
          <w:tcPr>
            <w:tcW w:type="dxa" w:w="16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0.08</w:t>
            </w:r>
          </w:p>
        </w:tc>
        <w:tc>
          <w:tcPr>
            <w:tcW w:type="dxa" w:w="160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0.0005</w:t>
            </w:r>
          </w:p>
        </w:tc>
      </w:tr>
      <w:tr>
        <w:tc>
          <w:tcPr>
            <w:tcW w:type="dxa" w:w="17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Syphilis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0.30</w:t>
            </w:r>
          </w:p>
        </w:tc>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0.30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0.40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0.10</w:t>
            </w:r>
          </w:p>
        </w:tc>
      </w:tr>
    </w:tbl>
    <w:p>
      <w:pPr>
        <w:pStyle w:val="Heading2"/>
      </w:pPr>
      <w:r>
        <w:t xml:space="preserve">7.4  Table 3 — Partner-tier prevalence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Tier</w:t>
            </w:r>
          </w:p>
        </w:tc>
        <w:tc>
          <w:tcPr>
            <w:tcW w:type="dxa" w:w="4680"/>
            <w:tcBorders>
              <w:top w:val="single" w:color="DDDDDD" w:sz="1"/>
              <w:left w:val="single" w:color="DDDDDD" w:sz="1"/>
              <w:bottom w:val="single" w:color="DDDDDD" w:sz="1"/>
              <w:right w:val="single" w:color="DDDDDD" w:sz="1"/>
            </w:tcBorders>
            <w:shd w:fill="3E92A8" w:val="clear"/>
            <w:tcMar>
              <w:top w:type="dxa" w:w="70"/>
              <w:left w:type="dxa" w:w="110"/>
              <w:bottom w:type="dxa" w:w="70"/>
              <w:right w:type="dxa" w:w="110"/>
            </w:tcMar>
          </w:tcPr>
          <w:p>
            <w:r>
              <w:rPr>
                <w:b/>
                <w:bCs/>
                <w:color w:val="FFFFFF"/>
                <w:sz w:val="19"/>
                <w:szCs w:val="19"/>
              </w:rPr>
              <w:t xml:space="preserve">Multiplier</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Stranger</w:t>
            </w:r>
          </w:p>
        </w:tc>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1.00</w:t>
            </w:r>
          </w:p>
        </w:tc>
      </w:tr>
      <w:tr>
        <w:tc>
          <w:tcPr>
            <w:tcW w:type="dxa" w:w="468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Acquaintance</w:t>
            </w:r>
          </w:p>
        </w:tc>
        <w:tc>
          <w:tcPr>
            <w:tcW w:type="dxa" w:w="468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0.60</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bCs/>
                <w:sz w:val="20"/>
                <w:szCs w:val="20"/>
              </w:rPr>
              <w:t xml:space="preserve">Friend</w:t>
            </w:r>
          </w:p>
        </w:tc>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b w:val="false"/>
                <w:bCs w:val="false"/>
                <w:sz w:val="20"/>
                <w:szCs w:val="20"/>
              </w:rPr>
              <w:t xml:space="preserve">0.30</w:t>
            </w:r>
          </w:p>
        </w:tc>
      </w:tr>
      <w:tr>
        <w:tc>
          <w:tcPr>
            <w:tcW w:type="dxa" w:w="468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bCs/>
                <w:sz w:val="20"/>
                <w:szCs w:val="20"/>
              </w:rPr>
              <w:t xml:space="preserve">Relationship partner</w:t>
            </w:r>
          </w:p>
        </w:tc>
        <w:tc>
          <w:tcPr>
            <w:tcW w:type="dxa" w:w="4680"/>
            <w:tcBorders>
              <w:top w:val="single" w:color="DDDDDD" w:sz="1"/>
              <w:left w:val="single" w:color="DDDDDD" w:sz="1"/>
              <w:bottom w:val="single" w:color="DDDDDD" w:sz="1"/>
              <w:right w:val="single" w:color="DDDDDD" w:sz="1"/>
            </w:tcBorders>
            <w:shd w:fill="F1F1F1" w:val="clear"/>
            <w:tcMar>
              <w:top w:type="dxa" w:w="60"/>
              <w:left w:type="dxa" w:w="110"/>
              <w:bottom w:type="dxa" w:w="60"/>
              <w:right w:type="dxa" w:w="110"/>
            </w:tcMar>
          </w:tcPr>
          <w:p>
            <w:r>
              <w:rPr>
                <w:b w:val="false"/>
                <w:bCs w:val="false"/>
                <w:sz w:val="20"/>
                <w:szCs w:val="20"/>
              </w:rPr>
              <w:t xml:space="preserve">0.12</w:t>
            </w:r>
          </w:p>
        </w:tc>
      </w:tr>
    </w:tbl>
    <w:p>
      <w:pPr>
        <w:pStyle w:val="Heading2"/>
      </w:pPr>
      <w:r>
        <w:t xml:space="preserve">7.5  Worked example</w:t>
      </w:r>
    </w:p>
    <w:p>
      <w:pPr>
        <w:spacing w:after="120" w:line="276"/>
      </w:pPr>
      <w:r>
        <w:t xml:space="preserve">Straight woman (vulva; partners have penises), 3 strangers, no condoms, unvaccinated → P(any STI) ≈ 58%, dominated by HPV. Turning condoms on drops it to ≈ 36%: chlamydia, gonorrhea, trichomoniasis and HIV nearly vanish, but HPV stays high because condoms barely dent it. The HPV vaccine is the bigger lever here — it drops the unprotected case to ≈ 17%; condoms and the vaccine together reach ≈ 7%. The contrast between condoms (great for fluid-borne STIs) and the vaccine (the real defense against HPV) is the intended teaching moment.</w:t>
      </w:r>
    </w:p>
    <w:p>
      <w:pPr>
        <w:pStyle w:val="Heading2"/>
      </w:pPr>
      <w:r>
        <w:t xml:space="preserve">7.6  Calibration notes &amp; caveats</w:t>
      </w:r>
    </w:p>
    <w:p>
      <w:pPr>
        <w:pStyle w:val="ListParagraph"/>
        <w:numPr>
          <w:ilvl w:val="0"/>
          <w:numId w:val="2"/>
        </w:numPr>
        <w:spacing w:after="60" w:line="264"/>
      </w:pPr>
      <w:r>
        <w:rPr>
          <w:b w:val="false"/>
          <w:bCs w:val="false"/>
        </w:rPr>
        <w:t xml:space="preserve">Chlamydia transmission is anchored to published per-partnership data (M→F ~0.35, F→M ~0.10); other STIs scaled by relative per-act transmissibility and CDC condom-efficacy ranges.</w:t>
      </w:r>
    </w:p>
    <w:p>
      <w:pPr>
        <w:pStyle w:val="ListParagraph"/>
        <w:numPr>
          <w:ilvl w:val="0"/>
          <w:numId w:val="2"/>
        </w:numPr>
        <w:spacing w:after="60" w:line="264"/>
      </w:pPr>
      <w:r>
        <w:rPr>
          <w:b w:val="false"/>
          <w:bCs w:val="false"/>
        </w:rPr>
        <w:t xml:space="preserve">Prevalence is general young-adult prevalence. Real hookup-pool prevalence varies by community; syphilis and HIV concentrate heavily in MSM networks, so the general-pool figures understate risk there.</w:t>
      </w:r>
    </w:p>
    <w:p>
      <w:pPr>
        <w:pStyle w:val="ListParagraph"/>
        <w:numPr>
          <w:ilvl w:val="0"/>
          <w:numId w:val="2"/>
        </w:numPr>
        <w:spacing w:after="60" w:line="264"/>
      </w:pPr>
      <w:r>
        <w:rPr>
          <w:b w:val="false"/>
          <w:bCs w:val="false"/>
        </w:rPr>
        <w:t xml:space="preserve">Per-partnership values bake in an 'average' number of acts, so the tool does not ask about frequency.</w:t>
      </w:r>
    </w:p>
    <w:p>
      <w:pPr>
        <w:pStyle w:val="ListParagraph"/>
        <w:numPr>
          <w:ilvl w:val="0"/>
          <w:numId w:val="2"/>
        </w:numPr>
        <w:spacing w:after="60" w:line="264"/>
      </w:pPr>
      <w:r>
        <w:rPr>
          <w:b w:val="false"/>
          <w:bCs w:val="false"/>
        </w:rPr>
        <w:t xml:space="preserve">Condom protection uses two tiers (98% fluid-borne / 40% skin-contact) and the HPV-vaccine effect is a flat 90% reduction (against the high-risk strains) — both deliberate simplifications of figures that vary by study, consistency of use, and vaccine type/timing.</w:t>
      </w:r>
    </w:p>
    <w:p>
      <w:pPr>
        <w:pStyle w:val="ListParagraph"/>
        <w:numPr>
          <w:ilvl w:val="0"/>
          <w:numId w:val="2"/>
        </w:numPr>
        <w:spacing w:after="60" w:line="264"/>
      </w:pPr>
      <w:r>
        <w:rPr>
          <w:b w:val="false"/>
          <w:bCs w:val="false"/>
        </w:rPr>
        <w:t xml:space="preserve">Assumptions: partners are independent draws; no mid-year testing or treatment; the student starts uninfected.</w:t>
      </w:r>
    </w:p>
    <w:p>
      <w:pPr>
        <w:pStyle w:val="Heading2"/>
      </w:pPr>
      <w:r>
        <w:t xml:space="preserve">7.7  Sources</w:t>
      </w:r>
    </w:p>
    <w:p>
      <w:pPr>
        <w:pStyle w:val="ListParagraph"/>
        <w:numPr>
          <w:ilvl w:val="0"/>
          <w:numId w:val="2"/>
        </w:numPr>
        <w:spacing w:after="60"/>
      </w:pPr>
      <w:r>
        <w:t xml:space="preserve">CDC — 1 in 5 Americans have an STI / 68M prevalent, 26M new per year — </w:t>
      </w:r>
      <w:hyperlink w:history="1" r:id="rIdukp4usl7xmukxpxymgirh">
        <w:r>
          <w:rPr>
            <w:rStyle w:val="Hyperlink"/>
            <w:sz w:val="18"/>
            <w:szCs w:val="18"/>
          </w:rPr>
          <w:t xml:space="preserve">https://archive.cdc.gov/www_cdc_gov/media/releases/2021/p0125-sexualy-transmitted-infection.html</w:t>
        </w:r>
      </w:hyperlink>
    </w:p>
    <w:p>
      <w:pPr>
        <w:pStyle w:val="ListParagraph"/>
        <w:numPr>
          <w:ilvl w:val="0"/>
          <w:numId w:val="2"/>
        </w:numPr>
        <w:spacing w:after="60"/>
      </w:pPr>
      <w:r>
        <w:t xml:space="preserve">CDC — STIs among young Americans (15–24 = ~50% of new infections) — </w:t>
      </w:r>
      <w:hyperlink w:history="1" r:id="rIdtot8igj8lulyubq89h5xi">
        <w:r>
          <w:rPr>
            <w:rStyle w:val="Hyperlink"/>
            <w:sz w:val="18"/>
            <w:szCs w:val="18"/>
          </w:rPr>
          <w:t xml:space="preserve">https://npin.cdc.gov/publication/sexually-transmitted-infections-among-young-americans</w:t>
        </w:r>
      </w:hyperlink>
    </w:p>
    <w:p>
      <w:pPr>
        <w:pStyle w:val="ListParagraph"/>
        <w:numPr>
          <w:ilvl w:val="0"/>
          <w:numId w:val="2"/>
        </w:numPr>
        <w:spacing w:after="60"/>
      </w:pPr>
      <w:r>
        <w:t xml:space="preserve">CDC — 2023 National Overview of STIs — </w:t>
      </w:r>
      <w:hyperlink w:history="1" r:id="rIdsyvbjtrmpbdnxvvmsnbgu">
        <w:r>
          <w:rPr>
            <w:rStyle w:val="Hyperlink"/>
            <w:sz w:val="18"/>
            <w:szCs w:val="18"/>
          </w:rPr>
          <w:t xml:space="preserve">https://www.cdc.gov/sti-statistics/annual/index.html</w:t>
        </w:r>
      </w:hyperlink>
    </w:p>
    <w:p>
      <w:pPr>
        <w:pStyle w:val="ListParagraph"/>
        <w:numPr>
          <w:ilvl w:val="0"/>
          <w:numId w:val="2"/>
        </w:numPr>
        <w:spacing w:after="60"/>
      </w:pPr>
      <w:r>
        <w:t xml:space="preserve">CDC/NCHS — HSV-2 and HPV prevalence (NHANES data briefs) — </w:t>
      </w:r>
      <w:hyperlink w:history="1" r:id="rId074ihz_rdnbeze9jdypht">
        <w:r>
          <w:rPr>
            <w:rStyle w:val="Hyperlink"/>
            <w:sz w:val="18"/>
            <w:szCs w:val="18"/>
          </w:rPr>
          <w:t xml:space="preserve">https://www.cdc.gov/nchs/products/databriefs/db280.htm</w:t>
        </w:r>
      </w:hyperlink>
    </w:p>
    <w:p>
      <w:pPr>
        <w:pStyle w:val="ListParagraph"/>
        <w:numPr>
          <w:ilvl w:val="0"/>
          <w:numId w:val="2"/>
        </w:numPr>
        <w:spacing w:after="60"/>
      </w:pPr>
      <w:r>
        <w:t xml:space="preserve">Per-partnership chlamydia transmission probabilities (evidence synthesis) — </w:t>
      </w:r>
      <w:hyperlink w:history="1" r:id="rIdsghmtoakn_fqcnv_1snrd">
        <w:r>
          <w:rPr>
            <w:rStyle w:val="Hyperlink"/>
            <w:sz w:val="18"/>
            <w:szCs w:val="18"/>
          </w:rPr>
          <w:t xml:space="preserve">https://pmc.ncbi.nlm.nih.gov/articles/PMC8128448/</w:t>
        </w:r>
      </w:hyperlink>
    </w:p>
    <w:p>
      <w:pPr>
        <w:pStyle w:val="ListParagraph"/>
        <w:numPr>
          <w:ilvl w:val="0"/>
          <w:numId w:val="2"/>
        </w:numPr>
        <w:spacing w:after="60"/>
      </w:pPr>
      <w:r>
        <w:t xml:space="preserve">CDC — condom effectiveness by STI (STI Treatment Guidelines 2021) — </w:t>
      </w:r>
      <w:hyperlink w:history="1" r:id="rIdd9ecci9umcue_7ot5rux2">
        <w:r>
          <w:rPr>
            <w:rStyle w:val="Hyperlink"/>
            <w:sz w:val="18"/>
            <w:szCs w:val="18"/>
          </w:rPr>
          <w:t xml:space="preserve">https://www.cdc.gov/mmwr/volumes/70/rr/rr7004a1.htm</w:t>
        </w:r>
      </w:hyperlink>
    </w:p>
    <w:p>
      <w:pPr>
        <w:pStyle w:val="ListParagraph"/>
        <w:numPr>
          <w:ilvl w:val="0"/>
          <w:numId w:val="2"/>
        </w:numPr>
        <w:spacing w:after="60"/>
      </w:pPr>
      <w:r>
        <w:t xml:space="preserve">Boily et al. / CDC — per-act HIV transmission by exposure type — </w:t>
      </w:r>
      <w:hyperlink w:history="1" r:id="rIdis9f_todcglakqfoefmnw">
        <w:r>
          <w:rPr>
            <w:rStyle w:val="Hyperlink"/>
            <w:sz w:val="18"/>
            <w:szCs w:val="18"/>
          </w:rPr>
          <w:t xml:space="preserve">https://stacks.cdc.gov/view/cdc/59838/cdc_59838_DS1.pdf</w:t>
        </w:r>
      </w:hyperlink>
    </w:p>
    <w:p>
      <w:pPr>
        <w:pBdr>
          <w:top w:val="single" w:color="3E92A8" w:sz="8" w:space="6"/>
        </w:pBdr>
        <w:spacing w:before="320"/>
      </w:pPr>
      <w:r>
        <w:rPr>
          <w:i/>
          <w:iCs/>
          <w:color w:val="8A8A8A"/>
          <w:sz w:val="20"/>
          <w:szCs w:val="20"/>
        </w:rPr>
        <w:t xml:space="preserve">End of pack — 20 cohesive prompts + risk-model methodology appendix.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8"/>
        <w:szCs w:val="18"/>
      </w:rPr>
      <w:t xml:space="preserve">Hook-Up Game  ·  Art Direction &amp; Image Prompt Pack  ·  Page </w:t>
    </w:r>
    <w:r>
      <w:rPr>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A1A1A"/>
      <w:sz w:val="52"/>
      <w:szCs w:val="52"/>
    </w:rPr>
  </w:style>
  <w:style w:type="paragraph" w:styleId="Heading1">
    <w:name w:val="Heading 1"/>
    <w:basedOn w:val="Normal"/>
    <w:next w:val="Normal"/>
    <w:qFormat/>
    <w:pPr>
      <w:spacing w:after="160" w:before="320"/>
      <w:outlineLvl w:val="0"/>
    </w:pPr>
    <w:rPr>
      <w:rFonts w:ascii="Arial" w:cs="Arial" w:eastAsia="Arial" w:hAnsi="Arial"/>
      <w:b/>
      <w:bCs/>
      <w:color w:val="3E92A8"/>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A1A1A"/>
      <w:sz w:val="27"/>
      <w:szCs w:val="27"/>
    </w:rPr>
  </w:style>
  <w:style w:type="paragraph" w:styleId="Heading3">
    <w:name w:val="Heading 3"/>
    <w:basedOn w:val="Normal"/>
    <w:next w:val="Normal"/>
    <w:qFormat/>
    <w:pPr>
      <w:spacing w:after="80" w:before="180"/>
      <w:outlineLvl w:val="2"/>
    </w:pPr>
    <w:rPr>
      <w:rFonts w:ascii="Arial" w:cs="Arial" w:eastAsia="Arial" w:hAnsi="Arial"/>
      <w:b/>
      <w:bCs/>
      <w:color w:val="E655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kp4usl7xmukxpxymgirh" Type="http://schemas.openxmlformats.org/officeDocument/2006/relationships/hyperlink" Target="https://archive.cdc.gov/www_cdc_gov/media/releases/2021/p0125-sexualy-transmitted-infection.html" TargetMode="External"/><Relationship Id="rIdtot8igj8lulyubq89h5xi" Type="http://schemas.openxmlformats.org/officeDocument/2006/relationships/hyperlink" Target="https://npin.cdc.gov/publication/sexually-transmitted-infections-among-young-americans" TargetMode="External"/><Relationship Id="rIdsyvbjtrmpbdnxvvmsnbgu" Type="http://schemas.openxmlformats.org/officeDocument/2006/relationships/hyperlink" Target="https://www.cdc.gov/sti-statistics/annual/index.html" TargetMode="External"/><Relationship Id="rId074ihz_rdnbeze9jdypht" Type="http://schemas.openxmlformats.org/officeDocument/2006/relationships/hyperlink" Target="https://www.cdc.gov/nchs/products/databriefs/db280.htm" TargetMode="External"/><Relationship Id="rIdsghmtoakn_fqcnv_1snrd" Type="http://schemas.openxmlformats.org/officeDocument/2006/relationships/hyperlink" Target="https://pmc.ncbi.nlm.nih.gov/articles/PMC8128448/" TargetMode="External"/><Relationship Id="rIdd9ecci9umcue_7ot5rux2" Type="http://schemas.openxmlformats.org/officeDocument/2006/relationships/hyperlink" Target="https://www.cdc.gov/mmwr/volumes/70/rr/rr7004a1.htm" TargetMode="External"/><Relationship Id="rIdis9f_todcglakqfoefmnw" Type="http://schemas.openxmlformats.org/officeDocument/2006/relationships/hyperlink" Target="https://stacks.cdc.gov/view/cdc/59838/cdc_59838_DS1.pdf"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Hook-Up Game — Art Direction &amp; ChatGPT Image Prompts</dc:title>
  <dc:creator>Hook-Up Game</dc:creator>
  <cp:lastModifiedBy>Un-named</cp:lastModifiedBy>
  <cp:revision>1</cp:revision>
  <dcterms:created xsi:type="dcterms:W3CDTF">2026-06-29T20:43:08.189Z</dcterms:created>
  <dcterms:modified xsi:type="dcterms:W3CDTF">2026-06-29T20:43:08.193Z</dcterms:modified>
</cp:coreProperties>
</file>

<file path=docProps/custom.xml><?xml version="1.0" encoding="utf-8"?>
<Properties xmlns="http://schemas.openxmlformats.org/officeDocument/2006/custom-properties" xmlns:vt="http://schemas.openxmlformats.org/officeDocument/2006/docPropsVTypes"/>
</file>