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0" w:lineRule="exact" w:before="376" w:after="0"/>
        <w:ind w:left="262" w:right="1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2"/>
          <w:u w:val="single"/>
        </w:rPr>
        <w:t>Carrera: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 TECNICATURA SUPERIOR EN ANALISIS DE SISTEMAS INFORMATICOS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(RESOL Nº 4446/MEGC/16)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Espacio Curricular: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,Bold" w:hAnsi="Arial,Bold" w:eastAsia="Arial,Bold"/>
          <w:b/>
          <w:i w:val="0"/>
          <w:color w:val="000000"/>
          <w:sz w:val="22"/>
        </w:rPr>
        <w:t xml:space="preserve">ALGEBRA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Primer Año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Profesora: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Graciela Bellome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Correlativas: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No posee. </w:t>
      </w:r>
    </w:p>
    <w:p>
      <w:pPr>
        <w:autoSpaceDN w:val="0"/>
        <w:autoSpaceDE w:val="0"/>
        <w:widowControl/>
        <w:spacing w:line="304" w:lineRule="exact" w:before="7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Año: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2022 </w:t>
      </w:r>
    </w:p>
    <w:p>
      <w:pPr>
        <w:autoSpaceDN w:val="0"/>
        <w:autoSpaceDE w:val="0"/>
        <w:widowControl/>
        <w:spacing w:line="316" w:lineRule="exact" w:before="302" w:after="0"/>
        <w:ind w:left="26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 finalizar el espacio curricular y acreditar su aprobación el estudiante será capaz de: </w:t>
      </w:r>
    </w:p>
    <w:p>
      <w:pPr>
        <w:autoSpaceDN w:val="0"/>
        <w:tabs>
          <w:tab w:pos="970" w:val="left"/>
        </w:tabs>
        <w:autoSpaceDE w:val="0"/>
        <w:widowControl/>
        <w:spacing w:line="304" w:lineRule="exact" w:before="634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Argumentar sus soluciones </w:t>
      </w:r>
    </w:p>
    <w:p>
      <w:pPr>
        <w:autoSpaceDN w:val="0"/>
        <w:tabs>
          <w:tab w:pos="970" w:val="left"/>
        </w:tabs>
        <w:autoSpaceDE w:val="0"/>
        <w:widowControl/>
        <w:spacing w:line="304" w:lineRule="exact" w:before="58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Justificar afirmaciones </w:t>
      </w:r>
    </w:p>
    <w:p>
      <w:pPr>
        <w:autoSpaceDN w:val="0"/>
        <w:tabs>
          <w:tab w:pos="970" w:val="left"/>
        </w:tabs>
        <w:autoSpaceDE w:val="0"/>
        <w:widowControl/>
        <w:spacing w:line="304" w:lineRule="exact" w:before="5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Ejemplificar y contraejemplificar </w:t>
      </w:r>
    </w:p>
    <w:p>
      <w:pPr>
        <w:autoSpaceDN w:val="0"/>
        <w:tabs>
          <w:tab w:pos="970" w:val="left"/>
        </w:tabs>
        <w:autoSpaceDE w:val="0"/>
        <w:widowControl/>
        <w:spacing w:line="302" w:lineRule="exact" w:before="60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Decidir sobre la verdad o falsedad de un enunciado </w:t>
      </w:r>
    </w:p>
    <w:p>
      <w:pPr>
        <w:autoSpaceDN w:val="0"/>
        <w:tabs>
          <w:tab w:pos="970" w:val="left"/>
        </w:tabs>
        <w:autoSpaceDE w:val="0"/>
        <w:widowControl/>
        <w:spacing w:line="302" w:lineRule="exact" w:before="64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Hacer deducciones simples </w:t>
      </w:r>
    </w:p>
    <w:p>
      <w:pPr>
        <w:autoSpaceDN w:val="0"/>
        <w:tabs>
          <w:tab w:pos="970" w:val="left"/>
        </w:tabs>
        <w:autoSpaceDE w:val="0"/>
        <w:widowControl/>
        <w:spacing w:line="304" w:lineRule="exact" w:before="5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Extraer significado a partir de la notación matemática </w:t>
      </w:r>
    </w:p>
    <w:p>
      <w:pPr>
        <w:autoSpaceDN w:val="0"/>
        <w:autoSpaceDE w:val="0"/>
        <w:widowControl/>
        <w:spacing w:line="304" w:lineRule="exact" w:before="810" w:after="41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Actitudinales: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194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•</w:t>
            </w:r>
          </w:p>
          <w:p>
            <w:pPr>
              <w:autoSpaceDN w:val="0"/>
              <w:autoSpaceDE w:val="0"/>
              <w:widowControl/>
              <w:spacing w:line="178" w:lineRule="exact" w:before="3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•</w:t>
            </w:r>
          </w:p>
          <w:p>
            <w:pPr>
              <w:autoSpaceDN w:val="0"/>
              <w:autoSpaceDE w:val="0"/>
              <w:widowControl/>
              <w:spacing w:line="178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•</w:t>
            </w:r>
          </w:p>
          <w:p>
            <w:pPr>
              <w:autoSpaceDN w:val="0"/>
              <w:autoSpaceDE w:val="0"/>
              <w:widowControl/>
              <w:spacing w:line="178" w:lineRule="exact" w:before="3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2" w:after="0"/>
              <w:ind w:left="16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Valorar de la importancia  del álgebra en la construcción de estructuras lógicas 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pensamiento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Comprometerse y responsabilizarse con la tarea educativa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Lograr una actitud reflexiva y crítica frente al análisis de textos y conceptos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16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Organizar los contenidos conceptuales y distribución del tiempo propio de la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educación a distancia. </w:t>
            </w:r>
          </w:p>
        </w:tc>
      </w:tr>
    </w:tbl>
    <w:p>
      <w:pPr>
        <w:autoSpaceDN w:val="0"/>
        <w:tabs>
          <w:tab w:pos="982" w:val="left"/>
        </w:tabs>
        <w:autoSpaceDE w:val="0"/>
        <w:widowControl/>
        <w:spacing w:line="380" w:lineRule="exact" w:before="952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Teórico Prácticos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Mínimos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Conjuntos: definición, operaciones Sistemas de numeración: cambio de base.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Errores: identificación. Vectores en el plano: coordenadas, operaciones.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Matrices: clasificación, operaciones, cálculo de la inversa. Grafos: elementos,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matriz adyacencia e incidencia. </w:t>
      </w:r>
    </w:p>
    <w:p>
      <w:pPr>
        <w:autoSpaceDN w:val="0"/>
        <w:autoSpaceDE w:val="0"/>
        <w:widowControl/>
        <w:spacing w:line="328" w:lineRule="exact" w:before="546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 </w:t>
      </w:r>
    </w:p>
    <w:p>
      <w:pPr>
        <w:sectPr>
          <w:pgSz w:w="11906" w:h="16838"/>
          <w:pgMar w:top="360" w:right="1440" w:bottom="35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6" w:lineRule="exact" w:before="20" w:after="156"/>
        <w:ind w:left="262" w:right="41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1: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TEORÍA BÁSICA DE CONJUNTOS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122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322" w:right="11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30" w:right="15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Definir conjuntos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Clasificar conjuntos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Operar con conjuntos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Hallar el producto cartesiano entre dos conjuntos </w:t>
            </w:r>
          </w:p>
        </w:tc>
      </w:tr>
    </w:tbl>
    <w:p>
      <w:pPr>
        <w:autoSpaceDN w:val="0"/>
        <w:autoSpaceDE w:val="0"/>
        <w:widowControl/>
        <w:spacing w:line="302" w:lineRule="exact" w:before="144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56" w:after="0"/>
        <w:ind w:left="262" w:right="20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Conjuntos y pertenencia. Definición de conjunto. Diagramas de ven. Conjunto vacío.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Conjunto universal. Cardinalidad. Relaciones entre conjuntos. Igualdad de conjuntos.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Conjunto de partes. Operaciones entre conjuntos. Propiedades de las operaciones.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Pares ordenados y producto cartesiano.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126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1 y sirve como introducción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tabs>
          <w:tab w:pos="622" w:val="left"/>
          <w:tab w:pos="970" w:val="left"/>
        </w:tabs>
        <w:autoSpaceDE w:val="0"/>
        <w:widowControl/>
        <w:spacing w:line="332" w:lineRule="exact" w:before="1426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2: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SISTEMAS DE NUMERACIÓN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Cla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sificar sistemas de numeración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Escribir un mismo número en diferentes sistemas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Clasificación de sistemas de numeración: sistemas posicionales y no posicionales.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Teorema fundamental de la numeración. Número de símbolos expresados en base p.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Sistema decimal. Sistema binario. Sistema octal. Sistema hexadecimal. Cambio de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base. Conversión de números enteros y fraccionarios. Operaciones en diferentes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bases. Aritmética de punto flotante. Estándar IEEE-754. Precisión simple. Precisión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doble. </w:t>
      </w:r>
    </w:p>
    <w:p>
      <w:pPr>
        <w:autoSpaceDN w:val="0"/>
        <w:tabs>
          <w:tab w:pos="970" w:val="left"/>
        </w:tabs>
        <w:autoSpaceDE w:val="0"/>
        <w:widowControl/>
        <w:spacing w:line="378" w:lineRule="exact" w:before="128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autoSpaceDE w:val="0"/>
        <w:widowControl/>
        <w:spacing w:line="304" w:lineRule="exact" w:before="78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28" w:lineRule="exact" w:before="894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2 </w:t>
      </w:r>
    </w:p>
    <w:p>
      <w:pPr>
        <w:sectPr>
          <w:pgSz w:w="11906" w:h="16838"/>
          <w:pgMar w:top="360" w:right="1440" w:bottom="352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0" w:after="0"/>
        <w:ind w:left="97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1 y sirve como introducción a </w:t>
      </w:r>
    </w:p>
    <w:p>
      <w:pPr>
        <w:autoSpaceDN w:val="0"/>
        <w:autoSpaceDE w:val="0"/>
        <w:widowControl/>
        <w:spacing w:line="302" w:lineRule="exact" w:before="78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autoSpaceDE w:val="0"/>
        <w:widowControl/>
        <w:spacing w:line="302" w:lineRule="exact" w:before="81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3: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INTRODUCCIÓN A LA TEORÍA DE ERRORES </w:t>
      </w:r>
    </w:p>
    <w:p>
      <w:pPr>
        <w:autoSpaceDN w:val="0"/>
        <w:autoSpaceDE w:val="0"/>
        <w:widowControl/>
        <w:spacing w:line="302" w:lineRule="exact" w:before="204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970" w:val="left"/>
        </w:tabs>
        <w:autoSpaceDE w:val="0"/>
        <w:widowControl/>
        <w:spacing w:line="270" w:lineRule="exact" w:before="0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Identificar diferentes tipos de errores </w:t>
      </w:r>
    </w:p>
    <w:p>
      <w:pPr>
        <w:autoSpaceDN w:val="0"/>
        <w:tabs>
          <w:tab w:pos="970" w:val="left"/>
        </w:tabs>
        <w:autoSpaceDE w:val="0"/>
        <w:widowControl/>
        <w:spacing w:line="270" w:lineRule="exact" w:before="0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Reconocer cifras significativas de un número </w:t>
      </w:r>
    </w:p>
    <w:p>
      <w:pPr>
        <w:autoSpaceDN w:val="0"/>
        <w:autoSpaceDE w:val="0"/>
        <w:widowControl/>
        <w:spacing w:line="304" w:lineRule="exact" w:before="112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52" w:after="0"/>
        <w:ind w:left="262" w:right="20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Representación de números en la computadora. Representación de números reales 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 punto fijo. Tipos de errores: error absoluto, error relativo. Cifras significativas.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Errores por redondeo. Error por truncamiento. Propagación de errores. </w:t>
      </w:r>
    </w:p>
    <w:p>
      <w:pPr>
        <w:autoSpaceDN w:val="0"/>
        <w:autoSpaceDE w:val="0"/>
        <w:widowControl/>
        <w:spacing w:line="304" w:lineRule="exact" w:before="20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2" w:lineRule="exact" w:before="76" w:after="0"/>
        <w:ind w:left="97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</w:p>
    <w:p>
      <w:pPr>
        <w:autoSpaceDN w:val="0"/>
        <w:autoSpaceDE w:val="0"/>
        <w:widowControl/>
        <w:spacing w:line="304" w:lineRule="exact" w:before="7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autoSpaceDE w:val="0"/>
        <w:widowControl/>
        <w:spacing w:line="304" w:lineRule="exact" w:before="7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4" w:lineRule="exact" w:before="74" w:after="0"/>
        <w:ind w:left="97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1 y sirve como introducción a </w:t>
      </w:r>
    </w:p>
    <w:p>
      <w:pPr>
        <w:autoSpaceDN w:val="0"/>
        <w:autoSpaceDE w:val="0"/>
        <w:widowControl/>
        <w:spacing w:line="304" w:lineRule="exact" w:before="7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autoSpaceDE w:val="0"/>
        <w:widowControl/>
        <w:spacing w:line="304" w:lineRule="exact" w:before="76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4: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VECTORES EN EL PLANO </w:t>
      </w:r>
    </w:p>
    <w:p>
      <w:pPr>
        <w:autoSpaceDN w:val="0"/>
        <w:autoSpaceDE w:val="0"/>
        <w:widowControl/>
        <w:spacing w:line="302" w:lineRule="exact" w:before="204" w:after="158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122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322" w:right="11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30" w:right="115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Clasificar vectores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Dar las coordenadas de un vector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Operar algebraicamente con vectores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Aplicar las propiedades de las operaciones con vectores </w:t>
            </w:r>
          </w:p>
        </w:tc>
      </w:tr>
    </w:tbl>
    <w:p>
      <w:pPr>
        <w:autoSpaceDN w:val="0"/>
        <w:autoSpaceDE w:val="0"/>
        <w:widowControl/>
        <w:spacing w:line="304" w:lineRule="exact" w:before="14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32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Elementos de un vector. Tipos de vectores: unitario, nulo, opuestos, equipolentes.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Vectores libres en el plano. Coordenadas o componentes de un vector. </w:t>
      </w:r>
    </w:p>
    <w:p>
      <w:pPr>
        <w:autoSpaceDN w:val="0"/>
        <w:autoSpaceDE w:val="0"/>
        <w:widowControl/>
        <w:spacing w:line="254" w:lineRule="exact" w:before="48" w:after="0"/>
        <w:ind w:left="262" w:right="19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Vectores colineales y concurrentes. Suma y resta de vactores. Descomposición de un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vector en el sistema cartesiano. Suma de vectores en el espacio. Método algebraico.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Propiedades de la suma. Producto de un vector por un escalar. Producto escalar de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dos vectores. Cálculo del ángulo entre dos vectores. Propiedades del producto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escalar. Producto vectorial de dos vectores. Propiedades del producto vectorial.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Producto mixto. Propiedades. </w:t>
      </w:r>
    </w:p>
    <w:p>
      <w:pPr>
        <w:autoSpaceDN w:val="0"/>
        <w:autoSpaceDE w:val="0"/>
        <w:widowControl/>
        <w:spacing w:line="328" w:lineRule="exact" w:before="838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3 </w:t>
      </w:r>
    </w:p>
    <w:p>
      <w:pPr>
        <w:sectPr>
          <w:pgSz w:w="11906" w:h="16838"/>
          <w:pgMar w:top="360" w:right="1440" w:bottom="352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87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2 y sirve como introducción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autoSpaceDE w:val="0"/>
        <w:widowControl/>
        <w:spacing w:line="304" w:lineRule="exact" w:before="122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5: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MATRICES </w:t>
      </w:r>
    </w:p>
    <w:p>
      <w:pPr>
        <w:autoSpaceDN w:val="0"/>
        <w:autoSpaceDE w:val="0"/>
        <w:widowControl/>
        <w:spacing w:line="304" w:lineRule="exact" w:before="20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510" w:after="0"/>
        <w:ind w:left="982" w:right="41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Identificar diferentes tipos de matrices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Operar con matrices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Hallar la inversa de una matriz </w:t>
      </w:r>
    </w:p>
    <w:p>
      <w:pPr>
        <w:autoSpaceDN w:val="0"/>
        <w:autoSpaceDE w:val="0"/>
        <w:widowControl/>
        <w:spacing w:line="304" w:lineRule="exact" w:before="20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54" w:after="0"/>
        <w:ind w:left="26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Concepto. Dimensión u orden de una matriz. Determinantes. Matrices iguales. Tipos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 matrices. Operaciones con matrices: suma, producto de una matriz por un número,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producto de matrices. </w:t>
      </w:r>
    </w:p>
    <w:p>
      <w:pPr>
        <w:autoSpaceDN w:val="0"/>
        <w:autoSpaceDE w:val="0"/>
        <w:widowControl/>
        <w:spacing w:line="302" w:lineRule="exact" w:before="0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Propiedades de la matriz inversa. Método para hallar la matriz inversa.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358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1034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2 y sirve como introducción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autoSpaceDE w:val="0"/>
        <w:widowControl/>
        <w:spacing w:line="304" w:lineRule="exact" w:before="1226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Unidad 6: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INTRODUCCIÓN A GRAFOS </w:t>
      </w:r>
    </w:p>
    <w:p>
      <w:pPr>
        <w:autoSpaceDN w:val="0"/>
        <w:autoSpaceDE w:val="0"/>
        <w:widowControl/>
        <w:spacing w:line="328" w:lineRule="exact" w:before="730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4 </w:t>
      </w:r>
    </w:p>
    <w:p>
      <w:pPr>
        <w:sectPr>
          <w:pgSz w:w="11906" w:h="16838"/>
          <w:pgMar w:top="360" w:right="1440" w:bottom="352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222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Objetivos: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982" w:val="left"/>
        </w:tabs>
        <w:autoSpaceDE w:val="0"/>
        <w:widowControl/>
        <w:spacing w:line="252" w:lineRule="exact" w:before="254" w:after="0"/>
        <w:ind w:left="262" w:right="288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Definir grafos y sus elementos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Hallar la matriz adyacencia e incidencia de un grafo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Contenidos específicos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52" w:after="0"/>
        <w:ind w:left="262" w:right="11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Definiciones y conceptos básicos. Tipos de Grafos. Matriz adyacencia. Matriz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incidencia. Grafos isomorfos. Operaciones con Grafos.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128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Metodología de la enseñanza y aprendizaje: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 esta unidad se envía a los alumnos materiales de lectura en la clase, en 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y se plantean ejercicios de aplicación con las correspondientes respuestas.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Evaluación de la unidad: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evalúa en el trabajo práctico obligatorio nº 2 y sirve como introducción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próximos temas. </w:t>
      </w:r>
    </w:p>
    <w:p>
      <w:pPr>
        <w:autoSpaceDN w:val="0"/>
        <w:tabs>
          <w:tab w:pos="970" w:val="left"/>
        </w:tabs>
        <w:autoSpaceDE w:val="0"/>
        <w:widowControl/>
        <w:spacing w:line="380" w:lineRule="exact" w:before="1184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Criterios de evaluación y características del sistema de evaluación y acreditación de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saberes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De la cursada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Para aprobar la cursada y tener acceso al examen final se debe cumplir con lo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siguiente: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Lectura obligatoria de todas las clases. </w:t>
      </w:r>
    </w:p>
    <w:p>
      <w:pPr>
        <w:autoSpaceDN w:val="0"/>
        <w:autoSpaceDE w:val="0"/>
        <w:widowControl/>
        <w:spacing w:line="380" w:lineRule="exact" w:before="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Las actividades no son de devolución obligatoria pero si de resolución obligatoria.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 trabajo práctico 1 incluye las unidades 1, 2 y 3,  y el trabajo práctico 2 incluye las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unidades 4, 5 y 6. </w:t>
      </w:r>
    </w:p>
    <w:p>
      <w:pPr>
        <w:autoSpaceDN w:val="0"/>
        <w:autoSpaceDE w:val="0"/>
        <w:widowControl/>
        <w:spacing w:line="378" w:lineRule="exact" w:before="0" w:after="0"/>
        <w:ind w:left="262" w:right="20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Aprobar los dos trabajos prácticos, cada uno de ellos tiene la posibilidad de una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instancia de recuperación. Si el alumno no aprueba alguno de los trabajos prácticos, ni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 correspondiente recuperatorio, deberá recursar la materia. Los trabajos prácticos 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califican con aprobado o desaprobado. </w:t>
      </w:r>
    </w:p>
    <w:p>
      <w:pPr>
        <w:autoSpaceDN w:val="0"/>
        <w:tabs>
          <w:tab w:pos="622" w:val="left"/>
        </w:tabs>
        <w:autoSpaceDE w:val="0"/>
        <w:widowControl/>
        <w:spacing w:line="380" w:lineRule="exact" w:before="0" w:after="0"/>
        <w:ind w:left="262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De la aprobación final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califica el examen de 1 a 10, se aprueba con un puntaje mínimo de 4 puntos 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 evaluará la correcta interpretación de los enunciados, pertinencia de las respuestas,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aplicación de conceptos teóricos y prácticos trabajados, coherencia en la respuesta de </w:t>
      </w:r>
      <w:r>
        <w:rPr>
          <w:rFonts w:ascii="Arial" w:hAnsi="Arial" w:eastAsia="Arial"/>
          <w:b w:val="0"/>
          <w:i w:val="0"/>
          <w:color w:val="000000"/>
          <w:sz w:val="22"/>
        </w:rPr>
        <w:t>los enunciados, comprensión de los núcleos esenciales de los contenidos</w:t>
      </w:r>
    </w:p>
    <w:p>
      <w:pPr>
        <w:autoSpaceDN w:val="0"/>
        <w:autoSpaceDE w:val="0"/>
        <w:widowControl/>
        <w:spacing w:line="328" w:lineRule="exact" w:before="1432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5 </w:t>
      </w:r>
    </w:p>
    <w:p>
      <w:pPr>
        <w:sectPr>
          <w:pgSz w:w="11906" w:h="16838"/>
          <w:pgMar w:top="360" w:right="1440" w:bottom="352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98770" cy="596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728" w:after="0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Bibliografía obligatoria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982" w:val="left"/>
        </w:tabs>
        <w:autoSpaceDE w:val="0"/>
        <w:widowControl/>
        <w:spacing w:line="304" w:lineRule="exact" w:before="56" w:after="0"/>
        <w:ind w:left="62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Manual de trabajo elaborado por docentes del IRSO </w:t>
      </w:r>
    </w:p>
    <w:p>
      <w:pPr>
        <w:autoSpaceDN w:val="0"/>
        <w:autoSpaceDE w:val="0"/>
        <w:widowControl/>
        <w:spacing w:line="302" w:lineRule="exact" w:before="674" w:after="664"/>
        <w:ind w:left="26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  <w:u w:val="single"/>
        </w:rPr>
        <w:t>Bibliografía complementaria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146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504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52" w:val="left"/>
              </w:tabs>
              <w:autoSpaceDE w:val="0"/>
              <w:widowControl/>
              <w:spacing w:line="304" w:lineRule="exact" w:before="6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Oubiña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Lía; </w:t>
            </w:r>
          </w:p>
          <w:p>
            <w:pPr>
              <w:autoSpaceDN w:val="0"/>
              <w:tabs>
                <w:tab w:pos="1584" w:val="left"/>
                <w:tab w:pos="1946" w:val="left"/>
              </w:tabs>
              <w:autoSpaceDE w:val="0"/>
              <w:widowControl/>
              <w:spacing w:line="304" w:lineRule="exact" w:before="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Introducción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la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teoría de Conjuntos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Rojo Armando, Álgebra I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Sadosky Cora Ratto de; Introducción al Álgebra </w:t>
            </w:r>
          </w:p>
        </w:tc>
      </w:tr>
    </w:tbl>
    <w:p>
      <w:pPr>
        <w:autoSpaceDN w:val="0"/>
        <w:autoSpaceDE w:val="0"/>
        <w:widowControl/>
        <w:spacing w:line="328" w:lineRule="exact" w:before="9616" w:after="0"/>
        <w:ind w:left="0" w:right="5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6 </w:t>
      </w:r>
    </w:p>
    <w:sectPr w:rsidR="00FC693F" w:rsidRPr="0006063C" w:rsidSect="00034616">
      <w:pgSz w:w="11906" w:h="16838"/>
      <w:pgMar w:top="360" w:right="1440" w:bottom="352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