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58dd8269de00aaa8826e5a1bbd594c7a5b531fe"/>
    <w:p>
      <w:pPr>
        <w:pStyle w:val="Heading1"/>
      </w:pPr>
      <w:r>
        <w:t xml:space="preserve">Modèle de demande d’accès et portabilité de données à caractère personnel</w:t>
      </w:r>
    </w:p>
    <w:p>
      <w:pPr>
        <w:pStyle w:val="FirstParagraph"/>
      </w:pPr>
      <w:r>
        <w:t xml:space="preserve">XXX NOM, PRENOM XXX</w:t>
      </w:r>
    </w:p>
    <w:p>
      <w:pPr>
        <w:pStyle w:val="BodyText"/>
      </w:pPr>
      <w:r>
        <w:t xml:space="preserve">XXX ADRESSE XXX</w:t>
      </w:r>
    </w:p>
    <w:p>
      <w:pPr>
        <w:pStyle w:val="BodyText"/>
      </w:pPr>
      <w:r>
        <w:t xml:space="preserve">XXX CODE POSTAL / VILLE XXX</w:t>
      </w:r>
    </w:p>
    <w:p>
      <w:pPr>
        <w:pStyle w:val="BodyText"/>
      </w:pPr>
      <w:r>
        <w:t xml:space="preserve">XXX N TELEPHONE XXX</w:t>
      </w:r>
    </w:p>
    <w:p>
      <w:pPr>
        <w:pStyle w:val="BodyText"/>
      </w:pPr>
      <w:r>
        <w:t xml:space="preserve">XXX COURRIEL XXX</w:t>
      </w:r>
    </w:p>
    <w:p>
      <w:pPr>
        <w:pStyle w:val="BodyText"/>
      </w:pPr>
      <w:r>
        <w:t xml:space="preserve">XXX RAISON SOCIALE DU DESTINATAIRE XXX</w:t>
      </w:r>
    </w:p>
    <w:p>
      <w:pPr>
        <w:pStyle w:val="BodyText"/>
      </w:pPr>
      <w:r>
        <w:t xml:space="preserve">XXX ADRESSE XXX</w:t>
      </w:r>
    </w:p>
    <w:p>
      <w:pPr>
        <w:pStyle w:val="BodyText"/>
      </w:pPr>
      <w:r>
        <w:t xml:space="preserve">XXX CODE POSTAL / VILLE XXX</w:t>
      </w:r>
    </w:p>
    <w:p>
      <w:pPr>
        <w:pStyle w:val="BodyText"/>
      </w:pPr>
      <w:r>
        <w:t xml:space="preserve">XXX VILLE, DATE XXX</w:t>
      </w:r>
    </w:p>
    <w:p>
      <w:pPr>
        <w:pStyle w:val="BodyText"/>
      </w:pPr>
      <w:r>
        <w:rPr>
          <w:bCs/>
          <w:b/>
        </w:rPr>
        <w:t xml:space="preserve">OBJET : Demande d’accès et de portabilité de données personnelles</w:t>
      </w:r>
    </w:p>
    <w:p>
      <w:pPr>
        <w:pStyle w:val="BodyText"/>
      </w:pPr>
      <w:r>
        <w:t xml:space="preserve">Madame, Monsieur,</w:t>
      </w:r>
    </w:p>
    <w:p>
      <w:pPr>
        <w:pStyle w:val="BodyText"/>
      </w:pPr>
      <w:r>
        <w:t xml:space="preserve">Je vous prie de bien vouloir m’indiquer si des données me concernant figurent dans vos fichiers informatisés ou manuels, détenus par vous ou en cours de traitement.</w:t>
      </w:r>
    </w:p>
    <w:p>
      <w:pPr>
        <w:pStyle w:val="BodyText"/>
      </w:pPr>
      <w:r>
        <w:t xml:space="preserve">Dans l’affirmative, je souhaiterais obtenir une copie électronique, en langage clair, de l’ensemble de ces données (y compris celles figurant dans les zones « blocs-notes » ou « commentaires »), en application de l’article 15 du Règlement général sur la protection des données (RGPD).</w:t>
      </w:r>
    </w:p>
    <w:p>
      <w:pPr>
        <w:pStyle w:val="BodyText"/>
      </w:pPr>
      <w:r>
        <w:t xml:space="preserve">Cette demande est à la fois un exercise de mon droit à l’accès et de mon droit à la portabilité des données.</w:t>
      </w:r>
      <w:r>
        <w:t xml:space="preserve"> </w:t>
      </w:r>
      <w:r>
        <w:rPr>
          <w:bCs/>
          <w:b/>
        </w:rPr>
        <w:t xml:space="preserve">Cette demande est faite par voie électronique et est bien recevable par cette voie.</w:t>
      </w:r>
      <w:r>
        <w:rPr>
          <w:rStyle w:val="FootnoteReference"/>
        </w:rPr>
        <w:footnoteReference w:id="20"/>
      </w:r>
      <w:r>
        <w:t xml:space="preserve"> </w:t>
      </w:r>
      <w:r>
        <w:t xml:space="preserve">La restitution de mes données personelles se fera par e-mail à mon adresse e-mail ci-dessus.</w:t>
      </w:r>
    </w:p>
    <w:bookmarkStart w:id="29" w:name="copie-de-mes-données-personelles"/>
    <w:p>
      <w:pPr>
        <w:pStyle w:val="Heading2"/>
      </w:pPr>
      <w:r>
        <w:t xml:space="preserve">Copie de mes données personelles</w:t>
      </w:r>
    </w:p>
    <w:bookmarkStart w:id="25" w:name="article-20"/>
    <w:p>
      <w:pPr>
        <w:pStyle w:val="Heading3"/>
      </w:pPr>
      <w:r>
        <w:t xml:space="preserve">Article 20</w:t>
      </w:r>
    </w:p>
    <w:p>
      <w:pPr>
        <w:pStyle w:val="FirstParagraph"/>
      </w:pPr>
      <w:r>
        <w:t xml:space="preserve">Pour les données à caractère personnel me concernant (RGDP, art 20), incluant les données que j’ai fournies à votre organisme,</w:t>
      </w:r>
      <w:r>
        <w:t xml:space="preserve"> </w:t>
      </w:r>
      <w:r>
        <w:rPr>
          <w:iCs/>
          <w:i/>
        </w:rPr>
        <w:t xml:space="preserve">et</w:t>
      </w:r>
      <w:r>
        <w:t xml:space="preserve"> </w:t>
      </w:r>
      <w:r>
        <w:t xml:space="preserve">les données me concernant qui ont été indirectement observées, notées ou enregistrées</w:t>
      </w:r>
      <w:r>
        <w:t xml:space="preserve"> </w:t>
      </w:r>
      <w:r>
        <w:rPr>
          <w:rStyle w:val="FootnoteReference"/>
        </w:rPr>
        <w:footnoteReference w:id="22"/>
      </w:r>
      <w:r>
        <w:t xml:space="preserve"> </w:t>
      </w:r>
      <w:r>
        <w:t xml:space="preserve">et dont le traitement est fondé sur le consentement ou sur un contrat, ou dont le traitement est effectué à l’aide de procédés automatisés, je souhaite les recevoir :</w:t>
      </w:r>
    </w:p>
    <w:p>
      <w:pPr>
        <w:numPr>
          <w:ilvl w:val="0"/>
          <w:numId w:val="1001"/>
        </w:numPr>
      </w:pPr>
      <w:r>
        <w:rPr>
          <w:bCs/>
          <w:b/>
        </w:rPr>
        <w:t xml:space="preserve">dans un format structuré, couramment utilisé et lisible par machine</w:t>
      </w:r>
      <w:r>
        <w:t xml:space="preserve">, par exemple en fichier CSV. Merci de noter qu’un fichier PDF par exemple n’est pas lisible par machine.</w:t>
      </w:r>
      <w:r>
        <w:rPr>
          <w:rStyle w:val="FootnoteReference"/>
        </w:rPr>
        <w:footnoteReference w:id="24"/>
      </w:r>
    </w:p>
    <w:p>
      <w:pPr>
        <w:numPr>
          <w:ilvl w:val="0"/>
          <w:numId w:val="1001"/>
        </w:numPr>
      </w:pPr>
      <w:r>
        <w:t xml:space="preserve">accompagnées d’une</w:t>
      </w:r>
      <w:r>
        <w:t xml:space="preserve"> </w:t>
      </w:r>
      <w:r>
        <w:rPr>
          <w:bCs/>
          <w:b/>
        </w:rPr>
        <w:t xml:space="preserve">description intelligible de toutes les variables.</w:t>
      </w:r>
    </w:p>
    <w:bookmarkEnd w:id="25"/>
    <w:bookmarkStart w:id="27" w:name="article-15"/>
    <w:p>
      <w:pPr>
        <w:pStyle w:val="Heading3"/>
      </w:pPr>
      <w:r>
        <w:t xml:space="preserve">Article 15</w:t>
      </w:r>
    </w:p>
    <w:p>
      <w:pPr>
        <w:pStyle w:val="FirstParagraph"/>
      </w:pPr>
      <w:r>
        <w:t xml:space="preserve">Pour toutes les données à caractère personnel me concernant, qui ne sont pas concernées par la portabilité des données, en application de mon droit d’accès (RGPD, art 15), je souhaite obtenir:</w:t>
      </w:r>
    </w:p>
    <w:p>
      <w:pPr>
        <w:numPr>
          <w:ilvl w:val="0"/>
          <w:numId w:val="1002"/>
        </w:numPr>
        <w:pStyle w:val="Compact"/>
      </w:pPr>
      <w:r>
        <w:rPr>
          <w:bCs/>
          <w:b/>
        </w:rPr>
        <w:t xml:space="preserve">une copie sous format électronique</w:t>
      </w:r>
      <w:r>
        <w:t xml:space="preserve">. Ceci inclue toute sorte d’informations, tant objectives que subjectives sous forme d’avis ou d’appréciations, me concernant directement ou indirectement.</w:t>
      </w:r>
      <w:r>
        <w:rPr>
          <w:rStyle w:val="FootnoteReference"/>
        </w:rPr>
        <w:footnoteReference w:id="26"/>
      </w:r>
      <w:r>
        <w:t xml:space="preserve"> </w:t>
      </w:r>
      <w:r>
        <w:t xml:space="preserve">Si certaines de ces données sont disponibles au responsable du traitement sous format lisible par une machine, elles doivent m’être restituées dans ce format en application du principe de protection des donnés dès la conception et par défaut (RGPD, art 25)</w:t>
      </w:r>
    </w:p>
    <w:bookmarkEnd w:id="27"/>
    <w:bookmarkStart w:id="28" w:name="X2a04997e5a3afac3d7c41a18c1dc996a81a0244"/>
    <w:p>
      <w:pPr>
        <w:pStyle w:val="Heading3"/>
      </w:pPr>
      <w:r>
        <w:t xml:space="preserve">Si votre organisme me considère comme responsable de traitement d’une donnée à caractère personnel pour laquelle votre organisme est sous-traitement, je vous prie de me restituer</w:t>
      </w:r>
      <w:r>
        <w:t xml:space="preserve"> </w:t>
      </w:r>
      <w:r>
        <w:rPr>
          <w:bCs/>
          <w:b/>
        </w:rPr>
        <w:t xml:space="preserve">toutes les données que vous sous-traitez pour moi en format lisible par machine</w:t>
      </w:r>
      <w:r>
        <w:t xml:space="preserve"> </w:t>
      </w:r>
      <w:r>
        <w:t xml:space="preserve">en application de votre obligation de respecter ma détermination des moyens et finalités du traitement.</w:t>
      </w:r>
    </w:p>
    <w:bookmarkEnd w:id="28"/>
    <w:bookmarkEnd w:id="29"/>
    <w:bookmarkStart w:id="38" w:name="métadonnées-sur-le-traitement"/>
    <w:p>
      <w:pPr>
        <w:pStyle w:val="Heading2"/>
      </w:pPr>
      <w:r>
        <w:t xml:space="preserve">Métadonnées sur le traitement</w:t>
      </w:r>
    </w:p>
    <w:p>
      <w:pPr>
        <w:pStyle w:val="FirstParagraph"/>
      </w:pPr>
      <w:r>
        <w:t xml:space="preserve">Cette demande concerne également toute métadonnée me concernant directement ou indirectement en application du RGPD.</w:t>
      </w:r>
    </w:p>
    <w:bookmarkStart w:id="32" w:name="Xbe26cfd953c8148edbab0b4c5281786e0b31cf9"/>
    <w:p>
      <w:pPr>
        <w:pStyle w:val="Heading3"/>
      </w:pPr>
      <w:r>
        <w:t xml:space="preserve">Information sur les responsables des traitements, sous-traitants, sources et transferts.</w:t>
      </w:r>
    </w:p>
    <w:p>
      <w:pPr>
        <w:numPr>
          <w:ilvl w:val="0"/>
          <w:numId w:val="1003"/>
        </w:numPr>
      </w:pPr>
      <w:r>
        <w:rPr>
          <w:bCs/>
          <w:b/>
        </w:rPr>
        <w:t xml:space="preserve">L’identité de toutes les responsables de traitement</w:t>
      </w:r>
      <w:r>
        <w:t xml:space="preserve"> </w:t>
      </w:r>
      <w:r>
        <w:t xml:space="preserve">des données à caractère personnel me concernant.</w:t>
      </w:r>
    </w:p>
    <w:p>
      <w:pPr>
        <w:numPr>
          <w:ilvl w:val="0"/>
          <w:numId w:val="1003"/>
        </w:numPr>
      </w:pPr>
      <w:r>
        <w:t xml:space="preserve">Toute</w:t>
      </w:r>
      <w:r>
        <w:t xml:space="preserve"> </w:t>
      </w:r>
      <w:r>
        <w:rPr>
          <w:bCs/>
          <w:b/>
        </w:rPr>
        <w:t xml:space="preserve">tierce personne avec laquelle des données me concernant ont été partagées</w:t>
      </w:r>
      <w:r>
        <w:t xml:space="preserve">, avec le nom et l’information de contact en application avec l’article 15(1)(c). Par défaut, les responsables de traitement doivent nommer les destinataires des données, et non seulement indiquer leurs catégories. Si vous choisissez de nommer uniquement les catégories des destinataires, vous devez justifier comment ceci est raisonnable, et être spécifique, en nommant le</w:t>
      </w:r>
      <w:r>
        <w:t xml:space="preserve"> </w:t>
      </w:r>
      <w:r>
        <w:t xml:space="preserve">“</w:t>
      </w:r>
      <w:r>
        <w:t xml:space="preserve">type de destinataire</w:t>
      </w:r>
      <w:r>
        <w:t xml:space="preserve">”</w:t>
      </w:r>
      <w:r>
        <w:t xml:space="preserve"> </w:t>
      </w:r>
      <w:r>
        <w:t xml:space="preserve">(c.à.d en référence aux activités que le destinataire entreprend), le secteur et sous-secteur et l’addresse des destinataires.</w:t>
      </w:r>
      <w:r>
        <w:rPr>
          <w:rStyle w:val="FootnoteReference"/>
        </w:rPr>
        <w:footnoteReference w:id="30"/>
      </w:r>
      <w:r>
        <w:t xml:space="preserve"> </w:t>
      </w:r>
      <w:r>
        <w:t xml:space="preserve">Au cas ou un transfert de données est traitée sur la base de consentement, il est obligatoire de nommer directement les destinataires, les catégories étant invalide pour cette fin de traitement de données.</w:t>
      </w:r>
      <w:r>
        <w:rPr>
          <w:rStyle w:val="FootnoteReference"/>
        </w:rPr>
        <w:footnoteReference w:id="31"/>
      </w:r>
    </w:p>
    <w:p>
      <w:pPr>
        <w:numPr>
          <w:ilvl w:val="0"/>
          <w:numId w:val="1003"/>
        </w:numPr>
      </w:pPr>
      <w:r>
        <w:t xml:space="preserve">Si une donnée me concernant a été collectée, objective ou subjective, observée ou inférée, d’une autre source que moi-même, je vous prie de bien de restituer l’information précise sur la</w:t>
      </w:r>
      <w:r>
        <w:t xml:space="preserve"> </w:t>
      </w:r>
      <w:r>
        <w:rPr>
          <w:bCs/>
          <w:b/>
        </w:rPr>
        <w:t xml:space="preserve">la source d’où proviennent les données à caractère personnel</w:t>
      </w:r>
      <w:r>
        <w:t xml:space="preserve">, en incluant le nom et l’e-mail de contact du ou des responsables de traitements en question, Article 14(2)(f)/15(1)(g).</w:t>
      </w:r>
    </w:p>
    <w:p>
      <w:pPr>
        <w:numPr>
          <w:ilvl w:val="0"/>
          <w:numId w:val="1003"/>
        </w:numPr>
      </w:pPr>
      <w:r>
        <w:t xml:space="preserve">Je vous prie de m’informer où se trouve le support physique des données à caractère personnel me concernant (sauvegardes inclues), et de m’informer</w:t>
      </w:r>
      <w:r>
        <w:t xml:space="preserve"> </w:t>
      </w:r>
      <w:r>
        <w:rPr>
          <w:bCs/>
          <w:b/>
        </w:rPr>
        <w:t xml:space="preserve">si des données à caractère personnel me concernant ont été transférées à l’extérieur de l’UE à n’importe quel moment (le cas échéant, merci de justifier la base légale et les protections prises dans ces transferts)</w:t>
      </w:r>
    </w:p>
    <w:bookmarkEnd w:id="32"/>
    <w:bookmarkStart w:id="34" w:name="X0123cabad433ed3dac3035c9c05438650a055f6"/>
    <w:p>
      <w:pPr>
        <w:pStyle w:val="Heading3"/>
      </w:pPr>
      <w:r>
        <w:t xml:space="preserve">Information sur les finalités et les bases légales</w:t>
      </w:r>
    </w:p>
    <w:p>
      <w:pPr>
        <w:numPr>
          <w:ilvl w:val="0"/>
          <w:numId w:val="1004"/>
        </w:numPr>
      </w:pPr>
      <w:r>
        <w:rPr>
          <w:bCs/>
          <w:b/>
        </w:rPr>
        <w:t xml:space="preserve">Toutes les finalités de traitement et les bases légales de ces finalités par catégorie de donnée à caractère personnel</w:t>
      </w:r>
      <w:r>
        <w:t xml:space="preserve">. Cette liste doit être détaillée par finalité, bases légales attachées aux finalités, et catégories de données correspondantes. Des listes séparées où ces trois facteurs ne sont pas mis en correspondances ne sont pas acceptables.</w:t>
      </w:r>
      <w:r>
        <w:rPr>
          <w:rStyle w:val="FootnoteReference"/>
        </w:rPr>
        <w:footnoteReference w:id="33"/>
      </w:r>
      <w:r>
        <w:t xml:space="preserve"> </w:t>
      </w:r>
      <w:r>
        <w:t xml:space="preserve">Un tableau peut être la meilleure façon de représenter cette informations</w:t>
      </w:r>
    </w:p>
    <w:p>
      <w:pPr>
        <w:numPr>
          <w:ilvl w:val="0"/>
          <w:numId w:val="1004"/>
        </w:numPr>
      </w:pPr>
      <w:r>
        <w:t xml:space="preserve">*L’intérêt légitime** lorsque le traitement est fondé sur l’intérêt légitime (Article 14(2)(b)).</w:t>
      </w:r>
    </w:p>
    <w:bookmarkEnd w:id="34"/>
    <w:bookmarkStart w:id="35" w:name="X2978fc8f9649b0174c834ca6d450becb75a9164"/>
    <w:p>
      <w:pPr>
        <w:pStyle w:val="Heading3"/>
      </w:pPr>
      <w:r>
        <w:t xml:space="preserve">Information sur les traitements et décisions automatisés</w:t>
      </w:r>
    </w:p>
    <w:p>
      <w:pPr>
        <w:numPr>
          <w:ilvl w:val="0"/>
          <w:numId w:val="1005"/>
        </w:numPr>
        <w:pStyle w:val="Compact"/>
      </w:pPr>
      <w:r>
        <w:t xml:space="preserve">Je vous prie d’indiquer si vous faites des décisions automatisées (au sens de l’article 22, RGPD). Le cas échéant, merci de me donner une information intelligible, et détaillée sur la logique de la décision, ainsi que l’envergure, les implications et les conséquences envisagées que ce traitement automatisé pour avoir sur moi-même. (Article 15(1)(h))</w:t>
      </w:r>
    </w:p>
    <w:bookmarkEnd w:id="35"/>
    <w:bookmarkStart w:id="37" w:name="information-sur-le-stockage"/>
    <w:p>
      <w:pPr>
        <w:pStyle w:val="Heading3"/>
      </w:pPr>
      <w:r>
        <w:t xml:space="preserve">Information sur le stockage</w:t>
      </w:r>
    </w:p>
    <w:p>
      <w:pPr>
        <w:numPr>
          <w:ilvl w:val="0"/>
          <w:numId w:val="1006"/>
        </w:numPr>
        <w:pStyle w:val="Compact"/>
      </w:pPr>
      <w:r>
        <w:t xml:space="preserve">Je vous prie d’indiquer la durée de stockage de chaque catégorie de donnée à caractère personnel me concernant, et les critères utilisés pour justifier cette durée, en application du principe de la limitation de la durée de conservation et l’article 15(1)(d).</w:t>
      </w:r>
    </w:p>
    <w:p>
      <w:pPr>
        <w:pStyle w:val="FirstParagraph"/>
      </w:pPr>
      <w:r>
        <w:t xml:space="preserve">Pour vous permettre de m’identifier, ci-joint mes informations personelles</w:t>
      </w:r>
    </w:p>
    <w:p>
      <w:pPr>
        <w:numPr>
          <w:ilvl w:val="0"/>
          <w:numId w:val="1007"/>
        </w:numPr>
      </w:pPr>
      <w:r>
        <w:t xml:space="preserve">Nom et Prénom:</w:t>
      </w:r>
      <w:r>
        <w:t xml:space="preserve"> </w:t>
      </w:r>
      <w:r>
        <w:rPr>
          <w:bCs/>
          <w:b/>
        </w:rPr>
        <w:t xml:space="preserve">XXX</w:t>
      </w:r>
      <w:r>
        <w:t xml:space="preserve"> </w:t>
      </w:r>
      <w:r>
        <w:rPr>
          <w:bCs/>
          <w:b/>
        </w:rPr>
        <w:t xml:space="preserve">XXX</w:t>
      </w:r>
    </w:p>
    <w:p>
      <w:pPr>
        <w:numPr>
          <w:ilvl w:val="0"/>
          <w:numId w:val="1007"/>
        </w:numPr>
      </w:pPr>
      <w:r>
        <w:t xml:space="preserve">Courriel:</w:t>
      </w:r>
      <w:r>
        <w:t xml:space="preserve"> </w:t>
      </w:r>
      <w:r>
        <w:rPr>
          <w:bCs/>
          <w:b/>
        </w:rPr>
        <w:t xml:space="preserve">XXX</w:t>
      </w:r>
    </w:p>
    <w:p>
      <w:pPr>
        <w:numPr>
          <w:ilvl w:val="0"/>
          <w:numId w:val="1007"/>
        </w:numPr>
      </w:pPr>
      <w:r>
        <w:t xml:space="preserve">Identifiant:</w:t>
      </w:r>
      <w:r>
        <w:t xml:space="preserve"> </w:t>
      </w:r>
      <w:r>
        <w:rPr>
          <w:bCs/>
          <w:b/>
        </w:rPr>
        <w:t xml:space="preserve">XXX</w:t>
      </w:r>
      <w:r>
        <w:t xml:space="preserve">.</w:t>
      </w:r>
    </w:p>
    <w:p>
      <w:pPr>
        <w:pStyle w:val="FirstParagraph"/>
      </w:pPr>
      <w:r>
        <w:t xml:space="preserve">Si vous n’êtes pas la personne référente aux données ou vous ne traitez pas ces demandes vous-mêmes, je vous prie de bien transmettre ma demande au Délégué à la Protection des Données de votre organisme. A toutes fins utiles, vous trouverez des informations sur le site internet de la CNIL : https://www.cnil.fr/fr/professionnels-comment-repondre-une-demande-de-droit-dacces.</w:t>
      </w:r>
    </w:p>
    <w:p>
      <w:pPr>
        <w:pStyle w:val="BodyText"/>
      </w:pPr>
      <w:r>
        <w:t xml:space="preserve">Je rappelle que l’accès à ce droit est gratuit.</w:t>
      </w:r>
      <w:r>
        <w:t xml:space="preserve"> </w:t>
      </w:r>
      <w:r>
        <w:rPr>
          <w:rStyle w:val="FootnoteReference"/>
        </w:rPr>
        <w:footnoteReference w:id="36"/>
      </w:r>
    </w:p>
    <w:p>
      <w:pPr>
        <w:pStyle w:val="BodyText"/>
      </w:pPr>
      <w:r>
        <w:t xml:space="preserve">Je vous remercie de me faire parvenir votre réponse dans les meilleurs délais et au plus tard dans un délai d’un mois à compter de la réception de ma demande (article 12.3 du RGPD).</w:t>
      </w:r>
    </w:p>
    <w:p>
      <w:pPr>
        <w:pStyle w:val="BodyText"/>
      </w:pPr>
      <w:r>
        <w:t xml:space="preserve">A défaut de réponse de votre part dans les délais impartis ou en cas de réponse incomplète, je me réserve la possibilité de saisir la Commission nationale de l’informatique et des libertés (CNIL) d’une réclamation.</w:t>
      </w:r>
    </w:p>
    <w:p>
      <w:pPr>
        <w:pStyle w:val="BodyText"/>
      </w:pPr>
      <w:r>
        <w:t xml:space="preserve">Je vous prie d’agréer, Madame, Monsieur, l’expression de mes salutations distinguées.</w:t>
      </w:r>
    </w:p>
    <w:p>
      <w:pPr>
        <w:pStyle w:val="BodyText"/>
      </w:pPr>
      <w:r>
        <w:rPr>
          <w:bCs/>
          <w:b/>
        </w:rPr>
        <w:t xml:space="preserve">NOM ET PRENOM</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CNIL,</w:t>
      </w:r>
      <w:r>
        <w:t xml:space="preserve"> </w:t>
      </w:r>
      <w:hyperlink r:id="rId21">
        <w:r>
          <w:rPr>
            <w:rStyle w:val="Hyperlink"/>
          </w:rPr>
          <w:t xml:space="preserve">‘</w:t>
        </w:r>
        <w:r>
          <w:rPr>
            <w:rStyle w:val="Hyperlink"/>
          </w:rPr>
          <w:t xml:space="preserve">Le droit d’accès : connaître les données qu’un organisme détient sur vous</w:t>
        </w:r>
        <w:r>
          <w:rPr>
            <w:rStyle w:val="Hyperlink"/>
          </w:rPr>
          <w:t xml:space="preserve">’</w:t>
        </w:r>
      </w:hyperlink>
      <w:r>
        <w:t xml:space="preserve"> </w:t>
      </w:r>
      <w:r>
        <w:t xml:space="preserve">(site accédé le 20/01/2021) (</w:t>
      </w:r>
      <w:r>
        <w:t xml:space="preserve">‘</w:t>
      </w:r>
      <w:r>
        <w:t xml:space="preserve">Vous pouvez exercer votre demande de droit d’accès par divers moyens : par voie électronique (formulaire, adresse mail, bouton de téléchargement etc.), ou par courrier par exemple.</w:t>
      </w:r>
      <w:r>
        <w:t xml:space="preserve">’</w:t>
      </w:r>
      <w:r>
        <w:t xml:space="preserve">).</w:t>
      </w:r>
    </w:p>
  </w:footnote>
  <w:footnote w:id="22">
    <w:p>
      <w:pPr>
        <w:pStyle w:val="FootnoteText"/>
      </w:pPr>
      <w:r>
        <w:rPr>
          <w:rStyle w:val="FootnoteReference"/>
        </w:rPr>
        <w:footnoteRef/>
      </w:r>
      <w:r>
        <w:t xml:space="preserve"> </w:t>
      </w:r>
      <w:r>
        <w:t xml:space="preserve">CNIL,</w:t>
      </w:r>
      <w:r>
        <w:t xml:space="preserve"> </w:t>
      </w:r>
      <w:hyperlink r:id="rId23">
        <w:r>
          <w:rPr>
            <w:rStyle w:val="Hyperlink"/>
          </w:rPr>
          <w:t xml:space="preserve">Le droit à la portabilité : obtenir et réutiliser une copie de vos données</w:t>
        </w:r>
      </w:hyperlink>
      <w:r>
        <w:t xml:space="preserve"> </w:t>
      </w:r>
      <w:r>
        <w:t xml:space="preserve">(site accédé le 20/01/2021).</w:t>
      </w:r>
    </w:p>
  </w:footnote>
  <w:footnote w:id="24">
    <w:p>
      <w:pPr>
        <w:pStyle w:val="FootnoteText"/>
      </w:pPr>
      <w:r>
        <w:rPr>
          <w:rStyle w:val="FootnoteReference"/>
        </w:rPr>
        <w:footnoteRef/>
      </w:r>
      <w:r>
        <w:t xml:space="preserve"> </w:t>
      </w:r>
      <w:r>
        <w:t xml:space="preserve">CNIL,</w:t>
      </w:r>
      <w:r>
        <w:t xml:space="preserve"> </w:t>
      </w:r>
      <w:hyperlink r:id="rId23">
        <w:r>
          <w:rPr>
            <w:rStyle w:val="Hyperlink"/>
          </w:rPr>
          <w:t xml:space="preserve">Le droit à la portabilité : obtenir et réutiliser une copie de vos données</w:t>
        </w:r>
      </w:hyperlink>
      <w:r>
        <w:t xml:space="preserve"> </w:t>
      </w:r>
      <w:r>
        <w:t xml:space="preserve">(site accédé le 20/01/2021).</w:t>
      </w:r>
    </w:p>
  </w:footnote>
  <w:footnote w:id="26">
    <w:p>
      <w:pPr>
        <w:pStyle w:val="FootnoteText"/>
      </w:pPr>
      <w:r>
        <w:rPr>
          <w:rStyle w:val="FootnoteReference"/>
        </w:rPr>
        <w:footnoteRef/>
      </w:r>
      <w:r>
        <w:t xml:space="preserve"> </w:t>
      </w:r>
      <w:r>
        <w:t xml:space="preserve">L’emploi de l’expression « toute information » dans le cadre de la définition de la notion de « donnée à caractère personnel », figurant à l’article 2, sous a), de la directive 95/46, reflète l’objectif du législateur de l’Union d’attribuer un sens large à cette notion, laquelle n’est pas restreinte aux informations sensibles ou d’ordre privé, mais englobe potentiellement toute sorte d’informations, tant objectives que subjectives sous forme d’avis ou d’appréciations, à condition que celles-ci « concernent » la personne en cause. cf. Case C‑434/16</w:t>
      </w:r>
      <w:r>
        <w:t xml:space="preserve"> </w:t>
      </w:r>
      <w:r>
        <w:rPr>
          <w:iCs/>
          <w:i/>
        </w:rPr>
        <w:t xml:space="preserve">Peter Nowak v Data Protection Commissioner</w:t>
      </w:r>
      <w:r>
        <w:t xml:space="preserve"> </w:t>
      </w:r>
      <w:r>
        <w:t xml:space="preserve">[2017] ECLI:EU:C:2017:994, 34.</w:t>
      </w:r>
    </w:p>
  </w:footnote>
  <w:footnote w:id="30">
    <w:p>
      <w:pPr>
        <w:pStyle w:val="FootnoteText"/>
      </w:pPr>
      <w:r>
        <w:rPr>
          <w:rStyle w:val="FootnoteReference"/>
        </w:rPr>
        <w:footnoteRef/>
      </w:r>
      <w:r>
        <w:t xml:space="preserve"> </w:t>
      </w:r>
      <w:r>
        <w:t xml:space="preserve">CNIL,</w:t>
      </w:r>
      <w:r>
        <w:t xml:space="preserve"> </w:t>
      </w:r>
      <w:hyperlink r:id="rId23">
        <w:r>
          <w:rPr>
            <w:rStyle w:val="Hyperlink"/>
          </w:rPr>
          <w:t xml:space="preserve">Le droit à la portabilité : obtenir et réutiliser une copie de vos données</w:t>
        </w:r>
      </w:hyperlink>
      <w:r>
        <w:t xml:space="preserve"> </w:t>
      </w:r>
      <w:r>
        <w:t xml:space="preserve">(site accédé le 20/01/2021).</w:t>
      </w:r>
    </w:p>
  </w:footnote>
  <w:footnote w:id="31">
    <w:p>
      <w:pPr>
        <w:pStyle w:val="FootnoteText"/>
      </w:pPr>
      <w:r>
        <w:rPr>
          <w:rStyle w:val="FootnoteReference"/>
        </w:rPr>
        <w:footnoteRef/>
      </w:r>
      <w:r>
        <w:t xml:space="preserve"> </w:t>
      </w:r>
      <w:r>
        <w:t xml:space="preserve">Article 29 Working Party,</w:t>
      </w:r>
      <w:r>
        <w:t xml:space="preserve"> </w:t>
      </w:r>
      <w:r>
        <w:t xml:space="preserve">‘</w:t>
      </w:r>
      <w:r>
        <w:t xml:space="preserve">Guidelines on Consent under Regulation 2016/679</w:t>
      </w:r>
      <w:r>
        <w:t xml:space="preserve">’</w:t>
      </w:r>
      <w:r>
        <w:t xml:space="preserve"> </w:t>
      </w:r>
      <w:r>
        <w:t xml:space="preserve">(WP259 rev.01, 10 April 2018) 13.</w:t>
      </w:r>
    </w:p>
  </w:footnote>
  <w:footnote w:id="33">
    <w:p>
      <w:pPr>
        <w:pStyle w:val="FootnoteText"/>
      </w:pPr>
      <w:r>
        <w:rPr>
          <w:rStyle w:val="FootnoteReference"/>
        </w:rPr>
        <w:footnoteRef/>
      </w:r>
      <w:r>
        <w:t xml:space="preserve"> </w:t>
      </w:r>
      <w:r>
        <w:t xml:space="preserve">Article 29 Working Party,</w:t>
      </w:r>
      <w:r>
        <w:t xml:space="preserve"> </w:t>
      </w:r>
      <w:r>
        <w:t xml:space="preserve">‘</w:t>
      </w:r>
      <w:r>
        <w:t xml:space="preserve">Guidelines on Transparency under Regulation 2016/679</w:t>
      </w:r>
      <w:r>
        <w:t xml:space="preserve">’</w:t>
      </w:r>
      <w:r>
        <w:t xml:space="preserve"> </w:t>
      </w:r>
      <w:r>
        <w:t xml:space="preserve">(WP260 rev.01, 11 April 2018), page 35.</w:t>
      </w:r>
    </w:p>
  </w:footnote>
  <w:footnote w:id="36">
    <w:p>
      <w:pPr>
        <w:pStyle w:val="FootnoteText"/>
      </w:pPr>
      <w:r>
        <w:rPr>
          <w:rStyle w:val="FootnoteReference"/>
        </w:rPr>
        <w:footnoteRef/>
      </w:r>
      <w:r>
        <w:t xml:space="preserve"> </w:t>
      </w:r>
      <w:r>
        <w:t xml:space="preserve">CNIL,</w:t>
      </w:r>
      <w:r>
        <w:t xml:space="preserve"> </w:t>
      </w:r>
      <w:hyperlink r:id="rId21">
        <w:r>
          <w:rPr>
            <w:rStyle w:val="Hyperlink"/>
          </w:rPr>
          <w:t xml:space="preserve">‘</w:t>
        </w:r>
        <w:r>
          <w:rPr>
            <w:rStyle w:val="Hyperlink"/>
          </w:rPr>
          <w:t xml:space="preserve">Le droit d’accès : connaître les données qu’un organisme détient sur vous</w:t>
        </w:r>
        <w:r>
          <w:rPr>
            <w:rStyle w:val="Hyperlink"/>
          </w:rPr>
          <w:t xml:space="preserve">’</w:t>
        </w:r>
      </w:hyperlink>
      <w:r>
        <w:t xml:space="preserve"> </w:t>
      </w:r>
      <w:r>
        <w:t xml:space="preserve">(site accédé le 20/01/2021)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cnil.fr/fr/le-droit-dacces-connaitre-les-donnees-quun-organisme-detient-sur-vous" TargetMode="External" /><Relationship Type="http://schemas.openxmlformats.org/officeDocument/2006/relationships/hyperlink" Id="rId23" Target="https://www.cnil.fr/fr/le-droit-la-portabilite-obtenir-et-reutiliser-une-copie-de-vos-donnee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nil.fr/fr/le-droit-dacces-connaitre-les-donnees-quun-organisme-detient-sur-vous" TargetMode="External" /><Relationship Type="http://schemas.openxmlformats.org/officeDocument/2006/relationships/hyperlink" Id="rId23" Target="https://www.cnil.fr/fr/le-droit-la-portabilite-obtenir-et-reutiliser-une-copie-de-vos-donn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2021-01-20T22:18:02Z</dcterms:created>
  <dcterms:modified xsi:type="dcterms:W3CDTF">2021-01-20T22:18:02Z</dcterms:modified>
</cp:coreProperties>
</file>

<file path=docProps/custom.xml><?xml version="1.0" encoding="utf-8"?>
<Properties xmlns="http://schemas.openxmlformats.org/officeDocument/2006/custom-properties" xmlns:vt="http://schemas.openxmlformats.org/officeDocument/2006/docPropsVTypes"/>
</file>