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line="240" w:lineRule="auto"/>
        <w:jc w:val="center"/>
      </w:pPr>
      <w:r>
        <w:rPr>
          <w:b/>
          <w:i w:val="0"/>
          <w:sz w:val="20"/>
        </w:rPr>
        <w:t>UNIVERSITAS SILIWANGI — PROGRAM STUDI INFORMATIKA</w:t>
      </w:r>
    </w:p>
    <w:p>
      <w:pPr>
        <w:pStyle w:val="Title"/>
        <w:spacing w:after="40" w:before="0" w:line="240" w:lineRule="auto"/>
        <w:jc w:val="center"/>
      </w:pPr>
      <w:r>
        <w:rPr>
          <w:b w:val="0"/>
          <w:i w:val="0"/>
          <w:sz w:val="30"/>
        </w:rPr>
        <w:t>Evaluasi Enterprise Blockchain, Privasi, dan Nonfungsional (Project 4)</w:t>
      </w:r>
    </w:p>
    <w:p>
      <w:pPr>
        <w:spacing w:after="120" w:before="0" w:line="240" w:lineRule="auto"/>
        <w:jc w:val="center"/>
      </w:pPr>
      <w:r>
        <w:rPr>
          <w:b w:val="0"/>
          <w:i w:val="0"/>
          <w:sz w:val="19"/>
        </w:rPr>
        <w:t>Rossi Nur Ajizah — 237006003 — UAS Blockchain (KP70067008) TA 2026/2027 Ganjil — Sistem Verifikasi Kredensial Akademik (AcademicVerifier v3)</w:t>
      </w:r>
    </w:p>
    <w:p>
      <w:pPr>
        <w:pStyle w:val="Heading1"/>
        <w:spacing w:before="160" w:after="60"/>
      </w:pPr>
      <w:r>
        <w:rPr>
          <w:sz w:val="24"/>
        </w:rPr>
        <w:t>1. Konteks dan kriteria evaluasi</w:t>
      </w:r>
    </w:p>
    <w:p>
      <w:pPr>
        <w:spacing w:after="80" w:before="0" w:line="240" w:lineRule="auto"/>
        <w:jc w:val="both"/>
      </w:pPr>
      <w:r>
        <w:rPr>
          <w:b w:val="0"/>
          <w:i w:val="0"/>
          <w:sz w:val="21"/>
        </w:rPr>
        <w:t xml:space="preserve">Sistem yang dievaluasi mencatat hash kredensial akademik (ijazah, transkrip, sertifikat), penerbit, waktu, dan status (valid, dicabut, penerbit dibekukan) pada smart contract. Penerbitan dan pencabutan jarang dan datang bergelombang (musim kelulusan), sedangkan verifikasi bersifat baca saja dan dilakukan banyak pihak ketiga. Data pribadi tidak pernah masuk ke ledger. Kriteria yang dipakai: identitas dan izin, konsensus dan finalitas, privasi, throughput, governance, biaya operasional, serta kemudahan memakai ulang kontrak Solidity yang sudah dibuat dan diuji. Seluruh pengujian proyek ini berjalan pada satu node Hardhat lokal, sehingga perbandingan di bawah bersifat analitis dan </w:t>
      </w:r>
      <w:r>
        <w:rPr>
          <w:b/>
          <w:i w:val="0"/>
          <w:sz w:val="21"/>
        </w:rPr>
        <w:t>tidak berisi angka kinerja hasil ukur sendiri</w:t>
      </w:r>
      <w:r>
        <w:rPr>
          <w:b w:val="0"/>
          <w:i w:val="0"/>
          <w:sz w:val="21"/>
        </w:rPr>
        <w:t>.</w:t>
      </w:r>
    </w:p>
    <w:p>
      <w:pPr>
        <w:pStyle w:val="Heading1"/>
        <w:spacing w:before="160" w:after="60"/>
      </w:pPr>
      <w:r>
        <w:rPr>
          <w:sz w:val="24"/>
        </w:rPr>
        <w:t>2. Matriks perbandingan arsitektur</w:t>
      </w:r>
    </w:p>
    <w:tbl>
      <w:tblPr>
        <w:tblStyle w:val="TableGrid"/>
        <w:tblW w:type="auto" w:w="0"/>
        <w:tblLayout w:type="fixed"/>
        <w:tblLook w:firstColumn="1" w:firstRow="1" w:lastColumn="0" w:lastRow="0" w:noHBand="0" w:noVBand="1" w:val="04A0"/>
      </w:tblPr>
      <w:tblGrid>
        <w:gridCol w:w="1440"/>
        <w:gridCol w:w="1944"/>
        <w:gridCol w:w="2160"/>
        <w:gridCol w:w="2088"/>
        <w:gridCol w:w="2015"/>
      </w:tblGrid>
      <w:tr>
        <w:tc>
          <w:tcPr>
            <w:tcW w:type="dxa" w:w="1440"/>
            <w:shd w:val="clear" w:color="auto" w:fill="E9EEF4"/>
          </w:tcPr>
          <w:p>
            <w:pPr>
              <w:spacing w:after="20"/>
              <w:jc w:val="left"/>
            </w:pPr>
            <w:r/>
            <w:r>
              <w:rPr>
                <w:b/>
                <w:sz w:val="16"/>
              </w:rPr>
              <w:t>Aspek</w:t>
            </w:r>
          </w:p>
        </w:tc>
        <w:tc>
          <w:tcPr>
            <w:tcW w:type="dxa" w:w="1944"/>
            <w:shd w:val="clear" w:color="auto" w:fill="E9EEF4"/>
          </w:tcPr>
          <w:p>
            <w:pPr>
              <w:spacing w:after="20"/>
              <w:jc w:val="left"/>
            </w:pPr>
            <w:r/>
            <w:r>
              <w:rPr>
                <w:b/>
                <w:sz w:val="16"/>
              </w:rPr>
              <w:t>Ethereum / public</w:t>
            </w:r>
          </w:p>
        </w:tc>
        <w:tc>
          <w:tcPr>
            <w:tcW w:type="dxa" w:w="2160"/>
            <w:shd w:val="clear" w:color="auto" w:fill="E9EEF4"/>
          </w:tcPr>
          <w:p>
            <w:pPr>
              <w:spacing w:after="20"/>
              <w:jc w:val="left"/>
            </w:pPr>
            <w:r/>
            <w:r>
              <w:rPr>
                <w:b/>
                <w:sz w:val="16"/>
              </w:rPr>
              <w:t>Besu QBFT (permissioned EVM)</w:t>
            </w:r>
          </w:p>
        </w:tc>
        <w:tc>
          <w:tcPr>
            <w:tcW w:type="dxa" w:w="2088"/>
            <w:shd w:val="clear" w:color="auto" w:fill="E9EEF4"/>
          </w:tcPr>
          <w:p>
            <w:pPr>
              <w:spacing w:after="20"/>
              <w:jc w:val="left"/>
            </w:pPr>
            <w:r/>
            <w:r>
              <w:rPr>
                <w:b/>
                <w:sz w:val="16"/>
              </w:rPr>
              <w:t>Hyperledger Fabric</w:t>
            </w:r>
          </w:p>
        </w:tc>
        <w:tc>
          <w:tcPr>
            <w:tcW w:type="dxa" w:w="2016"/>
            <w:shd w:val="clear" w:color="auto" w:fill="E9EEF4"/>
          </w:tcPr>
          <w:p>
            <w:pPr>
              <w:spacing w:after="20"/>
              <w:jc w:val="left"/>
            </w:pPr>
            <w:r/>
            <w:r>
              <w:rPr>
                <w:b/>
                <w:sz w:val="16"/>
              </w:rPr>
              <w:t>Database + tanda tangan digital</w:t>
            </w:r>
          </w:p>
        </w:tc>
      </w:tr>
      <w:tr>
        <w:tc>
          <w:tcPr>
            <w:tcW w:type="dxa" w:w="1440"/>
          </w:tcPr>
          <w:p>
            <w:pPr>
              <w:spacing w:after="20"/>
              <w:jc w:val="left"/>
            </w:pPr>
            <w:r/>
            <w:r>
              <w:rPr>
                <w:b/>
                <w:sz w:val="16"/>
              </w:rPr>
              <w:t>Identitas dan izin</w:t>
            </w:r>
          </w:p>
        </w:tc>
        <w:tc>
          <w:tcPr>
            <w:tcW w:type="dxa" w:w="1944"/>
          </w:tcPr>
          <w:p>
            <w:pPr>
              <w:spacing w:after="20"/>
              <w:jc w:val="left"/>
            </w:pPr>
            <w:r/>
            <w:r>
              <w:rPr>
                <w:b w:val="0"/>
                <w:sz w:val="16"/>
              </w:rPr>
              <w:t>Permissionless; alamat pseudonim; izin hanya lewat role di kontrak</w:t>
            </w:r>
          </w:p>
        </w:tc>
        <w:tc>
          <w:tcPr>
            <w:tcW w:type="dxa" w:w="2160"/>
          </w:tcPr>
          <w:p>
            <w:pPr>
              <w:spacing w:after="20"/>
              <w:jc w:val="left"/>
            </w:pPr>
            <w:r/>
            <w:r>
              <w:rPr>
                <w:b w:val="0"/>
                <w:sz w:val="16"/>
              </w:rPr>
              <w:t>Peserta dikenal; node dan akun dapat dibatasi (allowlist); role di kontrak tetap berlaku</w:t>
            </w:r>
          </w:p>
        </w:tc>
        <w:tc>
          <w:tcPr>
            <w:tcW w:type="dxa" w:w="2088"/>
          </w:tcPr>
          <w:p>
            <w:pPr>
              <w:spacing w:after="20"/>
              <w:jc w:val="left"/>
            </w:pPr>
            <w:r/>
            <w:r>
              <w:rPr>
                <w:b w:val="0"/>
                <w:sz w:val="16"/>
              </w:rPr>
              <w:t>Identitas via CA/MSP; akses jaringan dan channel dibatasi</w:t>
            </w:r>
          </w:p>
        </w:tc>
        <w:tc>
          <w:tcPr>
            <w:tcW w:type="dxa" w:w="2016"/>
          </w:tcPr>
          <w:p>
            <w:pPr>
              <w:spacing w:after="20"/>
              <w:jc w:val="left"/>
            </w:pPr>
            <w:r/>
            <w:r>
              <w:rPr>
                <w:b w:val="0"/>
                <w:sz w:val="16"/>
              </w:rPr>
              <w:t>Akun pengguna dan hak akses dikelola satu institusi</w:t>
            </w:r>
          </w:p>
        </w:tc>
      </w:tr>
      <w:tr>
        <w:tc>
          <w:tcPr>
            <w:tcW w:type="dxa" w:w="1440"/>
          </w:tcPr>
          <w:p>
            <w:pPr>
              <w:spacing w:after="20"/>
              <w:jc w:val="left"/>
            </w:pPr>
            <w:r/>
            <w:r>
              <w:rPr>
                <w:b/>
                <w:sz w:val="16"/>
              </w:rPr>
              <w:t>Konsensus dan finalitas</w:t>
            </w:r>
          </w:p>
        </w:tc>
        <w:tc>
          <w:tcPr>
            <w:tcW w:type="dxa" w:w="1944"/>
          </w:tcPr>
          <w:p>
            <w:pPr>
              <w:spacing w:after="20"/>
              <w:jc w:val="left"/>
            </w:pPr>
            <w:r/>
            <w:r>
              <w:rPr>
                <w:b w:val="0"/>
                <w:sz w:val="16"/>
              </w:rPr>
              <w:t>PoS; finalitas penuh butuh waktu (kira-kira belasan menit)</w:t>
            </w:r>
          </w:p>
        </w:tc>
        <w:tc>
          <w:tcPr>
            <w:tcW w:type="dxa" w:w="2160"/>
          </w:tcPr>
          <w:p>
            <w:pPr>
              <w:spacing w:after="20"/>
              <w:jc w:val="left"/>
            </w:pPr>
            <w:r/>
            <w:r>
              <w:rPr>
                <w:b w:val="0"/>
                <w:sz w:val="16"/>
              </w:rPr>
              <w:t>QBFT; finalitas deterministik; toleran f validator Byzantine bila N ≥ 3f + 1</w:t>
            </w:r>
          </w:p>
        </w:tc>
        <w:tc>
          <w:tcPr>
            <w:tcW w:type="dxa" w:w="2088"/>
          </w:tcPr>
          <w:p>
            <w:pPr>
              <w:spacing w:after="20"/>
              <w:jc w:val="left"/>
            </w:pPr>
            <w:r/>
            <w:r>
              <w:rPr>
                <w:b w:val="0"/>
                <w:sz w:val="16"/>
              </w:rPr>
              <w:t>Ordering service (Raft atau BFT); finalitas setelah ordering dan validasi</w:t>
            </w:r>
          </w:p>
        </w:tc>
        <w:tc>
          <w:tcPr>
            <w:tcW w:type="dxa" w:w="2016"/>
          </w:tcPr>
          <w:p>
            <w:pPr>
              <w:spacing w:after="20"/>
              <w:jc w:val="left"/>
            </w:pPr>
            <w:r/>
            <w:r>
              <w:rPr>
                <w:b w:val="0"/>
                <w:sz w:val="16"/>
              </w:rPr>
              <w:t>Tidak ada konsensus; transaksi basis data biasa</w:t>
            </w:r>
          </w:p>
        </w:tc>
      </w:tr>
      <w:tr>
        <w:tc>
          <w:tcPr>
            <w:tcW w:type="dxa" w:w="1440"/>
          </w:tcPr>
          <w:p>
            <w:pPr>
              <w:spacing w:after="20"/>
              <w:jc w:val="left"/>
            </w:pPr>
            <w:r/>
            <w:r>
              <w:rPr>
                <w:b/>
                <w:sz w:val="16"/>
              </w:rPr>
              <w:t>Privasi data</w:t>
            </w:r>
          </w:p>
        </w:tc>
        <w:tc>
          <w:tcPr>
            <w:tcW w:type="dxa" w:w="1944"/>
          </w:tcPr>
          <w:p>
            <w:pPr>
              <w:spacing w:after="20"/>
              <w:jc w:val="left"/>
            </w:pPr>
            <w:r/>
            <w:r>
              <w:rPr>
                <w:b w:val="0"/>
                <w:sz w:val="16"/>
              </w:rPr>
              <w:t>Semua state dan transaksi terbuka; hanya hash yang layak</w:t>
            </w:r>
          </w:p>
        </w:tc>
        <w:tc>
          <w:tcPr>
            <w:tcW w:type="dxa" w:w="2160"/>
          </w:tcPr>
          <w:p>
            <w:pPr>
              <w:spacing w:after="20"/>
              <w:jc w:val="left"/>
            </w:pPr>
            <w:r/>
            <w:r>
              <w:rPr>
                <w:b w:val="0"/>
                <w:sz w:val="16"/>
              </w:rPr>
              <w:t>Terbatas untuk anggota; fitur privasi lanjutan perlu komponen dan evaluasi versi</w:t>
            </w:r>
          </w:p>
        </w:tc>
        <w:tc>
          <w:tcPr>
            <w:tcW w:type="dxa" w:w="2088"/>
          </w:tcPr>
          <w:p>
            <w:pPr>
              <w:spacing w:after="20"/>
              <w:jc w:val="left"/>
            </w:pPr>
            <w:r/>
            <w:r>
              <w:rPr>
                <w:b w:val="0"/>
                <w:sz w:val="16"/>
              </w:rPr>
              <w:t>Channel dan private data collection (privasi bawaan paling kuat)</w:t>
            </w:r>
          </w:p>
        </w:tc>
        <w:tc>
          <w:tcPr>
            <w:tcW w:type="dxa" w:w="2016"/>
          </w:tcPr>
          <w:p>
            <w:pPr>
              <w:spacing w:after="20"/>
              <w:jc w:val="left"/>
            </w:pPr>
            <w:r/>
            <w:r>
              <w:rPr>
                <w:b w:val="0"/>
                <w:sz w:val="16"/>
              </w:rPr>
              <w:t>Data tersimpan terpusat; privasi bergantung kontrol akses dan enkripsi</w:t>
            </w:r>
          </w:p>
        </w:tc>
      </w:tr>
      <w:tr>
        <w:tc>
          <w:tcPr>
            <w:tcW w:type="dxa" w:w="1440"/>
          </w:tcPr>
          <w:p>
            <w:pPr>
              <w:spacing w:after="20"/>
              <w:jc w:val="left"/>
            </w:pPr>
            <w:r/>
            <w:r>
              <w:rPr>
                <w:b/>
                <w:sz w:val="16"/>
              </w:rPr>
              <w:t>Throughput dan latensi</w:t>
            </w:r>
          </w:p>
        </w:tc>
        <w:tc>
          <w:tcPr>
            <w:tcW w:type="dxa" w:w="1944"/>
          </w:tcPr>
          <w:p>
            <w:pPr>
              <w:spacing w:after="20"/>
              <w:jc w:val="left"/>
            </w:pPr>
            <w:r/>
            <w:r>
              <w:rPr>
                <w:b w:val="0"/>
                <w:sz w:val="16"/>
              </w:rPr>
              <w:t>Dibatasi kepadatan jaringan; biaya naik saat ramai (belum diukur)</w:t>
            </w:r>
          </w:p>
        </w:tc>
        <w:tc>
          <w:tcPr>
            <w:tcW w:type="dxa" w:w="2160"/>
          </w:tcPr>
          <w:p>
            <w:pPr>
              <w:spacing w:after="20"/>
              <w:jc w:val="left"/>
            </w:pPr>
            <w:r/>
            <w:r>
              <w:rPr>
                <w:b w:val="0"/>
                <w:sz w:val="16"/>
              </w:rPr>
              <w:t>Lebih tinggi dan stabil pada validator terbatas (belum diukur)</w:t>
            </w:r>
          </w:p>
        </w:tc>
        <w:tc>
          <w:tcPr>
            <w:tcW w:type="dxa" w:w="2088"/>
          </w:tcPr>
          <w:p>
            <w:pPr>
              <w:spacing w:after="20"/>
              <w:jc w:val="left"/>
            </w:pPr>
            <w:r/>
            <w:r>
              <w:rPr>
                <w:b w:val="0"/>
                <w:sz w:val="16"/>
              </w:rPr>
              <w:t>Tinggi untuk skala konsorsium; verifikasi lewat peer (belum diukur)</w:t>
            </w:r>
          </w:p>
        </w:tc>
        <w:tc>
          <w:tcPr>
            <w:tcW w:type="dxa" w:w="2016"/>
          </w:tcPr>
          <w:p>
            <w:pPr>
              <w:spacing w:after="20"/>
              <w:jc w:val="left"/>
            </w:pPr>
            <w:r/>
            <w:r>
              <w:rPr>
                <w:b w:val="0"/>
                <w:sz w:val="16"/>
              </w:rPr>
              <w:t>Tertinggi; milidetik pada skala ini</w:t>
            </w:r>
          </w:p>
        </w:tc>
      </w:tr>
      <w:tr>
        <w:tc>
          <w:tcPr>
            <w:tcW w:type="dxa" w:w="1440"/>
          </w:tcPr>
          <w:p>
            <w:pPr>
              <w:spacing w:after="20"/>
              <w:jc w:val="left"/>
            </w:pPr>
            <w:r/>
            <w:r>
              <w:rPr>
                <w:b/>
                <w:sz w:val="16"/>
              </w:rPr>
              <w:t>Governance dan upgrade</w:t>
            </w:r>
          </w:p>
        </w:tc>
        <w:tc>
          <w:tcPr>
            <w:tcW w:type="dxa" w:w="1944"/>
          </w:tcPr>
          <w:p>
            <w:pPr>
              <w:spacing w:after="20"/>
              <w:jc w:val="left"/>
            </w:pPr>
            <w:r/>
            <w:r>
              <w:rPr>
                <w:b w:val="0"/>
                <w:sz w:val="16"/>
              </w:rPr>
              <w:t>Kontrak publik sulit diubah (butuh pola proxy); tanpa otoritas konsorsium</w:t>
            </w:r>
          </w:p>
        </w:tc>
        <w:tc>
          <w:tcPr>
            <w:tcW w:type="dxa" w:w="2160"/>
          </w:tcPr>
          <w:p>
            <w:pPr>
              <w:spacing w:after="20"/>
              <w:jc w:val="left"/>
            </w:pPr>
            <w:r/>
            <w:r>
              <w:rPr>
                <w:b w:val="0"/>
                <w:sz w:val="16"/>
              </w:rPr>
              <w:t>Komite memutuskan validator, role, upgrade; kontrak dapat dideploy ulang</w:t>
            </w:r>
          </w:p>
        </w:tc>
        <w:tc>
          <w:tcPr>
            <w:tcW w:type="dxa" w:w="2088"/>
          </w:tcPr>
          <w:p>
            <w:pPr>
              <w:spacing w:after="20"/>
              <w:jc w:val="left"/>
            </w:pPr>
            <w:r/>
            <w:r>
              <w:rPr>
                <w:b w:val="0"/>
                <w:sz w:val="16"/>
              </w:rPr>
              <w:t>Komite konsorsium; upgrade chaincode lewat kebijakan endorsement</w:t>
            </w:r>
          </w:p>
        </w:tc>
        <w:tc>
          <w:tcPr>
            <w:tcW w:type="dxa" w:w="2016"/>
          </w:tcPr>
          <w:p>
            <w:pPr>
              <w:spacing w:after="20"/>
              <w:jc w:val="left"/>
            </w:pPr>
            <w:r/>
            <w:r>
              <w:rPr>
                <w:b w:val="0"/>
                <w:sz w:val="16"/>
              </w:rPr>
              <w:t>Dikendalikan satu admin; perubahan paling mudah</w:t>
            </w:r>
          </w:p>
        </w:tc>
      </w:tr>
      <w:tr>
        <w:tc>
          <w:tcPr>
            <w:tcW w:type="dxa" w:w="1440"/>
          </w:tcPr>
          <w:p>
            <w:pPr>
              <w:spacing w:after="20"/>
              <w:jc w:val="left"/>
            </w:pPr>
            <w:r/>
            <w:r>
              <w:rPr>
                <w:b/>
                <w:sz w:val="16"/>
              </w:rPr>
              <w:t>Biaya operasional</w:t>
            </w:r>
          </w:p>
        </w:tc>
        <w:tc>
          <w:tcPr>
            <w:tcW w:type="dxa" w:w="1944"/>
          </w:tcPr>
          <w:p>
            <w:pPr>
              <w:spacing w:after="20"/>
              <w:jc w:val="left"/>
            </w:pPr>
            <w:r/>
            <w:r>
              <w:rPr>
                <w:b w:val="0"/>
                <w:sz w:val="16"/>
              </w:rPr>
              <w:t>Gas per transaksi, berfluktuasi; tanpa biaya infrastruktur sendiri</w:t>
            </w:r>
          </w:p>
        </w:tc>
        <w:tc>
          <w:tcPr>
            <w:tcW w:type="dxa" w:w="2160"/>
          </w:tcPr>
          <w:p>
            <w:pPr>
              <w:spacing w:after="20"/>
              <w:jc w:val="left"/>
            </w:pPr>
            <w:r/>
            <w:r>
              <w:rPr>
                <w:b w:val="0"/>
                <w:sz w:val="16"/>
              </w:rPr>
              <w:t>Tanpa gas publik; biaya node validator, pemantauan, dan kunci (HSM)</w:t>
            </w:r>
          </w:p>
        </w:tc>
        <w:tc>
          <w:tcPr>
            <w:tcW w:type="dxa" w:w="2088"/>
          </w:tcPr>
          <w:p>
            <w:pPr>
              <w:spacing w:after="20"/>
              <w:jc w:val="left"/>
            </w:pPr>
            <w:r/>
            <w:r>
              <w:rPr>
                <w:b w:val="0"/>
                <w:sz w:val="16"/>
              </w:rPr>
              <w:t>Biaya node peer dan orderer, CA, dan operasi yang lebih kompleks</w:t>
            </w:r>
          </w:p>
        </w:tc>
        <w:tc>
          <w:tcPr>
            <w:tcW w:type="dxa" w:w="2016"/>
          </w:tcPr>
          <w:p>
            <w:pPr>
              <w:spacing w:after="20"/>
              <w:jc w:val="left"/>
            </w:pPr>
            <w:r/>
            <w:r>
              <w:rPr>
                <w:b w:val="0"/>
                <w:sz w:val="16"/>
              </w:rPr>
              <w:t>Paling murah; satu server dan cadangan</w:t>
            </w:r>
          </w:p>
        </w:tc>
      </w:tr>
      <w:tr>
        <w:tc>
          <w:tcPr>
            <w:tcW w:type="dxa" w:w="1440"/>
          </w:tcPr>
          <w:p>
            <w:pPr>
              <w:spacing w:after="20"/>
              <w:jc w:val="left"/>
            </w:pPr>
            <w:r/>
            <w:r>
              <w:rPr>
                <w:b/>
                <w:sz w:val="16"/>
              </w:rPr>
              <w:t>Pemakaian ulang kode</w:t>
            </w:r>
          </w:p>
        </w:tc>
        <w:tc>
          <w:tcPr>
            <w:tcW w:type="dxa" w:w="1944"/>
          </w:tcPr>
          <w:p>
            <w:pPr>
              <w:spacing w:after="20"/>
              <w:jc w:val="left"/>
            </w:pPr>
            <w:r/>
            <w:r>
              <w:rPr>
                <w:b w:val="0"/>
                <w:sz w:val="16"/>
              </w:rPr>
              <w:t>Kontrak Solidity dipakai langsung</w:t>
            </w:r>
          </w:p>
        </w:tc>
        <w:tc>
          <w:tcPr>
            <w:tcW w:type="dxa" w:w="2160"/>
          </w:tcPr>
          <w:p>
            <w:pPr>
              <w:spacing w:after="20"/>
              <w:jc w:val="left"/>
            </w:pPr>
            <w:r/>
            <w:r>
              <w:rPr>
                <w:b w:val="0"/>
                <w:sz w:val="16"/>
              </w:rPr>
              <w:t>Kontrak Solidity dipakai langsung (kompatibel EVM)</w:t>
            </w:r>
          </w:p>
        </w:tc>
        <w:tc>
          <w:tcPr>
            <w:tcW w:type="dxa" w:w="2088"/>
          </w:tcPr>
          <w:p>
            <w:pPr>
              <w:spacing w:after="20"/>
              <w:jc w:val="left"/>
            </w:pPr>
            <w:r/>
            <w:r>
              <w:rPr>
                <w:b w:val="0"/>
                <w:sz w:val="16"/>
              </w:rPr>
              <w:t>Perlu menulis ulang sebagai chaincode (Go/Java/JS)</w:t>
            </w:r>
          </w:p>
        </w:tc>
        <w:tc>
          <w:tcPr>
            <w:tcW w:type="dxa" w:w="2016"/>
          </w:tcPr>
          <w:p>
            <w:pPr>
              <w:spacing w:after="20"/>
              <w:jc w:val="left"/>
            </w:pPr>
            <w:r/>
            <w:r>
              <w:rPr>
                <w:b w:val="0"/>
                <w:sz w:val="16"/>
              </w:rPr>
              <w:t>Perlu implementasi baru di sisi server</w:t>
            </w:r>
          </w:p>
        </w:tc>
      </w:tr>
      <w:tr>
        <w:tc>
          <w:tcPr>
            <w:tcW w:type="dxa" w:w="1440"/>
          </w:tcPr>
          <w:p>
            <w:pPr>
              <w:spacing w:after="20"/>
              <w:jc w:val="left"/>
            </w:pPr>
            <w:r/>
            <w:r>
              <w:rPr>
                <w:b/>
                <w:sz w:val="16"/>
              </w:rPr>
              <w:t>Kecocokan kasus</w:t>
            </w:r>
          </w:p>
        </w:tc>
        <w:tc>
          <w:tcPr>
            <w:tcW w:type="dxa" w:w="1944"/>
          </w:tcPr>
          <w:p>
            <w:pPr>
              <w:spacing w:after="20"/>
              <w:jc w:val="left"/>
            </w:pPr>
            <w:r/>
            <w:r>
              <w:rPr>
                <w:b w:val="0"/>
                <w:sz w:val="16"/>
              </w:rPr>
              <w:t>Kurang: transparansi publik dan biaya tidak dibutuhkan</w:t>
            </w:r>
          </w:p>
        </w:tc>
        <w:tc>
          <w:tcPr>
            <w:tcW w:type="dxa" w:w="2160"/>
          </w:tcPr>
          <w:p>
            <w:pPr>
              <w:spacing w:after="20"/>
              <w:jc w:val="left"/>
            </w:pPr>
            <w:r/>
            <w:r>
              <w:rPr>
                <w:b/>
                <w:sz w:val="16"/>
              </w:rPr>
              <w:t>Paling sesuai</w:t>
            </w:r>
            <w:r>
              <w:rPr>
                <w:b w:val="0"/>
                <w:sz w:val="16"/>
              </w:rPr>
              <w:t xml:space="preserve"> untuk konsorsium multi-kampus</w:t>
            </w:r>
          </w:p>
        </w:tc>
        <w:tc>
          <w:tcPr>
            <w:tcW w:type="dxa" w:w="2088"/>
          </w:tcPr>
          <w:p>
            <w:pPr>
              <w:spacing w:after="20"/>
              <w:jc w:val="left"/>
            </w:pPr>
            <w:r/>
            <w:r>
              <w:rPr>
                <w:b w:val="0"/>
                <w:sz w:val="16"/>
              </w:rPr>
              <w:t>Sesuai bila privasi antar-anggota sangat ketat; biaya rewrite tinggi</w:t>
            </w:r>
          </w:p>
        </w:tc>
        <w:tc>
          <w:tcPr>
            <w:tcW w:type="dxa" w:w="2016"/>
          </w:tcPr>
          <w:p>
            <w:pPr>
              <w:spacing w:after="20"/>
              <w:jc w:val="left"/>
            </w:pPr>
            <w:r/>
            <w:r>
              <w:rPr>
                <w:b w:val="0"/>
                <w:sz w:val="16"/>
              </w:rPr>
              <w:t>Paling sesuai bila hanya satu kampus</w:t>
            </w:r>
          </w:p>
        </w:tc>
      </w:tr>
    </w:tbl>
    <w:p>
      <w:pPr>
        <w:spacing w:after="40"/>
      </w:pPr>
    </w:p>
    <w:p>
      <w:pPr>
        <w:pStyle w:val="Heading1"/>
        <w:spacing w:before="160" w:after="60"/>
      </w:pPr>
      <w:r>
        <w:rPr>
          <w:sz w:val="24"/>
        </w:rPr>
        <w:t>3. Skalabilitas, interoperabilitas, dan bottleneck</w:t>
      </w:r>
    </w:p>
    <w:p>
      <w:pPr>
        <w:spacing w:after="80" w:before="0" w:line="240" w:lineRule="auto"/>
        <w:jc w:val="both"/>
      </w:pPr>
      <w:r>
        <w:rPr>
          <w:b/>
          <w:i w:val="0"/>
          <w:sz w:val="21"/>
        </w:rPr>
        <w:t>Skalabilitas.</w:t>
      </w:r>
      <w:r>
        <w:rPr>
          <w:b w:val="0"/>
          <w:i w:val="0"/>
          <w:sz w:val="21"/>
        </w:rPr>
        <w:t xml:space="preserve"> Operasi tulis (issue dan revoke) membutuhkan konsensus, sedangkan verifikasi memakai pemanggilan baca (view) yang dijawab node tanpa konsensus, sehingga beban verifikasi dapat dibagi ke beberapa gateway/RPC node. </w:t>
      </w:r>
      <w:r>
        <w:rPr>
          <w:b/>
          <w:i w:val="0"/>
          <w:sz w:val="21"/>
        </w:rPr>
        <w:t>Bottleneck utama:</w:t>
      </w:r>
      <w:r>
        <w:rPr>
          <w:b w:val="0"/>
          <w:i w:val="0"/>
          <w:sz w:val="21"/>
        </w:rPr>
        <w:t xml:space="preserve"> (1) lonjakan penerbitan saat wisuda karena setiap kredensial adalah satu transaksi; mitigasi berupa antrean dan penerbitan terjadwal, atau satu Merkle root per batch (belum diimplementasikan); (2) latensi konsensus dan jumlah validator (komunikasi antar-validator tumbuh seiring N); (3) gateway/RPC tunggal sebagai titik gagal sehingga perlu gateway ganda; (4) pengelolaan kunci issuer dan admin (HSM); (5) ketergantungan frontend. Angka throughput dan latensi sengaja tidak diklaim karena belum diukur.</w:t>
      </w:r>
    </w:p>
    <w:p>
      <w:pPr>
        <w:spacing w:after="80" w:before="0" w:line="240" w:lineRule="auto"/>
        <w:jc w:val="both"/>
      </w:pPr>
      <w:r>
        <w:rPr>
          <w:b/>
          <w:i w:val="0"/>
          <w:sz w:val="21"/>
        </w:rPr>
        <w:t>Interoperabilitas.</w:t>
      </w:r>
      <w:r>
        <w:rPr>
          <w:b w:val="0"/>
          <w:i w:val="0"/>
          <w:sz w:val="21"/>
        </w:rPr>
        <w:t xml:space="preserve"> Kontrak berjalan di EVM sehingga kompatibel dengan wallet dan pustaka standar (ethers.js) dan mudah dipindah antara jaringan EVM publik maupun permissioned. Pertukaran kredensial antar-institusi idealnya mengikuti standar W3C Verifiable Credentials dan DID; ini baru berupa rencana pada proyek ini. Event CredentialIssued, CredentialRevoked, dan IssuerInvalidated dapat diindeks oleh sistem pihak ketiga. Fabric memakai model chaincode yang berbeda, sehingga perpindahan antar-platform membutuhkan implementasi ulang.</w:t>
      </w:r>
    </w:p>
    <w:p>
      <w:pPr>
        <w:pStyle w:val="Heading1"/>
        <w:spacing w:before="160" w:after="60"/>
      </w:pPr>
      <w:r>
        <w:rPr>
          <w:sz w:val="24"/>
        </w:rPr>
        <w:t>4. Privasi data</w:t>
      </w:r>
    </w:p>
    <w:p>
      <w:pPr>
        <w:spacing w:after="80" w:before="0" w:line="240" w:lineRule="auto"/>
        <w:jc w:val="both"/>
      </w:pPr>
      <w:r>
        <w:rPr>
          <w:b/>
          <w:i w:val="0"/>
          <w:sz w:val="21"/>
        </w:rPr>
        <w:t>Tidak boleh berada terbuka di blockchain:</w:t>
      </w:r>
      <w:r>
        <w:rPr>
          <w:b w:val="0"/>
          <w:i w:val="0"/>
          <w:sz w:val="21"/>
        </w:rPr>
        <w:t xml:space="preserve"> nama, NIK, tanggal lahir, nilai/IPK, nomor ijazah, isi dokumen, alamat wallet yang dapat dikaitkan dengan identitas, dan salt. Data ini tinggal di basis data kampus terenkripsi dan pada lulusan. </w:t>
      </w:r>
      <w:r>
        <w:rPr>
          <w:b/>
          <w:i w:val="0"/>
          <w:sz w:val="21"/>
        </w:rPr>
        <w:t>Boleh on-chain:</w:t>
      </w:r>
      <w:r>
        <w:rPr>
          <w:b w:val="0"/>
          <w:i w:val="0"/>
          <w:sz w:val="21"/>
        </w:rPr>
        <w:t xml:space="preserve"> hash dokumen (SHA-256 dengan salt acak 32 byte), alamat penerbit, waktu, status, dan holderRef. Implementasi: wallet lulusan diganti holderRef = keccak256(wallet ‖ salt) dan tidak muncul pada state maupun event (diuji T-05). </w:t>
      </w:r>
      <w:r>
        <w:rPr>
          <w:b/>
          <w:i w:val="0"/>
          <w:sz w:val="21"/>
        </w:rPr>
        <w:t>Risiko sisa:</w:t>
      </w:r>
      <w:r>
        <w:rPr>
          <w:b w:val="0"/>
          <w:i w:val="0"/>
          <w:sz w:val="21"/>
        </w:rPr>
        <w:t xml:space="preserve"> metadata (waktu, frekuensi, dan alamat penerbit tetap publik bagi anggota jaringan) dan hak penghapusan data pada UU PDP [2] yang tidak dapat dipenuhi bila data pribadi masuk ledger; karena itu data pribadi sejak awal dijaga di luar chain.</w:t>
      </w:r>
    </w:p>
    <w:p>
      <w:pPr>
        <w:pStyle w:val="Heading1"/>
        <w:spacing w:before="160" w:after="60"/>
      </w:pPr>
      <w:r>
        <w:rPr>
          <w:sz w:val="24"/>
        </w:rPr>
        <w:t>5. Isu tata kelola</w:t>
      </w:r>
    </w:p>
    <w:tbl>
      <w:tblPr>
        <w:tblStyle w:val="TableGrid"/>
        <w:tblW w:type="auto" w:w="0"/>
        <w:tblLayout w:type="fixed"/>
        <w:tblLook w:firstColumn="1" w:firstRow="1" w:lastColumn="0" w:lastRow="0" w:noHBand="0" w:noVBand="1" w:val="04A0"/>
      </w:tblPr>
      <w:tblGrid>
        <w:gridCol w:w="2880"/>
        <w:gridCol w:w="6768"/>
      </w:tblGrid>
      <w:tr>
        <w:tc>
          <w:tcPr>
            <w:tcW w:type="dxa" w:w="2880"/>
            <w:shd w:val="clear" w:color="auto" w:fill="E9EEF4"/>
          </w:tcPr>
          <w:p>
            <w:pPr>
              <w:spacing w:after="20"/>
              <w:jc w:val="left"/>
            </w:pPr>
            <w:r/>
            <w:r>
              <w:rPr>
                <w:b/>
                <w:sz w:val="17"/>
              </w:rPr>
              <w:t>Pertanyaan</w:t>
            </w:r>
          </w:p>
        </w:tc>
        <w:tc>
          <w:tcPr>
            <w:tcW w:type="dxa" w:w="6768"/>
            <w:shd w:val="clear" w:color="auto" w:fill="E9EEF4"/>
          </w:tcPr>
          <w:p>
            <w:pPr>
              <w:spacing w:after="20"/>
              <w:jc w:val="left"/>
            </w:pPr>
            <w:r/>
            <w:r>
              <w:rPr>
                <w:b/>
                <w:sz w:val="17"/>
              </w:rPr>
              <w:t>Usulan pada rancangan</w:t>
            </w:r>
          </w:p>
        </w:tc>
      </w:tr>
      <w:tr>
        <w:tc>
          <w:tcPr>
            <w:tcW w:type="dxa" w:w="2880"/>
          </w:tcPr>
          <w:p>
            <w:pPr>
              <w:spacing w:after="20"/>
              <w:jc w:val="left"/>
            </w:pPr>
            <w:r/>
            <w:r>
              <w:rPr>
                <w:b/>
                <w:sz w:val="17"/>
              </w:rPr>
              <w:t>Siapa mengelola perubahan kontrak?</w:t>
            </w:r>
          </w:p>
        </w:tc>
        <w:tc>
          <w:tcPr>
            <w:tcW w:type="dxa" w:w="6768"/>
          </w:tcPr>
          <w:p>
            <w:pPr>
              <w:spacing w:after="20"/>
              <w:jc w:val="left"/>
            </w:pPr>
            <w:r/>
            <w:r>
              <w:rPr>
                <w:b w:val="0"/>
                <w:sz w:val="17"/>
              </w:rPr>
              <w:t>Komite tata kelola (satu wakil per kampus, regulator sebagai pengamat). Kontrak saat ini tidak upgradeable; perubahan berarti deploy versi baru lewat proposal, audit independen, masa tunggu, lalu voting 2/3.</w:t>
            </w:r>
          </w:p>
        </w:tc>
      </w:tr>
      <w:tr>
        <w:tc>
          <w:tcPr>
            <w:tcW w:type="dxa" w:w="2880"/>
          </w:tcPr>
          <w:p>
            <w:pPr>
              <w:spacing w:after="20"/>
              <w:jc w:val="left"/>
            </w:pPr>
            <w:r/>
            <w:r>
              <w:rPr>
                <w:b/>
                <w:sz w:val="17"/>
              </w:rPr>
              <w:t>Siapa mengelola node dan validator?</w:t>
            </w:r>
          </w:p>
        </w:tc>
        <w:tc>
          <w:tcPr>
            <w:tcW w:type="dxa" w:w="6768"/>
          </w:tcPr>
          <w:p>
            <w:pPr>
              <w:spacing w:after="20"/>
              <w:jc w:val="left"/>
            </w:pPr>
            <w:r/>
            <w:r>
              <w:rPr>
                <w:b w:val="0"/>
                <w:sz w:val="17"/>
              </w:rPr>
              <w:t>Anggota konsorsium; onboarding lewat verifikasi komite dan persetujuan minimal 2/3 validator; offboarding dengan rotasi kunci.</w:t>
            </w:r>
          </w:p>
        </w:tc>
      </w:tr>
      <w:tr>
        <w:tc>
          <w:tcPr>
            <w:tcW w:type="dxa" w:w="2880"/>
          </w:tcPr>
          <w:p>
            <w:pPr>
              <w:spacing w:after="20"/>
              <w:jc w:val="left"/>
            </w:pPr>
            <w:r/>
            <w:r>
              <w:rPr>
                <w:b/>
                <w:sz w:val="17"/>
              </w:rPr>
              <w:t>Siapa mengelola role?</w:t>
            </w:r>
          </w:p>
        </w:tc>
        <w:tc>
          <w:tcPr>
            <w:tcW w:type="dxa" w:w="6768"/>
          </w:tcPr>
          <w:p>
            <w:pPr>
              <w:spacing w:after="20"/>
              <w:jc w:val="left"/>
            </w:pPr>
            <w:r/>
            <w:r>
              <w:rPr>
                <w:b w:val="0"/>
                <w:sz w:val="17"/>
              </w:rPr>
              <w:t>DEFAULT_ADMIN_ROLE (target produksi: multisig dengan time-lock); admin terakhir tidak dapat dihapus (perbaikan A-01); pencabutan darurat issuer lewat invalidateIssuer (perbaikan A-02).</w:t>
            </w:r>
          </w:p>
        </w:tc>
      </w:tr>
      <w:tr>
        <w:tc>
          <w:tcPr>
            <w:tcW w:type="dxa" w:w="2880"/>
          </w:tcPr>
          <w:p>
            <w:pPr>
              <w:spacing w:after="20"/>
              <w:jc w:val="left"/>
            </w:pPr>
            <w:r/>
            <w:r>
              <w:rPr>
                <w:b/>
                <w:sz w:val="17"/>
              </w:rPr>
              <w:t>Bagaimana sengketa diselesaikan?</w:t>
            </w:r>
          </w:p>
        </w:tc>
        <w:tc>
          <w:tcPr>
            <w:tcW w:type="dxa" w:w="6768"/>
          </w:tcPr>
          <w:p>
            <w:pPr>
              <w:spacing w:after="20"/>
              <w:jc w:val="left"/>
            </w:pPr>
            <w:r/>
            <w:r>
              <w:rPr>
                <w:b w:val="0"/>
                <w:sz w:val="17"/>
              </w:rPr>
              <w:t>Investigasi komite; kredensial dicabut dengan jejak event; penerbitan ulang memakai salt baru; seluruh keputusan tercatat.</w:t>
            </w:r>
          </w:p>
        </w:tc>
      </w:tr>
    </w:tbl>
    <w:p>
      <w:pPr>
        <w:spacing w:after="40"/>
      </w:pPr>
    </w:p>
    <w:p>
      <w:pPr>
        <w:pStyle w:val="Heading1"/>
        <w:spacing w:before="160" w:after="60"/>
      </w:pPr>
      <w:r>
        <w:rPr>
          <w:sz w:val="24"/>
        </w:rPr>
        <w:t>6. Kapan pilihan lain lebih tepat</w:t>
      </w:r>
    </w:p>
    <w:p>
      <w:pPr>
        <w:spacing w:after="80" w:before="0" w:line="240" w:lineRule="auto"/>
        <w:jc w:val="both"/>
      </w:pPr>
      <w:r>
        <w:rPr>
          <w:b/>
          <w:i w:val="0"/>
          <w:sz w:val="21"/>
        </w:rPr>
        <w:t>Public blockchain</w:t>
      </w:r>
      <w:r>
        <w:rPr>
          <w:b w:val="0"/>
          <w:i w:val="0"/>
          <w:sz w:val="21"/>
        </w:rPr>
        <w:t xml:space="preserve"> lebih tepat bila verifikasi harus terbuka bagi publik tanpa konsorsium atau tanpa pihak yang dipercaya, serta biaya gas dapat diterima dan data pribadi sepenuhnya off-chain. </w:t>
      </w:r>
      <w:r>
        <w:rPr>
          <w:b/>
          <w:i w:val="0"/>
          <w:sz w:val="21"/>
        </w:rPr>
        <w:t>Permissioned blockchain</w:t>
      </w:r>
      <w:r>
        <w:rPr>
          <w:b w:val="0"/>
          <w:i w:val="0"/>
          <w:sz w:val="21"/>
        </w:rPr>
        <w:t xml:space="preserve"> lebih tepat bila peserta saling kenal, dibutuhkan finalitas deterministik, kendali akses, dan biaya per transaksi yang terduga. </w:t>
      </w:r>
      <w:r>
        <w:rPr>
          <w:b/>
          <w:i w:val="0"/>
          <w:sz w:val="21"/>
        </w:rPr>
        <w:t>Database tradisional</w:t>
      </w:r>
      <w:r>
        <w:rPr>
          <w:b w:val="0"/>
          <w:i w:val="0"/>
          <w:sz w:val="21"/>
        </w:rPr>
        <w:t xml:space="preserve"> dengan tanda tangan digital atau QR lebih tepat bila hanya satu kampus yang menerbitkan, tidak ada kebutuhan independensi lintas institusi, data sering dikoreksi atau dihapus, atau kampus tidak mampu mengoperasikan node dan mengamankan kunci. Blockchain tidak menjamin dokumen benar bila penerbit salah menerbitkan dan tidak memverifikasi identitas pembawa dokumen.</w:t>
      </w:r>
    </w:p>
    <w:p>
      <w:pPr>
        <w:pStyle w:val="Heading1"/>
        <w:spacing w:before="160" w:after="60"/>
      </w:pPr>
      <w:r>
        <w:rPr>
          <w:sz w:val="24"/>
        </w:rPr>
        <w:t>7. Rekomendasi arsitektur akhir</w:t>
      </w:r>
    </w:p>
    <w:p>
      <w:pPr>
        <w:spacing w:after="80" w:before="0" w:line="240" w:lineRule="auto"/>
        <w:jc w:val="both"/>
      </w:pPr>
      <w:r>
        <w:rPr>
          <w:b w:val="0"/>
          <w:i w:val="0"/>
          <w:sz w:val="21"/>
        </w:rPr>
        <w:t xml:space="preserve">Untuk skenario </w:t>
      </w:r>
      <w:r>
        <w:rPr>
          <w:b/>
          <w:i w:val="0"/>
          <w:sz w:val="21"/>
        </w:rPr>
        <w:t>konsorsium multi-kampus</w:t>
      </w:r>
      <w:r>
        <w:rPr>
          <w:b w:val="0"/>
          <w:i w:val="0"/>
          <w:sz w:val="21"/>
        </w:rPr>
        <w:t xml:space="preserve">, direkomendasikan </w:t>
      </w:r>
      <w:r>
        <w:rPr>
          <w:b/>
          <w:i w:val="0"/>
          <w:sz w:val="21"/>
        </w:rPr>
        <w:t>permissioned blockchain berbasis EVM (Hyperledger Besu dengan QBFT)</w:t>
      </w:r>
      <w:r>
        <w:rPr>
          <w:b w:val="0"/>
          <w:i w:val="0"/>
          <w:sz w:val="21"/>
        </w:rPr>
        <w:t xml:space="preserve"> dengan alasan: (1) kontrak AcademicVerifier v3 beserta 37 tesnya dapat dipakai ulang tanpa menulis ulang, sedangkan Fabric membutuhkan chaincode baru; (2) peserta dikenal sehingga PoW/PoS publik tidak diperlukan; (3) finalitas deterministik dan tanpa gas publik; (4) data pribadi tetap off-chain sehingga kebutuhan privasi Fabric (channel) tidak mendesak; (5) tata kelola konsorsium (komite, validator, role) sesuai kebutuhan lintas kampus. Pendamping: admin lewat multisig dengan time-lock, kunci issuer di HSM, gateway ganda, dan pemantauan event. </w:t>
      </w:r>
      <w:r>
        <w:rPr>
          <w:b/>
          <w:i w:val="0"/>
          <w:sz w:val="21"/>
        </w:rPr>
        <w:t>Untuk satu kampus</w:t>
      </w:r>
      <w:r>
        <w:rPr>
          <w:b w:val="0"/>
          <w:i w:val="0"/>
          <w:sz w:val="21"/>
        </w:rPr>
        <w:t>, rekomendasinya adalah database dengan tanda tangan digital. Langkah pilot yang realistis: testnet Besu QBFT dengan minimal empat validator, pengukuran throughput, latensi, dan biaya operasi, serta uji pemulihan kunci. Hasil ukur tersebut belum ada dan akan menjadi dasar keputusan final.</w:t>
      </w:r>
    </w:p>
    <w:p>
      <w:pPr>
        <w:spacing w:after="0" w:before="0" w:line="240" w:lineRule="auto"/>
        <w:jc w:val="both"/>
      </w:pPr>
      <w:r>
        <w:rPr>
          <w:b w:val="0"/>
          <w:i/>
          <w:sz w:val="17"/>
        </w:rPr>
        <w:t>Daftar rujukan: [2] UU No. 27 Tahun 2022 tentang Pelindungan Data Pribadi; dokumentasi Hyperledger Besu dan Hyperledger Fabric; W3C Verifiable Credentials Data Model; kode dan hasil uji pada repositori https://github.com/rossinurajizah/uas-blockchain-2026.</w:t>
      </w:r>
    </w:p>
    <w:sectPr w:rsidR="00952185" w:rsidRPr="00FF6C53" w:rsidSect="00034616">
      <w:footerReference w:type="default" r:id="rId8"/>
      <w:pgSz w:w="12240" w:h="15840"/>
      <w:pgMar w:top="1080"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Template Laporan Kegiatan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