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primer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rights</w:t>
      </w:r>
      <w:r>
        <w:t xml:space="preserve"> </w:t>
      </w:r>
      <w:r>
        <w:t xml:space="preserve">retention</w:t>
      </w:r>
      <w:r>
        <w:t xml:space="preserve"> </w:t>
      </w:r>
      <w:r>
        <w:t xml:space="preserve">strategy</w:t>
      </w:r>
      <w:r>
        <w:t xml:space="preserve"> </w:t>
      </w:r>
      <w:r>
        <w:t xml:space="preserve">(version</w:t>
      </w:r>
      <w:r>
        <w:t xml:space="preserve"> </w:t>
      </w:r>
      <w:r>
        <w:t xml:space="preserve">0.2)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J</w:t>
      </w:r>
      <w:r>
        <w:t xml:space="preserve"> </w:t>
      </w:r>
      <w:r>
        <w:t xml:space="preserve">Eglen</w:t>
      </w:r>
    </w:p>
    <w:p>
      <w:pPr>
        <w:pStyle w:val="Date"/>
      </w:pPr>
      <w:r>
        <w:t xml:space="preserve">2023-01-05</w:t>
      </w:r>
    </w:p>
    <w:bookmarkStart w:id="22" w:name="what-is-rights-retention"/>
    <w:p>
      <w:pPr>
        <w:pStyle w:val="Heading1"/>
      </w:pPr>
      <w:r>
        <w:t xml:space="preserve">What is rights retention?</w:t>
      </w:r>
    </w:p>
    <w:p>
      <w:pPr>
        <w:pStyle w:val="FirstParagraph"/>
      </w:pPr>
      <w:r>
        <w:t xml:space="preserve">One key development in scholarly publishing is the rise of open</w:t>
      </w:r>
      <w:r>
        <w:t xml:space="preserve"> </w:t>
      </w:r>
      <w:r>
        <w:t xml:space="preserve">access. Making articles freely available under particular copyright</w:t>
      </w:r>
      <w:r>
        <w:t xml:space="preserve"> </w:t>
      </w:r>
      <w:r>
        <w:t xml:space="preserve">licences (such as CC-BY) is now required by UK research councils and</w:t>
      </w:r>
      <w:r>
        <w:t xml:space="preserve"> </w:t>
      </w:r>
      <w:r>
        <w:t xml:space="preserve">other funding bodies. Journal publishers have responded to these</w:t>
      </w:r>
      <w:r>
        <w:t xml:space="preserve"> </w:t>
      </w:r>
      <w:r>
        <w:t xml:space="preserve">requirements in various ways, e.g. by offering</w:t>
      </w:r>
      <w:r>
        <w:t xml:space="preserve"> </w:t>
      </w:r>
      <w:r>
        <w:t xml:space="preserve">‘</w:t>
      </w:r>
      <w:r>
        <w:t xml:space="preserve">gold open access</w:t>
      </w:r>
      <w:r>
        <w:t xml:space="preserve">’</w:t>
      </w:r>
      <w:r>
        <w:t xml:space="preserve"> </w:t>
      </w:r>
      <w:r>
        <w:t xml:space="preserve">routes, that often require payment of substantial article processing</w:t>
      </w:r>
      <w:r>
        <w:t xml:space="preserve"> </w:t>
      </w:r>
      <w:r>
        <w:t xml:space="preserve">charges (APCs).</w:t>
      </w:r>
    </w:p>
    <w:p>
      <w:pPr>
        <w:pStyle w:val="BodyText"/>
      </w:pPr>
      <w:r>
        <w:t xml:space="preserve">Funders also permit</w:t>
      </w:r>
      <w:r>
        <w:t xml:space="preserve"> </w:t>
      </w:r>
      <w:r>
        <w:t xml:space="preserve">‘</w:t>
      </w:r>
      <w:r>
        <w:t xml:space="preserve">green open access</w:t>
      </w:r>
      <w:r>
        <w:t xml:space="preserve">’</w:t>
      </w:r>
      <w:r>
        <w:t xml:space="preserve"> </w:t>
      </w:r>
      <w:r>
        <w:t xml:space="preserve">as a route to compliance with</w:t>
      </w:r>
      <w:r>
        <w:t xml:space="preserve"> </w:t>
      </w:r>
      <w:r>
        <w:t xml:space="preserve">their rules. This is where the author deposits their version of the</w:t>
      </w:r>
      <w:r>
        <w:t xml:space="preserve"> </w:t>
      </w:r>
      <w:r>
        <w:t xml:space="preserve">manuscript (the author accepted manuscript, AAM) into an institutional</w:t>
      </w:r>
      <w:r>
        <w:t xml:space="preserve"> </w:t>
      </w:r>
      <w:r>
        <w:t xml:space="preserve">repository or similar archive. Many publishers have previously</w:t>
      </w:r>
      <w:r>
        <w:t xml:space="preserve"> </w:t>
      </w:r>
      <w:r>
        <w:t xml:space="preserve">allowed some form of self-archiving, but usually with constraints,</w:t>
      </w:r>
      <w:r>
        <w:t xml:space="preserve"> </w:t>
      </w:r>
      <w:r>
        <w:t xml:space="preserve">e.g. imposition of an embargo period (between 6-24 months). These</w:t>
      </w:r>
      <w:r>
        <w:t xml:space="preserve"> </w:t>
      </w:r>
      <w:r>
        <w:t xml:space="preserve">constraints contradict funders’ requirements that prohibit any embargo period.</w:t>
      </w:r>
    </w:p>
    <w:p>
      <w:pPr>
        <w:pStyle w:val="BodyText"/>
      </w:pPr>
      <w:r>
        <w:t xml:space="preserve">As a way of overcoming these restrictions, researchers and their</w:t>
      </w:r>
      <w:r>
        <w:t xml:space="preserve"> </w:t>
      </w:r>
      <w:r>
        <w:t xml:space="preserve">institutions have developed their own policies to permit sharing of</w:t>
      </w:r>
      <w:r>
        <w:t xml:space="preserve"> </w:t>
      </w:r>
      <w:r>
        <w:t xml:space="preserve">their work. Perhaps the most well-known example of these is the</w:t>
      </w:r>
      <w:r>
        <w:t xml:space="preserve"> </w:t>
      </w:r>
      <w:r>
        <w:t xml:space="preserve">policy led by</w:t>
      </w:r>
      <w:r>
        <w:t xml:space="preserve"> </w:t>
      </w:r>
      <w:hyperlink r:id="rId20">
        <w:r>
          <w:rPr>
            <w:rStyle w:val="Hyperlink"/>
          </w:rPr>
          <w:t xml:space="preserve">Harvard</w:t>
        </w:r>
      </w:hyperlink>
      <w:r>
        <w:t xml:space="preserve"> </w:t>
      </w:r>
      <w:r>
        <w:t xml:space="preserve">faculty</w:t>
      </w:r>
      <w:r>
        <w:t xml:space="preserve"> </w:t>
      </w:r>
      <w:r>
        <w:t xml:space="preserve">in 2008. Within the UK, proposals for a UK Scholarly Communcations</w:t>
      </w:r>
      <w:r>
        <w:t xml:space="preserve"> </w:t>
      </w:r>
      <w:r>
        <w:t xml:space="preserve">Licence</w:t>
      </w:r>
      <w:r>
        <w:t xml:space="preserve"> </w:t>
      </w:r>
      <w:hyperlink r:id="rId21">
        <w:r>
          <w:rPr>
            <w:rStyle w:val="Hyperlink"/>
          </w:rPr>
          <w:t xml:space="preserve">UK-SCL</w:t>
        </w:r>
      </w:hyperlink>
      <w:r>
        <w:t xml:space="preserve"> </w:t>
      </w:r>
      <w:r>
        <w:t xml:space="preserve">have been created. Most</w:t>
      </w:r>
      <w:r>
        <w:t xml:space="preserve"> </w:t>
      </w:r>
      <w:r>
        <w:t xml:space="preserve">recently, the</w:t>
      </w:r>
      <w:r>
        <w:t xml:space="preserve"> </w:t>
      </w:r>
      <w:r>
        <w:t xml:space="preserve">“</w:t>
      </w:r>
      <w:r>
        <w:t xml:space="preserve">rights retention strategy</w:t>
      </w:r>
      <w:r>
        <w:t xml:space="preserve">”</w:t>
      </w:r>
      <w:r>
        <w:t xml:space="preserve"> </w:t>
      </w:r>
      <w:r>
        <w:t xml:space="preserve">has been developed by a</w:t>
      </w:r>
      <w:r>
        <w:t xml:space="preserve"> </w:t>
      </w:r>
      <w:r>
        <w:t xml:space="preserve">group of international funders, cOAlition S, to allow researchers to</w:t>
      </w:r>
      <w:r>
        <w:t xml:space="preserve"> </w:t>
      </w:r>
      <w:r>
        <w:t xml:space="preserve">retain rights on their scholarly writing and thus meet the</w:t>
      </w:r>
      <w:r>
        <w:t xml:space="preserve"> </w:t>
      </w:r>
      <w:r>
        <w:t xml:space="preserve">requirements of their funders. This primer describes how authors can</w:t>
      </w:r>
      <w:r>
        <w:t xml:space="preserve"> </w:t>
      </w:r>
      <w:r>
        <w:t xml:space="preserve">retain their rights using this rights retention strategy.</w:t>
      </w:r>
    </w:p>
    <w:bookmarkEnd w:id="22"/>
    <w:bookmarkStart w:id="23" w:name="why-should-authors-retain-their-rights"/>
    <w:p>
      <w:pPr>
        <w:pStyle w:val="Heading1"/>
      </w:pPr>
      <w:r>
        <w:t xml:space="preserve">Why should authors retain their rights?</w:t>
      </w:r>
    </w:p>
    <w:p>
      <w:pPr>
        <w:pStyle w:val="FirstParagraph"/>
      </w:pPr>
      <w:r>
        <w:t xml:space="preserve">The primary reason why researchers might wish to retain their rights</w:t>
      </w:r>
      <w:r>
        <w:t xml:space="preserve"> </w:t>
      </w:r>
      <w:r>
        <w:t xml:space="preserve">is simply to comply with funders’ requirements. Ignoring these</w:t>
      </w:r>
      <w:r>
        <w:t xml:space="preserve"> </w:t>
      </w:r>
      <w:r>
        <w:t xml:space="preserve">requirements could affect a researcher’s chance of future funding.</w:t>
      </w:r>
      <w:r>
        <w:t xml:space="preserve"> </w:t>
      </w:r>
      <w:r>
        <w:t xml:space="preserve">This might be seen by some researchers as simple rule-following with</w:t>
      </w:r>
      <w:r>
        <w:t xml:space="preserve"> </w:t>
      </w:r>
      <w:r>
        <w:t xml:space="preserve">little benefit to themselves. However, work that is available</w:t>
      </w:r>
      <w:r>
        <w:t xml:space="preserve"> </w:t>
      </w:r>
      <w:r>
        <w:t xml:space="preserve">open-access often tends to be more highly cited than work that is only</w:t>
      </w:r>
      <w:r>
        <w:t xml:space="preserve"> </w:t>
      </w:r>
      <w:r>
        <w:t xml:space="preserve">available behind a paywall</w:t>
      </w:r>
      <w:r>
        <w:t xml:space="preserve"> </w:t>
      </w:r>
      <w:r>
        <w:t xml:space="preserve">(Langham-Putrow, Bakker, and Riegelman 2021)</w:t>
      </w:r>
      <w:r>
        <w:t xml:space="preserve">. Open-access</w:t>
      </w:r>
      <w:r>
        <w:t xml:space="preserve"> </w:t>
      </w:r>
      <w:r>
        <w:t xml:space="preserve">licences on work allows for rapid reuse by everyone in the community,</w:t>
      </w:r>
      <w:r>
        <w:t xml:space="preserve"> </w:t>
      </w:r>
      <w:r>
        <w:t xml:space="preserve">including the researchers who originally made the material. This</w:t>
      </w:r>
      <w:r>
        <w:t xml:space="preserve"> </w:t>
      </w:r>
      <w:r>
        <w:t xml:space="preserve">includes, but is not limited to to books, talks, wikipedia and social</w:t>
      </w:r>
      <w:r>
        <w:t xml:space="preserve"> </w:t>
      </w:r>
      <w:r>
        <w:t xml:space="preserve">media, for teaching and research.</w:t>
      </w:r>
    </w:p>
    <w:p>
      <w:pPr>
        <w:pStyle w:val="BodyText"/>
      </w:pPr>
      <w:r>
        <w:t xml:space="preserve">In many professional disciplines, the creator of the work naturally</w:t>
      </w:r>
      <w:r>
        <w:t xml:space="preserve"> </w:t>
      </w:r>
      <w:r>
        <w:t xml:space="preserve">maintains rights to their work. Many journal publishers have</w:t>
      </w:r>
      <w:r>
        <w:t xml:space="preserve"> </w:t>
      </w:r>
      <w:r>
        <w:t xml:space="preserve">previously stated that they require exclusive rights to publish the</w:t>
      </w:r>
      <w:r>
        <w:t xml:space="preserve"> </w:t>
      </w:r>
      <w:r>
        <w:t xml:space="preserve">work. This is simply not true</w:t>
      </w:r>
      <w:r>
        <w:t xml:space="preserve"> </w:t>
      </w:r>
      <w:r>
        <w:t xml:space="preserve">(Suber 2022)</w:t>
      </w:r>
      <w:r>
        <w:t xml:space="preserve">.</w:t>
      </w:r>
    </w:p>
    <w:bookmarkEnd w:id="23"/>
    <w:bookmarkStart w:id="31" w:name="how-to-retain-rights-to-your-manuscripts"/>
    <w:p>
      <w:pPr>
        <w:pStyle w:val="Heading1"/>
      </w:pPr>
      <w:r>
        <w:t xml:space="preserve">How to retain rights to your manuscripts</w:t>
      </w:r>
    </w:p>
    <w:p>
      <w:pPr>
        <w:pStyle w:val="FirstParagraph"/>
      </w:pPr>
      <w:r>
        <w:t xml:space="preserve">In theory, the process of retaining rights on your manuscripts is</w:t>
      </w:r>
      <w:r>
        <w:t xml:space="preserve"> </w:t>
      </w:r>
      <w:r>
        <w:t xml:space="preserve">simple. Before submitting your work to a journal, add the following</w:t>
      </w:r>
      <w:r>
        <w:t xml:space="preserve"> </w:t>
      </w:r>
      <w:r>
        <w:t xml:space="preserve">phrase to your manuscript e.g. in the Acknowledgements</w:t>
      </w:r>
      <w:r>
        <w:t xml:space="preserve"> </w:t>
      </w:r>
      <w:r>
        <w:t xml:space="preserve">section:</w:t>
      </w:r>
    </w:p>
    <w:p>
      <w:pPr>
        <w:pStyle w:val="SourceCode"/>
      </w:pPr>
      <w:r>
        <w:rPr>
          <w:rStyle w:val="VerbatimChar"/>
        </w:rPr>
        <w:t xml:space="preserve">For the purpose of open access, the author has applied a Creative</w:t>
      </w:r>
      <w:r>
        <w:br/>
      </w:r>
      <w:r>
        <w:rPr>
          <w:rStyle w:val="VerbatimChar"/>
        </w:rPr>
        <w:t xml:space="preserve">Commons Attribution (CC BY) licence to any Author Accepted</w:t>
      </w:r>
      <w:r>
        <w:br/>
      </w:r>
      <w:r>
        <w:rPr>
          <w:rStyle w:val="VerbatimChar"/>
        </w:rPr>
        <w:t xml:space="preserve">Manuscript version arising from this submission.</w:t>
      </w:r>
    </w:p>
    <w:p>
      <w:pPr>
        <w:pStyle w:val="FirstParagraph"/>
      </w:pPr>
      <w:r>
        <w:t xml:space="preserve">It is also a good idea to tell the editor, in your cover letter, that</w:t>
      </w:r>
      <w:r>
        <w:t xml:space="preserve"> </w:t>
      </w:r>
      <w:r>
        <w:t xml:space="preserve">you wish to retain rights to any author-accepted manuscript resulting</w:t>
      </w:r>
      <w:r>
        <w:t xml:space="preserve"> </w:t>
      </w:r>
      <w:r>
        <w:t xml:space="preserve">from your submission.</w:t>
      </w:r>
    </w:p>
    <w:p>
      <w:pPr>
        <w:pStyle w:val="BodyText"/>
      </w:pPr>
      <w:r>
        <w:t xml:space="preserve">That’s it. If your paper is accepted by the editor after peer-review,</w:t>
      </w:r>
      <w:r>
        <w:t xml:space="preserve"> </w:t>
      </w:r>
      <w:r>
        <w:t xml:space="preserve">your author accepted manuscript can then be deposited in a suitable</w:t>
      </w:r>
      <w:r>
        <w:t xml:space="preserve"> </w:t>
      </w:r>
      <w:r>
        <w:t xml:space="preserve">open repository under a CC-BY licence without embargo. You are then</w:t>
      </w:r>
      <w:r>
        <w:t xml:space="preserve"> </w:t>
      </w:r>
      <w:r>
        <w:t xml:space="preserve">free to also share the manuscript however you choose.</w:t>
      </w:r>
    </w:p>
    <w:bookmarkStart w:id="28" w:name="what-if-things-go-wrong"/>
    <w:p>
      <w:pPr>
        <w:pStyle w:val="Heading2"/>
      </w:pPr>
      <w:r>
        <w:t xml:space="preserve">What if things go wrong?</w:t>
      </w:r>
    </w:p>
    <w:p>
      <w:pPr>
        <w:pStyle w:val="FirstParagraph"/>
      </w:pPr>
      <w:r>
        <w:t xml:space="preserve">Researchers may be sceptical that this approach may always work</w:t>
      </w:r>
      <w:r>
        <w:t xml:space="preserve"> </w:t>
      </w:r>
      <w:r>
        <w:t xml:space="preserve">without concerns. Open access advocates have raised concerns about</w:t>
      </w:r>
      <w:r>
        <w:t xml:space="preserve"> </w:t>
      </w:r>
      <w:r>
        <w:t xml:space="preserve">the legality</w:t>
      </w:r>
      <w:r>
        <w:t xml:space="preserve"> </w:t>
      </w:r>
      <w:r>
        <w:t xml:space="preserve">(Khoo 2021)</w:t>
      </w:r>
      <w:r>
        <w:t xml:space="preserve"> </w:t>
      </w:r>
      <w:r>
        <w:t xml:space="preserve">and longer-term implications</w:t>
      </w:r>
      <w:r>
        <w:t xml:space="preserve"> </w:t>
      </w:r>
      <w:r>
        <w:t xml:space="preserve">(Kamerlin 2020)</w:t>
      </w:r>
      <w:r>
        <w:t xml:space="preserve"> </w:t>
      </w:r>
      <w:r>
        <w:t xml:space="preserve">of rights retention approaches. Although those</w:t>
      </w:r>
      <w:r>
        <w:t xml:space="preserve"> </w:t>
      </w:r>
      <w:r>
        <w:t xml:space="preserve">concerns have yet to materialise, there are indeed several caveats</w:t>
      </w:r>
      <w:r>
        <w:t xml:space="preserve"> </w:t>
      </w:r>
      <w:r>
        <w:t xml:space="preserve">that should be mentioned:</w:t>
      </w:r>
    </w:p>
    <w:p>
      <w:pPr>
        <w:numPr>
          <w:ilvl w:val="0"/>
          <w:numId w:val="1001"/>
        </w:numPr>
      </w:pPr>
      <w:r>
        <w:t xml:space="preserve">A journal editor may decline reviewing (</w:t>
      </w:r>
      <w:r>
        <w:t xml:space="preserve">“</w:t>
      </w:r>
      <w:r>
        <w:t xml:space="preserve">desk reject</w:t>
      </w:r>
      <w:r>
        <w:t xml:space="preserve">”</w:t>
      </w:r>
      <w:r>
        <w:t xml:space="preserve">) your</w:t>
      </w:r>
      <w:r>
        <w:t xml:space="preserve"> </w:t>
      </w:r>
      <w:r>
        <w:t xml:space="preserve">manuscript because it uses rights retention language. To date, I</w:t>
      </w:r>
      <w:r>
        <w:t xml:space="preserve"> </w:t>
      </w:r>
      <w:r>
        <w:t xml:space="preserve">am aware of only one journal publisher, the American Society of</w:t>
      </w:r>
      <w:r>
        <w:t xml:space="preserve"> </w:t>
      </w:r>
      <w:r>
        <w:t xml:space="preserve">Hematology, that has chosen this route. Whilst unfortunate, each</w:t>
      </w:r>
      <w:r>
        <w:t xml:space="preserve"> </w:t>
      </w:r>
      <w:r>
        <w:t xml:space="preserve">publisher may decline to review articles for many reasons.</w:t>
      </w:r>
      <w:r>
        <w:t xml:space="preserve"> </w:t>
      </w:r>
      <w:r>
        <w:t xml:space="preserve">However, although many traditional publishers have voiced their</w:t>
      </w:r>
      <w:r>
        <w:t xml:space="preserve"> </w:t>
      </w:r>
      <w:r>
        <w:t xml:space="preserve">concerns about rights retention</w:t>
      </w:r>
      <w:r>
        <w:t xml:space="preserve"> </w:t>
      </w:r>
      <w:hyperlink r:id="rId24">
        <w:r>
          <w:rPr>
            <w:rStyle w:val="Hyperlink"/>
          </w:rPr>
          <w:t xml:space="preserve">https://ioppublishing.org/signatories_publish_statement_on_rights_retention_strategy/</w:t>
        </w:r>
      </w:hyperlink>
      <w:r>
        <w:t xml:space="preserve">,</w:t>
      </w:r>
      <w:r>
        <w:t xml:space="preserve"> </w:t>
      </w:r>
      <w:r>
        <w:t xml:space="preserve">those same publishers are allowing authors to exert their natural</w:t>
      </w:r>
      <w:r>
        <w:t xml:space="preserve"> </w:t>
      </w:r>
      <w:r>
        <w:t xml:space="preserve">rights</w:t>
      </w:r>
      <w:r>
        <w:t xml:space="preserve"> </w:t>
      </w:r>
      <w:hyperlink r:id="rId25">
        <w:r>
          <w:rPr>
            <w:rStyle w:val="Hyperlink"/>
          </w:rPr>
          <w:t xml:space="preserve">https://github.com/rossmounce/rrs-language-including-outputs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One of the largest publishers, Springer Nature, noted in April 2021</w:t>
      </w:r>
      <w:r>
        <w:t xml:space="preserve"> </w:t>
      </w:r>
      <w:r>
        <w:t xml:space="preserve">that in some cases they will effectively ignore rights retention</w:t>
      </w:r>
      <w:r>
        <w:t xml:space="preserve"> </w:t>
      </w:r>
      <w:r>
        <w:t xml:space="preserve">language in manuscripts</w:t>
      </w:r>
      <w:r>
        <w:t xml:space="preserve"> </w:t>
      </w:r>
      <w:hyperlink r:id="rId26">
        <w:r>
          <w:rPr>
            <w:rStyle w:val="Hyperlink"/>
          </w:rPr>
          <w:t xml:space="preserve">https://www.springernature.com/gp/advancing-discovery/blog/blogposts/continuing-the-open-access-transition/19045440</w:t>
        </w:r>
      </w:hyperlink>
      <w:r>
        <w:t xml:space="preserve"> </w:t>
      </w:r>
      <w:r>
        <w:t xml:space="preserve">and require a transfer of copyright. This will create a conflict</w:t>
      </w:r>
      <w:r>
        <w:t xml:space="preserve"> </w:t>
      </w:r>
      <w:r>
        <w:t xml:space="preserve">once the manuscript has been editorially accepted. Ignoring</w:t>
      </w:r>
      <w:r>
        <w:t xml:space="preserve"> </w:t>
      </w:r>
      <w:r>
        <w:t xml:space="preserve">researcher rights on their work is highly unethical, and puts</w:t>
      </w:r>
      <w:r>
        <w:t xml:space="preserve"> </w:t>
      </w:r>
      <w:r>
        <w:t xml:space="preserve">researchers in a very difficult position. To avoid this stalemate,</w:t>
      </w:r>
      <w:r>
        <w:t xml:space="preserve"> </w:t>
      </w:r>
      <w:r>
        <w:t xml:space="preserve">a researcher could seek confirmation from the editor that they can</w:t>
      </w:r>
      <w:r>
        <w:t xml:space="preserve"> </w:t>
      </w:r>
      <w:r>
        <w:t xml:space="preserve">retain their rights before submitting their manuscript. A simpler</w:t>
      </w:r>
      <w:r>
        <w:t xml:space="preserve"> </w:t>
      </w:r>
      <w:r>
        <w:t xml:space="preserve">approach would be to avoid that publisher.</w:t>
      </w:r>
    </w:p>
    <w:p>
      <w:pPr>
        <w:numPr>
          <w:ilvl w:val="0"/>
          <w:numId w:val="1001"/>
        </w:numPr>
      </w:pPr>
      <w:r>
        <w:t xml:space="preserve">If you publish your work in a subscription journal, as long as you</w:t>
      </w:r>
      <w:r>
        <w:t xml:space="preserve"> </w:t>
      </w:r>
      <w:r>
        <w:t xml:space="preserve">make your AAM freely available without embargo, you do not need to</w:t>
      </w:r>
      <w:r>
        <w:t xml:space="preserve"> </w:t>
      </w:r>
      <w:r>
        <w:t xml:space="preserve">pay the journal an APC. (The journal may still demand other</w:t>
      </w:r>
      <w:r>
        <w:t xml:space="preserve"> </w:t>
      </w:r>
      <w:r>
        <w:t xml:space="preserve">charges, such as for colour figures in-print.) However, if you</w:t>
      </w:r>
      <w:r>
        <w:t xml:space="preserve"> </w:t>
      </w:r>
      <w:r>
        <w:t xml:space="preserve">publish your work in an open-access journal, you may still need to</w:t>
      </w:r>
      <w:r>
        <w:t xml:space="preserve"> </w:t>
      </w:r>
      <w:r>
        <w:t xml:space="preserve">pay an APCs to have your work published. Often these costs are</w:t>
      </w:r>
      <w:r>
        <w:t xml:space="preserve"> </w:t>
      </w:r>
      <w:r>
        <w:t xml:space="preserve">covered by institutional arrangements with the publisher.</w:t>
      </w:r>
    </w:p>
    <w:p>
      <w:pPr>
        <w:pStyle w:val="FirstParagraph"/>
      </w:pPr>
      <w:r>
        <w:t xml:space="preserve">The route to open access is therefore often more complicated than it</w:t>
      </w:r>
      <w:r>
        <w:t xml:space="preserve"> </w:t>
      </w:r>
      <w:r>
        <w:t xml:space="preserve">need be. If in doubt, researchers may seek local advice e.g. from</w:t>
      </w:r>
      <w:r>
        <w:t xml:space="preserve"> </w:t>
      </w:r>
      <w:r>
        <w:t xml:space="preserve">library staff, when choosing which journal to submit their work to,</w:t>
      </w:r>
      <w:r>
        <w:t xml:space="preserve"> </w:t>
      </w:r>
      <w:r>
        <w:t xml:space="preserve">and funding sources for any charges. The journal checker tool</w:t>
      </w:r>
      <w:r>
        <w:t xml:space="preserve"> </w:t>
      </w:r>
      <w:hyperlink r:id="rId27">
        <w:r>
          <w:rPr>
            <w:rStyle w:val="Hyperlink"/>
          </w:rPr>
          <w:t xml:space="preserve">https://journalcheckertool.org/</w:t>
        </w:r>
      </w:hyperlink>
      <w:r>
        <w:t xml:space="preserve"> </w:t>
      </w:r>
      <w:r>
        <w:t xml:space="preserve">provides information about journal</w:t>
      </w:r>
      <w:r>
        <w:t xml:space="preserve"> </w:t>
      </w:r>
      <w:r>
        <w:t xml:space="preserve">compliance with funders’ OA policies.</w:t>
      </w:r>
    </w:p>
    <w:bookmarkEnd w:id="28"/>
    <w:bookmarkStart w:id="30" w:name="Xe8462e5198ebeecfae8c73f16d932219d396b59"/>
    <w:p>
      <w:pPr>
        <w:pStyle w:val="Heading2"/>
      </w:pPr>
      <w:r>
        <w:t xml:space="preserve">Institutional support for rights retention</w:t>
      </w:r>
    </w:p>
    <w:p>
      <w:pPr>
        <w:pStyle w:val="FirstParagraph"/>
      </w:pPr>
      <w:r>
        <w:t xml:space="preserve">Researchers can and should use the rights retention strategy by</w:t>
      </w:r>
      <w:r>
        <w:t xml:space="preserve"> </w:t>
      </w:r>
      <w:r>
        <w:t xml:space="preserve">themselves to comply with funders’ requirements for open access. To</w:t>
      </w:r>
      <w:r>
        <w:t xml:space="preserve"> </w:t>
      </w:r>
      <w:r>
        <w:t xml:space="preserve">support their researchers, several UK institutions have already</w:t>
      </w:r>
      <w:r>
        <w:t xml:space="preserve"> </w:t>
      </w:r>
      <w:r>
        <w:t xml:space="preserve">adopted rights retention policies that apply to their employees.</w:t>
      </w:r>
      <w:r>
        <w:t xml:space="preserve"> </w:t>
      </w:r>
      <w:r>
        <w:t xml:space="preserve">These policies typically give the institution a non-exclusive right to</w:t>
      </w:r>
      <w:r>
        <w:t xml:space="preserve"> </w:t>
      </w:r>
      <w:r>
        <w:t xml:space="preserve">archive author accepted manuscripts. The researcher gains an extra</w:t>
      </w:r>
      <w:r>
        <w:t xml:space="preserve"> </w:t>
      </w:r>
      <w:r>
        <w:t xml:space="preserve">layer of institutional support in the (hopefully rare) case that a</w:t>
      </w:r>
      <w:r>
        <w:t xml:space="preserve"> </w:t>
      </w:r>
      <w:r>
        <w:t xml:space="preserve">publisher raises a concern with rights retention language in the</w:t>
      </w:r>
      <w:r>
        <w:t xml:space="preserve"> </w:t>
      </w:r>
      <w:r>
        <w:t xml:space="preserve">manuscript. A list of current institutional policies is available at:</w:t>
      </w:r>
      <w:r>
        <w:t xml:space="preserve"> </w:t>
      </w:r>
      <w:hyperlink r:id="rId29">
        <w:r>
          <w:rPr>
            <w:rStyle w:val="Hyperlink"/>
          </w:rPr>
          <w:t xml:space="preserve">https://github.com/sje30/rrs/blob/main/ukinstitutions.csv</w:t>
        </w:r>
      </w:hyperlink>
      <w:r>
        <w:t xml:space="preserve"> </w:t>
      </w:r>
      <w:r>
        <w:t xml:space="preserve">; this</w:t>
      </w:r>
      <w:r>
        <w:t xml:space="preserve"> </w:t>
      </w:r>
      <w:r>
        <w:t xml:space="preserve">list is expected to grow considerably during 2023 and 2024. However,</w:t>
      </w:r>
      <w:r>
        <w:t xml:space="preserve"> </w:t>
      </w:r>
      <w:r>
        <w:t xml:space="preserve">even with an institutional policy supporting the researcher, it is</w:t>
      </w:r>
      <w:r>
        <w:t xml:space="preserve"> </w:t>
      </w:r>
      <w:r>
        <w:t xml:space="preserve">pragmatic to still include the rights retention statement in your manuscript.</w:t>
      </w:r>
    </w:p>
    <w:bookmarkEnd w:id="30"/>
    <w:bookmarkEnd w:id="31"/>
    <w:bookmarkStart w:id="41" w:name="references"/>
    <w:p>
      <w:pPr>
        <w:pStyle w:val="Heading1"/>
      </w:pPr>
      <w:r>
        <w:t xml:space="preserve">References</w:t>
      </w:r>
    </w:p>
    <w:bookmarkStart w:id="40" w:name="refs"/>
    <w:bookmarkStart w:id="33" w:name="ref-Kamerlin2020-lq"/>
    <w:p>
      <w:pPr>
        <w:pStyle w:val="Bibliography"/>
      </w:pPr>
      <w:r>
        <w:t xml:space="preserve">Kamerlin, Shina Caroline Lynn. 2020.</w:t>
      </w:r>
      <w:r>
        <w:t xml:space="preserve"> </w:t>
      </w:r>
      <w:r>
        <w:t xml:space="preserve">“Open Access, Plan s, and Researchers’ Needs.”</w:t>
      </w:r>
      <w:r>
        <w:t xml:space="preserve"> </w:t>
      </w:r>
      <w:r>
        <w:rPr>
          <w:iCs/>
          <w:i/>
        </w:rPr>
        <w:t xml:space="preserve">EMBO Rep.</w:t>
      </w:r>
      <w:r>
        <w:t xml:space="preserve"> </w:t>
      </w:r>
      <w:r>
        <w:t xml:space="preserve">21 (10): e51568.</w:t>
      </w:r>
      <w:r>
        <w:t xml:space="preserve"> </w:t>
      </w:r>
      <w:hyperlink r:id="rId32">
        <w:r>
          <w:rPr>
            <w:rStyle w:val="Hyperlink"/>
          </w:rPr>
          <w:t xml:space="preserve">https://doi.org/10.15252/embr.202051568</w:t>
        </w:r>
      </w:hyperlink>
      <w:r>
        <w:t xml:space="preserve">.</w:t>
      </w:r>
    </w:p>
    <w:bookmarkEnd w:id="33"/>
    <w:bookmarkStart w:id="35" w:name="ref-Khoo2021-tl"/>
    <w:p>
      <w:pPr>
        <w:pStyle w:val="Bibliography"/>
      </w:pPr>
      <w:r>
        <w:t xml:space="preserve">Khoo, Shaun Yon-Seng. 2021.</w:t>
      </w:r>
      <w:r>
        <w:t xml:space="preserve"> </w:t>
      </w:r>
      <w:r>
        <w:t xml:space="preserve">“The Plan</w:t>
      </w:r>
      <w:r>
        <w:t xml:space="preserve"> </w:t>
      </w:r>
      <w:r>
        <w:t xml:space="preserve">S</w:t>
      </w:r>
      <w:r>
        <w:t xml:space="preserve"> </w:t>
      </w:r>
      <w:r>
        <w:t xml:space="preserve">Rights Retention Strategy Is an Administrative and Legal Burden, Not a Sustainable Open Access Solution.”</w:t>
      </w:r>
      <w:r>
        <w:t xml:space="preserve"> </w:t>
      </w:r>
      <w:r>
        <w:rPr>
          <w:iCs/>
          <w:i/>
        </w:rPr>
        <w:t xml:space="preserve">Insights Imaging</w:t>
      </w:r>
      <w:r>
        <w:t xml:space="preserve"> </w:t>
      </w:r>
      <w:r>
        <w:t xml:space="preserve">34 (October).</w:t>
      </w:r>
      <w:r>
        <w:t xml:space="preserve"> </w:t>
      </w:r>
      <w:hyperlink r:id="rId34">
        <w:r>
          <w:rPr>
            <w:rStyle w:val="Hyperlink"/>
          </w:rPr>
          <w:t xml:space="preserve">https://doi.org/10.1629/uksg.556</w:t>
        </w:r>
      </w:hyperlink>
      <w:r>
        <w:t xml:space="preserve">.</w:t>
      </w:r>
    </w:p>
    <w:bookmarkEnd w:id="35"/>
    <w:bookmarkStart w:id="37" w:name="ref-Langham-Putrow2021-qf"/>
    <w:p>
      <w:pPr>
        <w:pStyle w:val="Bibliography"/>
      </w:pPr>
      <w:r>
        <w:t xml:space="preserve">Langham-Putrow, Allison, Caitlin Bakker, and Amy Riegelman. 2021.</w:t>
      </w:r>
      <w:r>
        <w:t xml:space="preserve"> </w:t>
      </w:r>
      <w:r>
        <w:t xml:space="preserve">“Is the Open Access Citation Advantage Real? A Systematic Review of the Citation of Open Access and Subscription-Based Articles.”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16 (6): e0253129.</w:t>
      </w:r>
      <w:r>
        <w:t xml:space="preserve"> </w:t>
      </w:r>
      <w:hyperlink r:id="rId36">
        <w:r>
          <w:rPr>
            <w:rStyle w:val="Hyperlink"/>
          </w:rPr>
          <w:t xml:space="preserve">https://doi.org/10.1371/journal.pone.0253129</w:t>
        </w:r>
      </w:hyperlink>
      <w:r>
        <w:t xml:space="preserve">.</w:t>
      </w:r>
    </w:p>
    <w:bookmarkEnd w:id="37"/>
    <w:bookmarkStart w:id="39" w:name="ref-Suber2022-dm"/>
    <w:p>
      <w:pPr>
        <w:pStyle w:val="Bibliography"/>
      </w:pPr>
      <w:r>
        <w:t xml:space="preserve">Suber, Peter. 2022.</w:t>
      </w:r>
      <w:r>
        <w:t xml:space="preserve"> </w:t>
      </w:r>
      <w:r>
        <w:t xml:space="preserve">“Publishing Without Exclusive Rights.”</w:t>
      </w:r>
      <w:r>
        <w:t xml:space="preserve"> </w:t>
      </w:r>
      <w:r>
        <w:rPr>
          <w:iCs/>
          <w:i/>
        </w:rPr>
        <w:t xml:space="preserve">J. Electron. Publ.</w:t>
      </w:r>
      <w:r>
        <w:t xml:space="preserve"> </w:t>
      </w:r>
      <w:r>
        <w:t xml:space="preserve">25 (1).</w:t>
      </w:r>
      <w:r>
        <w:t xml:space="preserve"> </w:t>
      </w:r>
      <w:hyperlink r:id="rId38">
        <w:r>
          <w:rPr>
            <w:rStyle w:val="Hyperlink"/>
          </w:rPr>
          <w:t xml:space="preserve">https://doi.org/10.3998/jep.1869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doi.org/10.1371/journal.pone.0253129" TargetMode="External" /><Relationship Type="http://schemas.openxmlformats.org/officeDocument/2006/relationships/hyperlink" Id="rId32" Target="https://doi.org/10.15252/embr.202051568" TargetMode="External" /><Relationship Type="http://schemas.openxmlformats.org/officeDocument/2006/relationships/hyperlink" Id="rId34" Target="https://doi.org/10.1629/uksg.556" TargetMode="External" /><Relationship Type="http://schemas.openxmlformats.org/officeDocument/2006/relationships/hyperlink" Id="rId38" Target="https://doi.org/10.3998/jep.1869" TargetMode="External" /><Relationship Type="http://schemas.openxmlformats.org/officeDocument/2006/relationships/hyperlink" Id="rId25" Target="https://github.com/rossmounce/rrs-language-including-outputs" TargetMode="External" /><Relationship Type="http://schemas.openxmlformats.org/officeDocument/2006/relationships/hyperlink" Id="rId29" Target="https://github.com/sje30/rrs/blob/main/ukinstitutions.csv" TargetMode="External" /><Relationship Type="http://schemas.openxmlformats.org/officeDocument/2006/relationships/hyperlink" Id="rId24" Target="https://ioppublishing.org/signatories_publish_statement_on_rights_retention_strategy/" TargetMode="External" /><Relationship Type="http://schemas.openxmlformats.org/officeDocument/2006/relationships/hyperlink" Id="rId27" Target="https://journalcheckertool.org/" TargetMode="External" /><Relationship Type="http://schemas.openxmlformats.org/officeDocument/2006/relationships/hyperlink" Id="rId20" Target="https://osc.hul.harvard.edu/policies/" TargetMode="External" /><Relationship Type="http://schemas.openxmlformats.org/officeDocument/2006/relationships/hyperlink" Id="rId21" Target="https://ukscl.ac.uk/" TargetMode="External" /><Relationship Type="http://schemas.openxmlformats.org/officeDocument/2006/relationships/hyperlink" Id="rId26" Target="https://www.springernature.com/gp/advancing-discovery/blog/blogposts/continuing-the-open-access-transition/190454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371/journal.pone.0253129" TargetMode="External" /><Relationship Type="http://schemas.openxmlformats.org/officeDocument/2006/relationships/hyperlink" Id="rId32" Target="https://doi.org/10.15252/embr.202051568" TargetMode="External" /><Relationship Type="http://schemas.openxmlformats.org/officeDocument/2006/relationships/hyperlink" Id="rId34" Target="https://doi.org/10.1629/uksg.556" TargetMode="External" /><Relationship Type="http://schemas.openxmlformats.org/officeDocument/2006/relationships/hyperlink" Id="rId38" Target="https://doi.org/10.3998/jep.1869" TargetMode="External" /><Relationship Type="http://schemas.openxmlformats.org/officeDocument/2006/relationships/hyperlink" Id="rId25" Target="https://github.com/rossmounce/rrs-language-including-outputs" TargetMode="External" /><Relationship Type="http://schemas.openxmlformats.org/officeDocument/2006/relationships/hyperlink" Id="rId29" Target="https://github.com/sje30/rrs/blob/main/ukinstitutions.csv" TargetMode="External" /><Relationship Type="http://schemas.openxmlformats.org/officeDocument/2006/relationships/hyperlink" Id="rId24" Target="https://ioppublishing.org/signatories_publish_statement_on_rights_retention_strategy/" TargetMode="External" /><Relationship Type="http://schemas.openxmlformats.org/officeDocument/2006/relationships/hyperlink" Id="rId27" Target="https://journalcheckertool.org/" TargetMode="External" /><Relationship Type="http://schemas.openxmlformats.org/officeDocument/2006/relationships/hyperlink" Id="rId20" Target="https://osc.hul.harvard.edu/policies/" TargetMode="External" /><Relationship Type="http://schemas.openxmlformats.org/officeDocument/2006/relationships/hyperlink" Id="rId21" Target="https://ukscl.ac.uk/" TargetMode="External" /><Relationship Type="http://schemas.openxmlformats.org/officeDocument/2006/relationships/hyperlink" Id="rId26" Target="https://www.springernature.com/gp/advancing-discovery/blog/blogposts/continuing-the-open-access-transition/190454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primer on the rights retention strategy (version 0.2)</dc:title>
  <dc:creator>Stephen J Eglen</dc:creator>
  <cp:keywords/>
  <dcterms:created xsi:type="dcterms:W3CDTF">2023-01-05T09:50:54Z</dcterms:created>
  <dcterms:modified xsi:type="dcterms:W3CDTF">2023-01-05T09:50:54Z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ukrn.bib</vt:lpwstr>
  </property>
  <property fmtid="{D5CDD505-2E9C-101B-9397-08002B2CF9AE}" pid="5" name="by-author">
    <vt:lpwstr/>
  </property>
  <property fmtid="{D5CDD505-2E9C-101B-9397-08002B2CF9AE}" pid="6" name="date">
    <vt:lpwstr>2023-01-05</vt:lpwstr>
  </property>
  <property fmtid="{D5CDD505-2E9C-101B-9397-08002B2CF9AE}" pid="7" name="date-format">
    <vt:lpwstr>iso</vt:lpwstr>
  </property>
  <property fmtid="{D5CDD505-2E9C-101B-9397-08002B2CF9AE}" pid="8" name="geometry">
    <vt:lpwstr>margin=25mm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