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Employer's Requirements – Rehabilitation Bedroom (Generic)</w:t>
      </w:r>
    </w:p>
    <w:p>
      <w:pPr/>
      <w:r>
        <w:t xml:space="preserve">Oct 1, 2026</w:t>
      </w:r>
    </w:p>
    <w:p>
      <w:pPr>
        <w:pStyle w:val="Heading2"/>
      </w:pPr>
      <w:r>
        <w:t xml:space="preserve">1. Introduction and project overview</w:t>
      </w:r>
    </w:p>
    <w:p>
      <w:pPr/>
      <w:r>
        <w:t xml:space="preserve">This document sets out the Employer's minimum requirements for one rehabilitation bedroom (with en-suite) to be created or refurbished within an existing building. Items in [square brackets] must be completed or confirmed for each project.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Detail</w:t>
            </w:r>
          </w:p>
        </w:tc>
      </w:tr>
      <w:tr>
        <w:tc>
          <w:tcPr>
            <w:tcW w:w="4680" w:type="dxa"/>
          </w:tcPr>
          <w:p>
            <w:pPr/>
            <w:r>
              <w:t xml:space="preserve">Project</w:t>
            </w:r>
          </w:p>
        </w:tc>
        <w:tc>
          <w:tcPr>
            <w:tcW w:w="4680" w:type="dxa"/>
          </w:tcPr>
          <w:p>
            <w:pPr/>
            <w:r>
              <w:t xml:space="preserve">[Property name and address, South London]</w:t>
            </w:r>
          </w:p>
        </w:tc>
      </w:tr>
      <w:tr>
        <w:tc>
          <w:tcPr>
            <w:tcW w:w="4680" w:type="dxa"/>
          </w:tcPr>
          <w:p>
            <w:pPr/>
            <w:r>
              <w:t xml:space="preserve">Employer / operator</w:t>
            </w:r>
          </w:p>
        </w:tc>
        <w:tc>
          <w:tcPr>
            <w:tcW w:w="4680" w:type="dxa"/>
          </w:tcPr>
          <w:p>
            <w:pPr/>
            <w:r>
              <w:t xml:space="preserve">[Care provider name]</w:t>
            </w:r>
          </w:p>
        </w:tc>
      </w:tr>
      <w:tr>
        <w:tc>
          <w:tcPr>
            <w:tcW w:w="4680" w:type="dxa"/>
          </w:tcPr>
          <w:p>
            <w:pPr/>
            <w:r>
              <w:t xml:space="preserve">Client representative</w:t>
            </w:r>
          </w:p>
        </w:tc>
        <w:tc>
          <w:tcPr>
            <w:tcW w:w="4680" w:type="dxa"/>
          </w:tcPr>
          <w:p>
            <w:pPr/>
            <w:r>
              <w:t xml:space="preserve">[Name, role]</w:t>
            </w:r>
          </w:p>
        </w:tc>
      </w:tr>
      <w:tr>
        <w:tc>
          <w:tcPr>
            <w:tcW w:w="4680" w:type="dxa"/>
          </w:tcPr>
          <w:p>
            <w:pPr/>
            <w:r>
              <w:t xml:space="preserve">Intended service user group</w:t>
            </w:r>
          </w:p>
        </w:tc>
        <w:tc>
          <w:tcPr>
            <w:tcW w:w="4680" w:type="dxa"/>
          </w:tcPr>
          <w:p>
            <w:pPr/>
            <w:r>
              <w:t xml:space="preserve">[e.g. adult neuro-rehabilitation / mental health rehabilitation / step-down and reablement]</w:t>
            </w:r>
          </w:p>
        </w:tc>
      </w:tr>
      <w:tr>
        <w:tc>
          <w:tcPr>
            <w:tcW w:w="4680" w:type="dxa"/>
          </w:tcPr>
          <w:p>
            <w:pPr/>
            <w:r>
              <w:t xml:space="preserve">Registration</w:t>
            </w:r>
          </w:p>
        </w:tc>
        <w:tc>
          <w:tcPr>
            <w:tcW w:w="4680" w:type="dxa"/>
          </w:tcPr>
          <w:p>
            <w:pPr/>
            <w:r>
              <w:t xml:space="preserve">[CQC-registered service type; Local Authority and NHS commissioners]</w:t>
            </w:r>
          </w:p>
        </w:tc>
      </w:tr>
      <w:tr>
        <w:tc>
          <w:tcPr>
            <w:tcW w:w="4680" w:type="dxa"/>
          </w:tcPr>
          <w:p>
            <w:pPr/>
            <w:r>
              <w:t xml:space="preserve">Scope</w:t>
            </w:r>
          </w:p>
        </w:tc>
        <w:tc>
          <w:tcPr>
            <w:tcW w:w="4680" w:type="dxa"/>
          </w:tcPr>
          <w:p>
            <w:pPr/>
            <w:r>
              <w:t xml:space="preserve">Formation of a new rehabilitation bedroom and en-suite, including associated enabling, M&amp;E, fire, finishes, FF&amp;E and builders' work</w:t>
            </w:r>
          </w:p>
        </w:tc>
      </w:tr>
      <w:tr>
        <w:tc>
          <w:tcPr>
            <w:tcW w:w="4680" w:type="dxa"/>
          </w:tcPr>
          <w:p>
            <w:pPr/>
            <w:r>
              <w:t xml:space="preserve">Number of rooms</w:t>
            </w:r>
          </w:p>
        </w:tc>
        <w:tc>
          <w:tcPr>
            <w:tcW w:w="4680" w:type="dxa"/>
          </w:tcPr>
          <w:p>
            <w:pPr/>
            <w:r>
              <w:t xml:space="preserve">[Number] identical rooms (this ER applies per room)</w:t>
            </w:r>
          </w:p>
        </w:tc>
      </w:tr>
    </w:tbl>
    <w:p>
      <w:pPr/>
      <w:r>
        <w:rPr>
          <w:b/>
        </w:rPr>
        <w:t xml:space="preserve">Design intent.</w:t>
      </w:r>
      <w:r>
        <w:t xml:space="preserve"> The room must be a safe, homely, low-stimulus, easily cleaned and fully accessible space that supports recovery, independence and dignity, and that staff can supervise and care in without compromising privacy.</w:t>
      </w:r>
    </w:p>
    <w:p>
      <w:pPr/>
      <w:r>
        <w:rPr>
          <w:b/>
        </w:rPr>
        <w:t xml:space="preserve">Precedence.</w:t>
      </w:r>
      <w:r>
        <w:t xml:space="preserve"> Where this document, referenced standards and statute differ, the most onerous requirement applies. The Contractor must notify the Employer of any conflict before proceeding.</w:t>
      </w:r>
    </w:p>
    <w:p>
      <w:pPr>
        <w:pStyle w:val="Heading2"/>
      </w:pPr>
      <w:r>
        <w:t xml:space="preserve">2. Standards, regulations and guidance</w:t>
      </w:r>
    </w:p>
    <w:p>
      <w:pPr/>
      <w:r>
        <w:t xml:space="preserve">The works must comply with the editions below, as per the NHS England Health Building Notes and Health Technical Memoranda listings, 2026.</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Reference (current edition)</w:t>
            </w:r>
          </w:p>
        </w:tc>
      </w:tr>
      <w:tr>
        <w:tc>
          <w:tcPr>
            <w:tcW w:w="4680" w:type="dxa"/>
          </w:tcPr>
          <w:p>
            <w:pPr/>
            <w:r>
              <w:t xml:space="preserve">Statute</w:t>
            </w:r>
          </w:p>
        </w:tc>
        <w:tc>
          <w:tcPr>
            <w:tcW w:w="4680" w:type="dxa"/>
          </w:tcPr>
          <w:p>
            <w:pPr/>
            <w:r>
              <w:t xml:space="preserve">Building Regulations 2010 (England) and Approved Documents, including B Vol 2 (2019, incorporating amendments to 2026), F, H (2015), K, L and M Vol 2 (2015, incorporating 2024 amendments). Regulatory Reform (Fire Safety) Order 2005; Health and Safety at Work etc. Act 1974; CDM Regulations 2015; Equality Act 2010</w:t>
            </w:r>
          </w:p>
        </w:tc>
      </w:tr>
      <w:tr>
        <w:tc>
          <w:tcPr>
            <w:tcW w:w="4680" w:type="dxa"/>
          </w:tcPr>
          <w:p>
            <w:pPr/>
            <w:r>
              <w:t xml:space="preserve">Care regulation</w:t>
            </w:r>
          </w:p>
        </w:tc>
        <w:tc>
          <w:tcPr>
            <w:tcW w:w="4680" w:type="dxa"/>
          </w:tcPr>
          <w:p>
            <w:pPr/>
            <w:r>
              <w:t xml:space="preserve">Health and Social Care Act 2008 (Regulated Activities) Regulations 2014, including Reg. 12 (safe care), Reg. 15 (premises and equipment) and Reg. 17 (good governance)</w:t>
            </w:r>
          </w:p>
        </w:tc>
      </w:tr>
      <w:tr>
        <w:tc>
          <w:tcPr>
            <w:tcW w:w="4680" w:type="dxa"/>
          </w:tcPr>
          <w:p>
            <w:pPr/>
            <w:r>
              <w:t xml:space="preserve">Fire</w:t>
            </w:r>
          </w:p>
        </w:tc>
        <w:tc>
          <w:tcPr>
            <w:tcW w:w="4680" w:type="dxa"/>
          </w:tcPr>
          <w:p>
            <w:pPr/>
            <w:r>
              <w:t xml:space="preserve">HTM 05-01 (2026); HTM 05-02 (2015); HTM 05-03 Part B (2024) and Part C (2007); HM Government "Fire safety risk assessment: residential care premises"; BS 5839-1; BS 5266-1; BS EN 1155</w:t>
            </w:r>
          </w:p>
        </w:tc>
      </w:tr>
      <w:tr>
        <w:tc>
          <w:tcPr>
            <w:tcW w:w="4680" w:type="dxa"/>
          </w:tcPr>
          <w:p>
            <w:pPr/>
            <w:r>
              <w:t xml:space="preserve">Health Building Notes</w:t>
            </w:r>
          </w:p>
        </w:tc>
        <w:tc>
          <w:tcPr>
            <w:tcW w:w="4680" w:type="dxa"/>
          </w:tcPr>
          <w:p>
            <w:pPr/>
            <w:r>
              <w:t xml:space="preserve">HBN 00-01 General design principles (2013, updated 2014); HBN 00-02 Sanitary spaces (2013, updated 2016); HBN 00-03 Clinical and clinical support spaces (2013); HBN 00-04 Circulation and communication spaces (updated 2013); HBN 00-09 Infection control in the built environment (2013); HBN 00-10 Parts A–D (2013); HBN 04-01 Adult in-patient facilities (current reprint, 2013); HBN 08-02 Dementia-friendly health and social care environments (2015); HBN 03-01 Adult acute mental health units (2013), if mental health use</w:t>
            </w:r>
          </w:p>
        </w:tc>
      </w:tr>
      <w:tr>
        <w:tc>
          <w:tcPr>
            <w:tcW w:w="4680" w:type="dxa"/>
          </w:tcPr>
          <w:p>
            <w:pPr/>
            <w:r>
              <w:t xml:space="preserve">Health Technical Memoranda</w:t>
            </w:r>
          </w:p>
        </w:tc>
        <w:tc>
          <w:tcPr>
            <w:tcW w:w="4680" w:type="dxa"/>
          </w:tcPr>
          <w:p>
            <w:pPr/>
            <w:r>
              <w:t xml:space="preserve">HTM 03-01 Specialised ventilation, Parts A and B (2021); HTM 04-01 Safe water in healthcare premises, Parts A–C (2016); HTM 06-01 Electrical services (2017); HTM 07-01 Waste (2022); HTM 08-01 Acoustics (2013); HTM 08-03 Bedhead services (2013); HTM 02-01 Medical gases (2026), only if specified</w:t>
            </w:r>
          </w:p>
        </w:tc>
      </w:tr>
      <w:tr>
        <w:tc>
          <w:tcPr>
            <w:tcW w:w="4680" w:type="dxa"/>
          </w:tcPr>
          <w:p>
            <w:pPr/>
            <w:r>
              <w:t xml:space="preserve">Other standards and guidance</w:t>
            </w:r>
          </w:p>
        </w:tc>
        <w:tc>
          <w:tcPr>
            <w:tcW w:w="4680" w:type="dxa"/>
          </w:tcPr>
          <w:p>
            <w:pPr/>
            <w:r>
              <w:t xml:space="preserve">BS 7671:2018+A4:2026; SLL Lighting Guide 2 (2019); BS EN 12464-1; HSE ACoP L8 and HSG274; HSE HSIS6 (hot water and surfaces); HSE GEIS2 (slips); CIBSE Guide A and TM59; BS 7176, BS 7177; BS EN 13501-1</w:t>
            </w:r>
          </w:p>
        </w:tc>
      </w:tr>
    </w:tbl>
    <w:p>
      <w:pPr/>
      <w:r>
        <w:rPr>
          <w:b/>
        </w:rPr>
        <w:t xml:space="preserve">Third-party approvals.</w:t>
      </w:r>
      <w:r>
        <w:t xml:space="preserve"> The Contractor is to obtain Building Control (Local Authority or Approved Inspector) approval, notify Fire and Rescue where required, and provide evidence to support CQC registration or variation of registration.</w:t>
      </w:r>
    </w:p>
    <w:p>
      <w:pPr>
        <w:pStyle w:val="Heading2"/>
      </w:pPr>
      <w:r>
        <w:t xml:space="preserve">3. Room size, layout and accessibility</w:t>
      </w:r>
    </w:p>
    <w:p>
      <w:pPr/>
      <w:r>
        <w:t xml:space="preserve">Each room is a single bedroom with its own en-suite, sized to HBN 04-01 (current reprint, 2013) for a wheelchair user with a carer and hoist. Where NHS guidance gives no figure, the Employer's requirement is stated as such.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Requirement</w:t>
            </w:r>
          </w:p>
        </w:tc>
        <w:tc>
          <w:tcPr>
            <w:tcW w:w="3120" w:type="dxa"/>
            <w:shd w:val="clear" w:color="auto" w:fill="F2F2F2"/>
          </w:tcPr>
          <w:p>
            <w:pPr/>
            <w:r>
              <w:t xml:space="preserve">Minimum</w:t>
            </w:r>
          </w:p>
        </w:tc>
        <w:tc>
          <w:tcPr>
            <w:tcW w:w="3120" w:type="dxa"/>
            <w:shd w:val="clear" w:color="auto" w:fill="F2F2F2"/>
          </w:tcPr>
          <w:p>
            <w:pPr/>
            <w:r>
              <w:t xml:space="preserve">Source</w:t>
            </w:r>
          </w:p>
        </w:tc>
      </w:tr>
      <w:tr>
        <w:tc>
          <w:tcPr>
            <w:tcW w:w="3120" w:type="dxa"/>
          </w:tcPr>
          <w:p>
            <w:pPr/>
            <w:r>
              <w:t xml:space="preserve">Single bedroom floor area</w:t>
            </w:r>
          </w:p>
        </w:tc>
        <w:tc>
          <w:tcPr>
            <w:tcW w:w="3120" w:type="dxa"/>
          </w:tcPr>
          <w:p>
            <w:pPr/>
            <w:r>
              <w:t xml:space="preserve">19.0 m², including 3 m² for family and clinical support</w:t>
            </w:r>
          </w:p>
        </w:tc>
        <w:tc>
          <w:tcPr>
            <w:tcW w:w="3120" w:type="dxa"/>
          </w:tcPr>
          <w:p>
            <w:pPr/>
            <w:r>
              <w:t xml:space="preserve">HBN 04-01, room B0305</w:t>
            </w:r>
          </w:p>
        </w:tc>
      </w:tr>
      <w:tr>
        <w:tc>
          <w:tcPr>
            <w:tcW w:w="3120" w:type="dxa"/>
          </w:tcPr>
          <w:p>
            <w:pPr/>
            <w:r>
              <w:t xml:space="preserve">En-suite shower room</w:t>
            </w:r>
          </w:p>
        </w:tc>
        <w:tc>
          <w:tcPr>
            <w:tcW w:w="3120" w:type="dxa"/>
          </w:tcPr>
          <w:p>
            <w:pPr/>
            <w:r>
              <w:t xml:space="preserve">4.5 m²</w:t>
            </w:r>
          </w:p>
        </w:tc>
        <w:tc>
          <w:tcPr>
            <w:tcW w:w="3120" w:type="dxa"/>
          </w:tcPr>
          <w:p>
            <w:pPr/>
            <w:r>
              <w:t xml:space="preserve">HBN 04-01, room V1645</w:t>
            </w:r>
          </w:p>
        </w:tc>
      </w:tr>
      <w:tr>
        <w:tc>
          <w:tcPr>
            <w:tcW w:w="3120" w:type="dxa"/>
          </w:tcPr>
          <w:p>
            <w:pPr/>
            <w:r>
              <w:t xml:space="preserve">Bedroom plus en-suite</w:t>
            </w:r>
          </w:p>
        </w:tc>
        <w:tc>
          <w:tcPr>
            <w:tcW w:w="3120" w:type="dxa"/>
          </w:tcPr>
          <w:p>
            <w:pPr/>
            <w:r>
              <w:t xml:space="preserve">23.5 m²</w:t>
            </w:r>
          </w:p>
        </w:tc>
        <w:tc>
          <w:tcPr>
            <w:tcW w:w="3120" w:type="dxa"/>
          </w:tcPr>
          <w:p>
            <w:pPr/>
            <w:r>
              <w:t xml:space="preserve">HBN 04-01 schedule</w:t>
            </w:r>
          </w:p>
        </w:tc>
      </w:tr>
      <w:tr>
        <w:tc>
          <w:tcPr>
            <w:tcW w:w="3120" w:type="dxa"/>
          </w:tcPr>
          <w:p>
            <w:pPr/>
            <w:r>
              <w:t xml:space="preserve">Clear bed space</w:t>
            </w:r>
          </w:p>
        </w:tc>
        <w:tc>
          <w:tcPr>
            <w:tcW w:w="3120" w:type="dxa"/>
          </w:tcPr>
          <w:p>
            <w:pPr/>
            <w:r>
              <w:t xml:space="preserve">3,600 × 3,700 mm</w:t>
            </w:r>
          </w:p>
        </w:tc>
        <w:tc>
          <w:tcPr>
            <w:tcW w:w="3120" w:type="dxa"/>
          </w:tcPr>
          <w:p>
            <w:pPr/>
            <w:r>
              <w:t xml:space="preserve">HBN 04-01 para 4.24</w:t>
            </w:r>
          </w:p>
        </w:tc>
      </w:tr>
      <w:tr>
        <w:tc>
          <w:tcPr>
            <w:tcW w:w="3120" w:type="dxa"/>
          </w:tcPr>
          <w:p>
            <w:pPr/>
            <w:r>
              <w:t xml:space="preserve">Wheelchair turning space</w:t>
            </w:r>
          </w:p>
        </w:tc>
        <w:tc>
          <w:tcPr>
            <w:tcW w:w="3120" w:type="dxa"/>
          </w:tcPr>
          <w:p>
            <w:pPr/>
            <w:r>
              <w:t xml:space="preserve">1,500 × 1,500 mm, clear of fittings</w:t>
            </w:r>
          </w:p>
        </w:tc>
        <w:tc>
          <w:tcPr>
            <w:tcW w:w="3120" w:type="dxa"/>
          </w:tcPr>
          <w:p>
            <w:pPr/>
            <w:r>
              <w:t xml:space="preserve">Approved Document M Vol 2 Diagram 18; HBN 00-02</w:t>
            </w:r>
          </w:p>
        </w:tc>
      </w:tr>
      <w:tr>
        <w:tc>
          <w:tcPr>
            <w:tcW w:w="3120" w:type="dxa"/>
          </w:tcPr>
          <w:p>
            <w:pPr/>
            <w:r>
              <w:t xml:space="preserve">Bedroom door (bed movement)</w:t>
            </w:r>
          </w:p>
        </w:tc>
        <w:tc>
          <w:tcPr>
            <w:tcW w:w="3120" w:type="dxa"/>
          </w:tcPr>
          <w:p>
            <w:pPr/>
            <w:r>
              <w:t xml:space="preserve">1,200 mm effective clear width, normally a leaf-and-a-half doorset of about 1,500 mm. Doors used only for hoist access need 1,150 mm (1,050 mm minimum)</w:t>
            </w:r>
          </w:p>
        </w:tc>
        <w:tc>
          <w:tcPr>
            <w:tcW w:w="3120" w:type="dxa"/>
          </w:tcPr>
          <w:p>
            <w:pPr/>
            <w:r>
              <w:t xml:space="preserve">HBN 00-04 paras 8.16–8.19</w:t>
            </w:r>
          </w:p>
        </w:tc>
      </w:tr>
      <w:tr>
        <w:tc>
          <w:tcPr>
            <w:tcW w:w="3120" w:type="dxa"/>
          </w:tcPr>
          <w:p>
            <w:pPr/>
            <w:r>
              <w:t xml:space="preserve">En-suite door</w:t>
            </w:r>
          </w:p>
        </w:tc>
        <w:tc>
          <w:tcPr>
            <w:tcW w:w="3120" w:type="dxa"/>
          </w:tcPr>
          <w:p>
            <w:pPr/>
            <w:r>
              <w:t xml:space="preserve">Double door: a sliding or folding leaf that can be released from its track, plus a hinged leaf; must not open onto the bed area; 800 mm minimum effective clear width</w:t>
            </w:r>
          </w:p>
        </w:tc>
        <w:tc>
          <w:tcPr>
            <w:tcW w:w="3120" w:type="dxa"/>
          </w:tcPr>
          <w:p>
            <w:pPr/>
            <w:r>
              <w:t xml:space="preserve">HBN 00-02 paras 4.40–4.43; HBN 04-01 para 5.11; Approved Document M Table 2</w:t>
            </w:r>
          </w:p>
        </w:tc>
      </w:tr>
      <w:tr>
        <w:tc>
          <w:tcPr>
            <w:tcW w:w="3120" w:type="dxa"/>
          </w:tcPr>
          <w:p>
            <w:pPr/>
            <w:r>
              <w:t xml:space="preserve">Floor-to-ceiling height</w:t>
            </w:r>
          </w:p>
        </w:tc>
        <w:tc>
          <w:tcPr>
            <w:tcW w:w="3120" w:type="dxa"/>
          </w:tcPr>
          <w:p>
            <w:pPr/>
            <w:r>
              <w:t xml:space="preserve">2.4 m minimum; 2.7 m where a ceiling track hoist is fitted, or more if the hoist manufacturer requires it</w:t>
            </w:r>
          </w:p>
        </w:tc>
        <w:tc>
          <w:tcPr>
            <w:tcW w:w="3120" w:type="dxa"/>
          </w:tcPr>
          <w:p>
            <w:pPr/>
            <w:r>
              <w:t xml:space="preserve">Employer's requirement (no NHS figure)</w:t>
            </w:r>
          </w:p>
        </w:tc>
      </w:tr>
    </w:tbl>
    <w:p>
      <w:pPr/>
      <w:r>
        <w:rPr>
          <w:b/>
        </w:rPr>
        <w:t xml:space="preserve">Layout principles</w:t>
      </w:r>
    </w:p>
    <w:p>
      <w:pPr>
        <w:pStyle w:val="ListParagraph"/>
        <w:numPr>
          <w:ilvl w:val="0"/>
          <w:numId w:val="2"/>
        </w:numPr>
      </w:pPr>
      <w:r>
        <w:t xml:space="preserve">The en-suite opens off the bedroom near the bed head, to give the shortest transfer route.</w:t>
      </w:r>
    </w:p>
    <w:p>
      <w:pPr>
        <w:pStyle w:val="ListParagraph"/>
        <w:numPr>
          <w:ilvl w:val="0"/>
          <w:numId w:val="2"/>
        </w:numPr>
      </w:pPr>
      <w:r>
        <w:t xml:space="preserve">A vision panel in the door, or another agreed way to observe discreetly, with a privacy setting the service user controls.</w:t>
      </w:r>
    </w:p>
    <w:p>
      <w:pPr>
        <w:pStyle w:val="ListParagraph"/>
        <w:numPr>
          <w:ilvl w:val="0"/>
          <w:numId w:val="2"/>
        </w:numPr>
      </w:pPr>
      <w:r>
        <w:t xml:space="preserve">Space for a chair, wardrobe, desk and personal storage that keeps clear of the bed space and turning space.</w:t>
      </w:r>
    </w:p>
    <w:p>
      <w:pPr>
        <w:pStyle w:val="ListParagraph"/>
        <w:numPr>
          <w:ilvl w:val="0"/>
          <w:numId w:val="2"/>
        </w:numPr>
      </w:pPr>
      <w:r>
        <w:t xml:space="preserve">An overhead ceiling track hoist from bed to en-suite, provided and installed with the works [or structure designed for future fitting]. Hoist provision is planned to HBN 04-01 paras 4.56–4.59. Safe working load to suit the service user group (Employer's requirement: 200 kg minimum).</w:t>
      </w:r>
    </w:p>
    <w:p>
      <w:pPr>
        <w:pStyle w:val="ListParagraph"/>
        <w:numPr>
          <w:ilvl w:val="0"/>
          <w:numId w:val="2"/>
        </w:numPr>
      </w:pPr>
      <w:r>
        <w:t xml:space="preserve">Step-free access from the room to the corridor, with no change of level inside the room.</w:t>
      </w:r>
    </w:p>
    <w:p>
      <w:pPr>
        <w:pStyle w:val="ListParagraph"/>
        <w:numPr>
          <w:ilvl w:val="0"/>
          <w:numId w:val="2"/>
        </w:numPr>
      </w:pPr>
      <w:r>
        <w:t xml:space="preserve">A view out from the bed. Window controls between 800 and 1,000 mm above floor level (Approved Document M para 4.24), and low cills to give a seated view (HBN 08-02).</w:t>
      </w:r>
    </w:p>
    <w:p>
      <w:pPr>
        <w:pStyle w:val="Heading2"/>
      </w:pPr>
      <w:r>
        <w:t xml:space="preserve">4. Architectural finishes, doors, windows and furniture</w:t>
      </w:r>
    </w:p>
    <w:p>
      <w:pPr/>
      <w:r>
        <w:t xml:space="preserve">Finishes must be durable, cleanable to HBN 00-09 and HBN 00-10 (2013), and homely rather than institutional. Adjacent critical surfaces (wall and floor, door and wall, sanitaryware and background, handrail and wall) must differ by more than 30 points of light reflectance value (HBN 08-02 (2015); Approved Document 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Element</w:t>
            </w:r>
          </w:p>
        </w:tc>
        <w:tc>
          <w:tcPr>
            <w:tcW w:w="3120" w:type="dxa"/>
            <w:shd w:val="clear" w:color="auto" w:fill="F2F2F2"/>
          </w:tcPr>
          <w:p>
            <w:pPr/>
            <w:r>
              <w:t xml:space="preserve">Requirement</w:t>
            </w:r>
          </w:p>
        </w:tc>
        <w:tc>
          <w:tcPr>
            <w:tcW w:w="3120" w:type="dxa"/>
            <w:shd w:val="clear" w:color="auto" w:fill="F2F2F2"/>
          </w:tcPr>
          <w:p>
            <w:pPr/>
            <w:r>
              <w:t xml:space="preserve">Source</w:t>
            </w:r>
          </w:p>
        </w:tc>
      </w:tr>
      <w:tr>
        <w:tc>
          <w:tcPr>
            <w:tcW w:w="3120" w:type="dxa"/>
          </w:tcPr>
          <w:p>
            <w:pPr/>
            <w:r>
              <w:t xml:space="preserve">Floor</w:t>
            </w:r>
          </w:p>
        </w:tc>
        <w:tc>
          <w:tcPr>
            <w:tcW w:w="3120" w:type="dxa"/>
          </w:tcPr>
          <w:p>
            <w:pPr/>
            <w:r>
              <w:t xml:space="preserve">Seamless sheet vinyl with welded joints, matt, wood or plain effect without high-contrast patterns. Coved skirting at least 100 mm high. Slip resistance PTV 36 or more (low slip potential) in wet and dry conditions</w:t>
            </w:r>
          </w:p>
        </w:tc>
        <w:tc>
          <w:tcPr>
            <w:tcW w:w="3120" w:type="dxa"/>
          </w:tcPr>
          <w:p>
            <w:pPr/>
            <w:r>
              <w:t xml:space="preserve">HBN 00-10 Part A para 2.9; HSE GEIS2 Table 1</w:t>
            </w:r>
          </w:p>
        </w:tc>
      </w:tr>
      <w:tr>
        <w:tc>
          <w:tcPr>
            <w:tcW w:w="3120" w:type="dxa"/>
          </w:tcPr>
          <w:p>
            <w:pPr/>
            <w:r>
              <w:t xml:space="preserve">Walls</w:t>
            </w:r>
          </w:p>
        </w:tc>
        <w:tc>
          <w:tcPr>
            <w:tcW w:w="3120" w:type="dxa"/>
          </w:tcPr>
          <w:p>
            <w:pPr/>
            <w:r>
              <w:t xml:space="preserve">Smooth, impervious, washable finish. Wall and corner protection sited to suit the beds, hoists and wheelchairs used (Employer's requirement: protection up to 1.2 m in the bed-head zone and along the route to the en-suite)</w:t>
            </w:r>
          </w:p>
        </w:tc>
        <w:tc>
          <w:tcPr>
            <w:tcW w:w="3120" w:type="dxa"/>
          </w:tcPr>
          <w:p>
            <w:pPr/>
            <w:r>
              <w:t xml:space="preserve">HBN 00-10 Part B paras 2.21–2.31</w:t>
            </w:r>
          </w:p>
        </w:tc>
      </w:tr>
      <w:tr>
        <w:tc>
          <w:tcPr>
            <w:tcW w:w="3120" w:type="dxa"/>
          </w:tcPr>
          <w:p>
            <w:pPr/>
            <w:r>
              <w:t xml:space="preserve">Ceiling</w:t>
            </w:r>
          </w:p>
        </w:tc>
        <w:tc>
          <w:tcPr>
            <w:tcW w:w="3120" w:type="dxa"/>
          </w:tcPr>
          <w:p>
            <w:pPr/>
            <w:r>
              <w:t xml:space="preserve">Smooth, sealed, wipeable; acoustic absorption per section 9; flush, lockable access hatches</w:t>
            </w:r>
          </w:p>
        </w:tc>
        <w:tc>
          <w:tcPr>
            <w:tcW w:w="3120" w:type="dxa"/>
          </w:tcPr>
          <w:p>
            <w:pPr/>
            <w:r>
              <w:t xml:space="preserve">HBN 00-10 Part B; HTM 08-01</w:t>
            </w:r>
          </w:p>
        </w:tc>
      </w:tr>
      <w:tr>
        <w:tc>
          <w:tcPr>
            <w:tcW w:w="3120" w:type="dxa"/>
          </w:tcPr>
          <w:p>
            <w:pPr/>
            <w:r>
              <w:t xml:space="preserve">Bedroom door</w:t>
            </w:r>
          </w:p>
        </w:tc>
        <w:tc>
          <w:tcPr>
            <w:tcW w:w="3120" w:type="dxa"/>
          </w:tcPr>
          <w:p>
            <w:pPr/>
            <w:r>
              <w:t xml:space="preserve">FD30S fire doorset to section 6, sized to section 3. Low-profile lever handles, anti-finger-trap protection; ligature-resistant fittings where the risk assessment requires</w:t>
            </w:r>
          </w:p>
        </w:tc>
        <w:tc>
          <w:tcPr>
            <w:tcW w:w="3120" w:type="dxa"/>
          </w:tcPr>
          <w:p>
            <w:pPr/>
            <w:r>
              <w:t xml:space="preserve">HBN 00-04; HTM 05-02</w:t>
            </w:r>
          </w:p>
        </w:tc>
      </w:tr>
      <w:tr>
        <w:tc>
          <w:tcPr>
            <w:tcW w:w="3120" w:type="dxa"/>
          </w:tcPr>
          <w:p>
            <w:pPr/>
            <w:r>
              <w:t xml:space="preserve">Door locks</w:t>
            </w:r>
          </w:p>
        </w:tc>
        <w:tc>
          <w:tcPr>
            <w:tcW w:w="3120" w:type="dxa"/>
          </w:tcPr>
          <w:p>
            <w:pPr/>
            <w:r>
              <w:t xml:space="preserve">Lock the occupant controls from inside, with staff override from outside; emergency release on the en-suite door</w:t>
            </w:r>
          </w:p>
        </w:tc>
        <w:tc>
          <w:tcPr>
            <w:tcW w:w="3120" w:type="dxa"/>
          </w:tcPr>
          <w:p>
            <w:pPr/>
            <w:r>
              <w:t xml:space="preserve">HBN 00-02</w:t>
            </w:r>
          </w:p>
        </w:tc>
      </w:tr>
      <w:tr>
        <w:tc>
          <w:tcPr>
            <w:tcW w:w="3120" w:type="dxa"/>
          </w:tcPr>
          <w:p>
            <w:pPr/>
            <w:r>
              <w:t xml:space="preserve">Windows</w:t>
            </w:r>
          </w:p>
        </w:tc>
        <w:tc>
          <w:tcPr>
            <w:tcW w:w="3120" w:type="dxa"/>
          </w:tcPr>
          <w:p>
            <w:pPr/>
            <w:r>
              <w:t xml:space="preserve">Opening restricted to 100 mm or less with robust, tamper-proof restrictors. Safety glazing. Integral blinds or tamper-resistant tracks</w:t>
            </w:r>
          </w:p>
        </w:tc>
        <w:tc>
          <w:tcPr>
            <w:tcW w:w="3120" w:type="dxa"/>
          </w:tcPr>
          <w:p>
            <w:pPr/>
            <w:r>
              <w:t xml:space="preserve">HBN 00-10 Part D; Approved Document K</w:t>
            </w:r>
          </w:p>
        </w:tc>
      </w:tr>
      <w:tr>
        <w:tc>
          <w:tcPr>
            <w:tcW w:w="3120" w:type="dxa"/>
          </w:tcPr>
          <w:p>
            <w:pPr/>
            <w:r>
              <w:t xml:space="preserve">Handrails</w:t>
            </w:r>
          </w:p>
        </w:tc>
        <w:tc>
          <w:tcPr>
            <w:tcW w:w="3120" w:type="dxa"/>
          </w:tcPr>
          <w:p>
            <w:pPr/>
            <w:r>
              <w:t xml:space="preserve">900–1,000 mm high, continuous, contrasting with the wall</w:t>
            </w:r>
          </w:p>
        </w:tc>
        <w:tc>
          <w:tcPr>
            <w:tcW w:w="3120" w:type="dxa"/>
          </w:tcPr>
          <w:p>
            <w:pPr/>
            <w:r>
              <w:t xml:space="preserve">HBN 00-04 para 7.10</w:t>
            </w:r>
          </w:p>
        </w:tc>
      </w:tr>
      <w:tr>
        <w:tc>
          <w:tcPr>
            <w:tcW w:w="3120" w:type="dxa"/>
          </w:tcPr>
          <w:p>
            <w:pPr/>
            <w:r>
              <w:t xml:space="preserve">Grab rails and fixings</w:t>
            </w:r>
          </w:p>
        </w:tc>
        <w:tc>
          <w:tcPr>
            <w:tcW w:w="3120" w:type="dxa"/>
          </w:tcPr>
          <w:p>
            <w:pPr/>
            <w:r>
              <w:t xml:space="preserve">Fixings and backing to withstand at least 132 kg vertical and 233 N horizontal loads</w:t>
            </w:r>
          </w:p>
        </w:tc>
        <w:tc>
          <w:tcPr>
            <w:tcW w:w="3120" w:type="dxa"/>
          </w:tcPr>
          <w:p>
            <w:pPr/>
            <w:r>
              <w:t xml:space="preserve">HBN 00-02 para 1.13; HBN 00-04 para 7.13</w:t>
            </w:r>
          </w:p>
        </w:tc>
      </w:tr>
      <w:tr>
        <w:tc>
          <w:tcPr>
            <w:tcW w:w="3120" w:type="dxa"/>
          </w:tcPr>
          <w:p>
            <w:pPr/>
            <w:r>
              <w:t xml:space="preserve">Bed</w:t>
            </w:r>
          </w:p>
        </w:tc>
        <w:tc>
          <w:tcPr>
            <w:tcW w:w="3120" w:type="dxa"/>
          </w:tcPr>
          <w:p>
            <w:pPr/>
            <w:r>
              <w:t xml:space="preserve">Height-adjustable electric profiling bed [supplied by the Employer]; side rails by risk assessment</w:t>
            </w:r>
          </w:p>
        </w:tc>
        <w:tc>
          <w:tcPr>
            <w:tcW w:w="3120" w:type="dxa"/>
          </w:tcPr>
          <w:p>
            <w:pPr/>
            <w:r>
              <w:t xml:space="preserve">HBN 04-01</w:t>
            </w:r>
          </w:p>
        </w:tc>
      </w:tr>
      <w:tr>
        <w:tc>
          <w:tcPr>
            <w:tcW w:w="3120" w:type="dxa"/>
          </w:tcPr>
          <w:p>
            <w:pPr/>
            <w:r>
              <w:t xml:space="preserve">Furniture</w:t>
            </w:r>
          </w:p>
        </w:tc>
        <w:tc>
          <w:tcPr>
            <w:tcW w:w="3120" w:type="dxa"/>
          </w:tcPr>
          <w:p>
            <w:pPr/>
            <w:r>
              <w:t xml:space="preserve">Rounded corners, stable or fixed; wardrobe, chest of drawers, bedside cabinet, lockable storage, desk and chair. Fire performance to section 6</w:t>
            </w:r>
          </w:p>
        </w:tc>
        <w:tc>
          <w:tcPr>
            <w:tcW w:w="3120" w:type="dxa"/>
          </w:tcPr>
          <w:p>
            <w:pPr/>
            <w:r>
              <w:t xml:space="preserve">HTM 05-03 Part C</w:t>
            </w:r>
          </w:p>
        </w:tc>
      </w:tr>
      <w:tr>
        <w:tc>
          <w:tcPr>
            <w:tcW w:w="3120" w:type="dxa"/>
          </w:tcPr>
          <w:p>
            <w:pPr/>
            <w:r>
              <w:t xml:space="preserve">Personalisation</w:t>
            </w:r>
          </w:p>
        </w:tc>
        <w:tc>
          <w:tcPr>
            <w:tcW w:w="3120" w:type="dxa"/>
          </w:tcPr>
          <w:p>
            <w:pPr/>
            <w:r>
              <w:t xml:space="preserve">Picture rail or display board, so residents can personalise the room without damaging finishes</w:t>
            </w:r>
          </w:p>
        </w:tc>
        <w:tc>
          <w:tcPr>
            <w:tcW w:w="3120" w:type="dxa"/>
          </w:tcPr>
          <w:p>
            <w:pPr/>
            <w:r>
              <w:t xml:space="preserve">HBN 08-02</w:t>
            </w:r>
          </w:p>
        </w:tc>
      </w:tr>
    </w:tbl>
    <w:p>
      <w:pPr>
        <w:pStyle w:val="Heading2"/>
      </w:pPr>
      <w:r>
        <w:t xml:space="preserve">5. En-suite wet room and sanitary facilities</w:t>
      </w:r>
    </w:p>
    <w:p>
      <w:pPr/>
      <w:r>
        <w:t xml:space="preserve">The en-suite is a 4.5 m² level-access wet room for assisted and independent use, designed to HBN 00-02 Sanitary spaces (2013, updated 2016), with sanitary assemblies to HBN 00-10 Part C (2013).</w:t>
      </w:r>
    </w:p>
    <w:p>
      <w:pPr>
        <w:pStyle w:val="ListParagraph"/>
        <w:numPr>
          <w:ilvl w:val="0"/>
          <w:numId w:val="3"/>
        </w:numPr>
      </w:pPr>
      <w:r>
        <w:rPr>
          <w:b/>
        </w:rPr>
        <w:t xml:space="preserve">Shower:</w:t>
      </w:r>
      <w:r>
        <w:t xml:space="preserve"> level access with no tray or upstand; the floor falls to a gully, since HBN 00-02 para 4.50 treats en-suite shower rooms as wet rooms. Thermostatic shower with a TMV3 valve, outlet limited to 41 °C (HTM 04-01 Part A Table 2). Fold-down seat and grab rails; curtain or screen for dignity.</w:t>
      </w:r>
    </w:p>
    <w:p>
      <w:pPr>
        <w:pStyle w:val="ListParagraph"/>
        <w:numPr>
          <w:ilvl w:val="0"/>
          <w:numId w:val="3"/>
        </w:numPr>
      </w:pPr>
      <w:r>
        <w:rPr>
          <w:b/>
        </w:rPr>
        <w:t xml:space="preserve">WC:</w:t>
      </w:r>
      <w:r>
        <w:t xml:space="preserve"> HBN 00-02 layout, with symmetrical drop-down and grab rails 320 mm either side of the WC centre line (paras 2.47–2.50). Allow 1,150 mm from the WC centre line to the nearest obstruction on the transfer side, for mobile hoist transfer (para 4.45). Lever or sensor flush.</w:t>
      </w:r>
    </w:p>
    <w:p>
      <w:pPr>
        <w:pStyle w:val="ListParagraph"/>
        <w:numPr>
          <w:ilvl w:val="0"/>
          <w:numId w:val="3"/>
        </w:numPr>
      </w:pPr>
      <w:r>
        <w:rPr>
          <w:b/>
        </w:rPr>
        <w:t xml:space="preserve">Basin:</w:t>
      </w:r>
      <w:r>
        <w:t xml:space="preserve"> a general wash basin for personal hygiene, separate from the clinical wash-hand basin in the bedroom (HBN 04-01 paras 4.33 and 5.6). Usable seated, lever or sensor taps, TMV3 valve set by the Water Safety Group's scald risk assessment, no overflow or plug.</w:t>
      </w:r>
    </w:p>
    <w:p>
      <w:pPr>
        <w:pStyle w:val="ListParagraph"/>
        <w:numPr>
          <w:ilvl w:val="0"/>
          <w:numId w:val="3"/>
        </w:numPr>
      </w:pPr>
      <w:r>
        <w:rPr>
          <w:b/>
        </w:rPr>
        <w:t xml:space="preserve">Rails and fixings:</w:t>
      </w:r>
      <w:r>
        <w:t xml:space="preserve"> all rail and hoist fixings into backing that withstands at least 132 kg vertical and 233 N horizontal loads (HBN 00-02 para 1.13).</w:t>
      </w:r>
    </w:p>
    <w:p>
      <w:pPr>
        <w:pStyle w:val="ListParagraph"/>
        <w:numPr>
          <w:ilvl w:val="0"/>
          <w:numId w:val="3"/>
        </w:numPr>
      </w:pPr>
      <w:r>
        <w:rPr>
          <w:b/>
        </w:rPr>
        <w:t xml:space="preserve">Finishes:</w:t>
      </w:r>
      <w:r>
        <w:t xml:space="preserve"> slip-resistant, impervious, coved and welded sheet vinyl, sealed to the gully; impervious walls full height in the shower area.</w:t>
      </w:r>
    </w:p>
    <w:p>
      <w:pPr>
        <w:pStyle w:val="ListParagraph"/>
        <w:numPr>
          <w:ilvl w:val="0"/>
          <w:numId w:val="3"/>
        </w:numPr>
      </w:pPr>
      <w:r>
        <w:rPr>
          <w:b/>
        </w:rPr>
        <w:t xml:space="preserve">Mirror and accessories:</w:t>
      </w:r>
      <w:r>
        <w:t xml:space="preserve"> safety mirror usable seated and standing; wall-mounted soap and paper dispensers; ligature-resistant hooks where the risk assessment requires.</w:t>
      </w:r>
    </w:p>
    <w:p>
      <w:pPr>
        <w:pStyle w:val="ListParagraph"/>
        <w:numPr>
          <w:ilvl w:val="0"/>
          <w:numId w:val="3"/>
        </w:numPr>
      </w:pPr>
      <w:r>
        <w:rPr>
          <w:b/>
        </w:rPr>
        <w:t xml:space="preserve">Emergency call:</w:t>
      </w:r>
      <w:r>
        <w:t xml:space="preserve"> nurse-call pull cord reachable from the floor, plus call points at the shower and WC (HTM 08-03 Chapter 10).</w:t>
      </w:r>
    </w:p>
    <w:p>
      <w:pPr>
        <w:pStyle w:val="ListParagraph"/>
        <w:numPr>
          <w:ilvl w:val="0"/>
          <w:numId w:val="3"/>
        </w:numPr>
      </w:pPr>
      <w:r>
        <w:rPr>
          <w:b/>
        </w:rPr>
        <w:t xml:space="preserve">Door:</w:t>
      </w:r>
      <w:r>
        <w:t xml:space="preserve"> per section 3, releasable from outside in an emergency.</w:t>
      </w:r>
    </w:p>
    <w:p>
      <w:pPr>
        <w:pStyle w:val="ListParagraph"/>
        <w:numPr>
          <w:ilvl w:val="0"/>
          <w:numId w:val="3"/>
        </w:numPr>
      </w:pPr>
      <w:r>
        <w:rPr>
          <w:b/>
        </w:rPr>
        <w:t xml:space="preserve">Drainage:</w:t>
      </w:r>
      <w:r>
        <w:t xml:space="preserve"> pipework concealed but accessible; trap seals kept in place and vented (HBN 00-09 paras 3.198–3.199).</w:t>
      </w:r>
    </w:p>
    <w:p>
      <w:pPr>
        <w:pStyle w:val="Heading2"/>
      </w:pPr>
      <w:r>
        <w:t xml:space="preserve">6. Fire safety</w:t>
      </w:r>
    </w:p>
    <w:p>
      <w:pPr/>
      <w:r>
        <w:t xml:space="preserve">The fire regime depends on the service's CQC registration. If it is registered as Rehabilitation services (RHS), the works fall under Firecode: HTM 05-02 (2015) para 1.2. If it is registered as a care home, they fall under Approved Document B Volume 2 (2019, incorporating amendments to 2026) paras 2.33–2.46 and HM Government "Fire safety risk assessment: residential care premises". To be safe under either, the requirements below meet the more onerous of the two. The strategy is progressive horizontal evacuation (HTM 05-02 paras 3.6–3.15; ADB Vol 2 para 2.34), to be agreed with Building Control and the London Fire Brigade.</w:t>
      </w:r>
    </w:p>
    <w:p>
      <w:pPr>
        <w:pStyle w:val="ListParagraph"/>
        <w:numPr>
          <w:ilvl w:val="0"/>
          <w:numId w:val="4"/>
        </w:numPr>
      </w:pPr>
      <w:r>
        <w:rPr>
          <w:b/>
        </w:rPr>
        <w:t xml:space="preserve">Enclosure:</w:t>
      </w:r>
      <w:r>
        <w:t xml:space="preserve"> the bedroom is enclosed in REI 30 fire-resisting construction with an E30 door, onto a protected corridor (ADB Vol 2 para 2.42). This also covers HTM 05-02 Table 6 where the room houses mental health or learning disability patients. All service penetrations are firestopped and certified by a third-party accredited installer.</w:t>
      </w:r>
    </w:p>
    <w:p>
      <w:pPr>
        <w:pStyle w:val="ListParagraph"/>
        <w:numPr>
          <w:ilvl w:val="0"/>
          <w:numId w:val="4"/>
        </w:numPr>
      </w:pPr>
      <w:r>
        <w:rPr>
          <w:b/>
        </w:rPr>
        <w:t xml:space="preserve">Detection and alarm:</w:t>
      </w:r>
      <w:r>
        <w:t xml:space="preserve"> BS 5839-1 Category L1, covering the room and en-suite (ADB Vol 2 para 2.41; HTM 05-03 Part B (2024) para 4.18). Use multi-sensor or heat detection where steam may cause false alarms. Visual alarm devices where residents have hearing loss.</w:t>
      </w:r>
    </w:p>
    <w:p>
      <w:pPr>
        <w:pStyle w:val="ListParagraph"/>
        <w:numPr>
          <w:ilvl w:val="0"/>
          <w:numId w:val="4"/>
        </w:numPr>
      </w:pPr>
      <w:r>
        <w:rPr>
          <w:b/>
        </w:rPr>
        <w:t xml:space="preserve">Emergency lighting:</w:t>
      </w:r>
      <w:r>
        <w:t xml:space="preserve"> to BS 5266-1 and BS EN 50172, 3-hour duration with automatic testing (HTM 05-02 paras 3.79–3.80).</w:t>
      </w:r>
    </w:p>
    <w:p>
      <w:pPr>
        <w:pStyle w:val="ListParagraph"/>
        <w:numPr>
          <w:ilvl w:val="0"/>
          <w:numId w:val="4"/>
        </w:numPr>
      </w:pPr>
      <w:r>
        <w:rPr>
          <w:b/>
        </w:rPr>
        <w:t xml:space="preserve">Doors:</w:t>
      </w:r>
      <w:r>
        <w:t xml:space="preserve"> FD30S fire doors with intumescent and smoke seals. The bedroom door is fitted with a free-swing closer to BS EN 1155, linked to the fire alarm and fail-safe (ADB Vol 2 para 2.45; HTM 05-02 appendix: BS EN 1154, BS 7273-4). Acoustic or self-contained hold-open devices are not permitted.</w:t>
      </w:r>
    </w:p>
    <w:p>
      <w:pPr>
        <w:pStyle w:val="ListParagraph"/>
        <w:numPr>
          <w:ilvl w:val="0"/>
          <w:numId w:val="4"/>
        </w:numPr>
      </w:pPr>
      <w:r>
        <w:rPr>
          <w:b/>
        </w:rPr>
        <w:t xml:space="preserve">Escape:</w:t>
      </w:r>
      <w:r>
        <w:t xml:space="preserve"> step-free route from the room to an adjoining compartment or sub-compartment, wide enough for wheelchair and bed evacuation.</w:t>
      </w:r>
    </w:p>
    <w:p>
      <w:pPr>
        <w:pStyle w:val="ListParagraph"/>
        <w:numPr>
          <w:ilvl w:val="0"/>
          <w:numId w:val="4"/>
        </w:numPr>
      </w:pPr>
      <w:r>
        <w:rPr>
          <w:b/>
        </w:rPr>
        <w:t xml:space="preserve">Wall and ceiling linings:</w:t>
      </w:r>
      <w:r>
        <w:t xml:space="preserve"> Class B-s3,d2 to BS EN 13501-1 (HTM 05-02 Table 4; this exceeds ADB Vol 2 Table 6.1, which requires C-s3,d2 for rooms).</w:t>
      </w:r>
    </w:p>
    <w:p>
      <w:pPr>
        <w:pStyle w:val="ListParagraph"/>
        <w:numPr>
          <w:ilvl w:val="0"/>
          <w:numId w:val="4"/>
        </w:numPr>
      </w:pPr>
      <w:r>
        <w:rPr>
          <w:b/>
        </w:rPr>
        <w:t xml:space="preserve">Textiles and furniture:</w:t>
      </w:r>
      <w:r>
        <w:t xml:space="preserve"> to HTM 05-03 Part C (2007), high hazard category. Mattresses and bed bases to BS 7177 high hazard (ignition source 7 to BS 6807) and BS EN 597-1/-2. Upholstered furniture to BS 7176 high hazard (BS 5852 ignition source 7) and BS EN 1021-1/-2. Curtains and blinds to the same document.</w:t>
      </w:r>
    </w:p>
    <w:p>
      <w:pPr>
        <w:pStyle w:val="ListParagraph"/>
        <w:numPr>
          <w:ilvl w:val="0"/>
          <w:numId w:val="4"/>
        </w:numPr>
      </w:pPr>
      <w:r>
        <w:rPr>
          <w:b/>
        </w:rPr>
        <w:t xml:space="preserve">Evacuation planning:</w:t>
      </w:r>
      <w:r>
        <w:t xml:space="preserve"> the Employer prepares Personal Emergency Evacuation Plans (HTM 05-01 (2026)). The Contractor provides the information the fire risk assessment needs.</w:t>
      </w:r>
    </w:p>
    <w:p>
      <w:pPr>
        <w:pStyle w:val="ListParagraph"/>
        <w:numPr>
          <w:ilvl w:val="0"/>
          <w:numId w:val="4"/>
        </w:numPr>
      </w:pPr>
      <w:r>
        <w:rPr>
          <w:b/>
        </w:rPr>
        <w:t xml:space="preserve">Sprinklers:</w:t>
      </w:r>
      <w:r>
        <w:t xml:space="preserve"> ADB Vol 2 para 2.46 (amended March 2025) requires sprinklers throughout care homes, to BS 9251 or BS EN 12845, for new care homes and relevant building work. Before tender, the Contractor must confirm with Building Control whether these works trigger it, and how any existing system is extended to the room. HTM 05-02 does not require sprinklers.</w:t>
      </w:r>
    </w:p>
    <w:p>
      <w:pPr>
        <w:pStyle w:val="Heading2"/>
      </w:pPr>
      <w:r>
        <w:t xml:space="preserve">7. Mechanical services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Service</w:t>
            </w:r>
          </w:p>
        </w:tc>
        <w:tc>
          <w:tcPr>
            <w:tcW w:w="4680" w:type="dxa"/>
            <w:shd w:val="clear" w:color="auto" w:fill="F2F2F2"/>
          </w:tcPr>
          <w:p>
            <w:pPr/>
            <w:r>
              <w:t xml:space="preserve">Requirement</w:t>
            </w:r>
          </w:p>
        </w:tc>
      </w:tr>
      <w:tr>
        <w:tc>
          <w:tcPr>
            <w:tcW w:w="4680" w:type="dxa"/>
          </w:tcPr>
          <w:p>
            <w:pPr/>
            <w:r>
              <w:t xml:space="preserve">Heating</w:t>
            </w:r>
          </w:p>
        </w:tc>
        <w:tc>
          <w:tcPr>
            <w:tcW w:w="4680" w:type="dxa"/>
          </w:tcPr>
          <w:p>
            <w:pPr/>
            <w:r>
              <w:t xml:space="preserve">Individually controllable low-surface-temperature (LST) emitter or guarded underfloor heating. Accessible surfaces must not exceed 43 °C (HSE HSIS6). No exposed hot pipework. Design setpoints: bedroom 22 °C, en-suite 24 °C (Employer's requirement, within the 18–28 °C range HTM 03-01 Part A Appendix 2 gives for a single room)</w:t>
            </w:r>
          </w:p>
        </w:tc>
      </w:tr>
      <w:tr>
        <w:tc>
          <w:tcPr>
            <w:tcW w:w="4680" w:type="dxa"/>
          </w:tcPr>
          <w:p>
            <w:pPr/>
            <w:r>
              <w:t xml:space="preserve">Ventilation</w:t>
            </w:r>
          </w:p>
        </w:tc>
        <w:tc>
          <w:tcPr>
            <w:tcW w:w="4680" w:type="dxa"/>
          </w:tcPr>
          <w:p>
            <w:pPr/>
            <w:r>
              <w:t xml:space="preserve">To HTM 03-01 Part A (2021) Appendix 2. Single bedroom: 6 air changes per hour, supply, extract or natural, pressure 0 or negative to the corridor, SUP2 filtration, plant noise 35 dB(A) maximum. En-suite: mechanical extract at 3 air changes per hour, at negative pressure to the bedroom. Fresh air not less than 10 L/s per person (HTM 03-01 para 4.22)</w:t>
            </w:r>
          </w:p>
        </w:tc>
      </w:tr>
      <w:tr>
        <w:tc>
          <w:tcPr>
            <w:tcW w:w="4680" w:type="dxa"/>
          </w:tcPr>
          <w:p>
            <w:pPr/>
            <w:r>
              <w:t xml:space="preserve">Overheating and cooling</w:t>
            </w:r>
          </w:p>
        </w:tc>
        <w:tc>
          <w:tcPr>
            <w:tcW w:w="4680" w:type="dxa"/>
          </w:tcPr>
          <w:p>
            <w:pPr/>
            <w:r>
              <w:t xml:space="preserve">Thermal modelling to CIBSE Guide A per HTM 03-01 para 4.45, assessed against the CIBSE TM59 bedroom criterion (26 °C at night for no more than 1% of night hours). Passive measures first: restricted-opening windows, solar-control glazing, shading. Approved Document O applies only if the works create a new residential (institutional) building. Comfort cooling [specified / excluded]</w:t>
            </w:r>
          </w:p>
        </w:tc>
      </w:tr>
      <w:tr>
        <w:tc>
          <w:tcPr>
            <w:tcW w:w="4680" w:type="dxa"/>
          </w:tcPr>
          <w:p>
            <w:pPr/>
            <w:r>
              <w:t xml:space="preserve">Cold water</w:t>
            </w:r>
          </w:p>
        </w:tc>
        <w:tc>
          <w:tcPr>
            <w:tcW w:w="4680" w:type="dxa"/>
          </w:tcPr>
          <w:p>
            <w:pPr/>
            <w:r>
              <w:t xml:space="preserve">To HTM 04-01 Part A (2016) paras 9.4–9.5: not more than 20 °C, and at outlets within 2 °C of the storage temperature within 2 minutes of drawing off. Dead-legs eliminated or minimised. Insulated, with backflow protection</w:t>
            </w:r>
          </w:p>
        </w:tc>
      </w:tr>
      <w:tr>
        <w:tc>
          <w:tcPr>
            <w:tcW w:w="4680" w:type="dxa"/>
          </w:tcPr>
          <w:p>
            <w:pPr/>
            <w:r>
              <w:t xml:space="preserve">Hot water</w:t>
            </w:r>
          </w:p>
        </w:tc>
        <w:tc>
          <w:tcPr>
            <w:tcW w:w="4680" w:type="dxa"/>
          </w:tcPr>
          <w:p>
            <w:pPr/>
            <w:r>
              <w:t xml:space="preserve">To HTM 04-01 Part A paras 10.5–10.6. Calorifier flow 60 °C minimum. Flow and return at least 55 °C to all outlets, and 50 °C minimum at the final return to the calorifier. Outlets reach 50 °C within 30 seconds and 55 °C within 1 minute. Untempered spurs not longer than 3 m (para 12.5)</w:t>
            </w:r>
          </w:p>
        </w:tc>
      </w:tr>
      <w:tr>
        <w:tc>
          <w:tcPr>
            <w:tcW w:w="4680" w:type="dxa"/>
          </w:tcPr>
          <w:p>
            <w:pPr/>
            <w:r>
              <w:t xml:space="preserve">Scald protection</w:t>
            </w:r>
          </w:p>
        </w:tc>
        <w:tc>
          <w:tcPr>
            <w:tcW w:w="4680" w:type="dxa"/>
          </w:tcPr>
          <w:p>
            <w:pPr/>
            <w:r>
              <w:t xml:space="preserve">TMV3 (D08 specification) thermostatic mixing valves at all service-user outlets, with maximum outlet temperatures to HTM 04-01 Part A Table 2: shower 41 °C, unassisted bath 44 °C, assisted bath 46 °C, bidet 38 °C. Washbasin valve type and setting are set by the Water Safety Group's scald risk assessment</w:t>
            </w:r>
          </w:p>
        </w:tc>
      </w:tr>
      <w:tr>
        <w:tc>
          <w:tcPr>
            <w:tcW w:w="4680" w:type="dxa"/>
          </w:tcPr>
          <w:p>
            <w:pPr/>
            <w:r>
              <w:t xml:space="preserve">Legionella and water safety</w:t>
            </w:r>
          </w:p>
        </w:tc>
        <w:tc>
          <w:tcPr>
            <w:tcW w:w="4680" w:type="dxa"/>
          </w:tcPr>
          <w:p>
            <w:pPr/>
            <w:r>
              <w:t xml:space="preserve">Legionella risk assessment and written scheme of control to HSE ACoP L8 and HSG274 (HTM 04-01 Part A para 1.11). Flushing of little-used outlets at least weekly, or more often if the Water Safety Group requires (HTM 04-01 Part B paras 6.42–6.44), starting from first fill. Water quality sampling before handover</w:t>
            </w:r>
          </w:p>
        </w:tc>
      </w:tr>
      <w:tr>
        <w:tc>
          <w:tcPr>
            <w:tcW w:w="4680" w:type="dxa"/>
          </w:tcPr>
          <w:p>
            <w:pPr/>
            <w:r>
              <w:t xml:space="preserve">Medical gases</w:t>
            </w:r>
          </w:p>
        </w:tc>
        <w:tc>
          <w:tcPr>
            <w:tcW w:w="4680" w:type="dxa"/>
          </w:tcPr>
          <w:p>
            <w:pPr/>
            <w:r>
              <w:t xml:space="preserve">None unless specified. Any provision to HTM 02-01 Part A (2026 edition). Allow for future [oxygen / suction] at the bedhead [confirm]</w:t>
            </w:r>
          </w:p>
        </w:tc>
      </w:tr>
      <w:tr>
        <w:tc>
          <w:tcPr>
            <w:tcW w:w="4680" w:type="dxa"/>
          </w:tcPr>
          <w:p>
            <w:pPr/>
            <w:r>
              <w:t xml:space="preserve">Drainage</w:t>
            </w:r>
          </w:p>
        </w:tc>
        <w:tc>
          <w:tcPr>
            <w:tcW w:w="4680" w:type="dxa"/>
          </w:tcPr>
          <w:p>
            <w:pPr/>
            <w:r>
              <w:t xml:space="preserve">To Approved Document H (2015) and BS EN 12056. Wet-room floor gully with trap seals kept in place and adequately vented (HBN 00-09 paras 3.198–3.199; HBN 00-02 para 4.50). Rodding access</w:t>
            </w:r>
          </w:p>
        </w:tc>
      </w:tr>
      <w:tr>
        <w:tc>
          <w:tcPr>
            <w:tcW w:w="4680" w:type="dxa"/>
          </w:tcPr>
          <w:p>
            <w:pPr/>
            <w:r>
              <w:t xml:space="preserve">Controls</w:t>
            </w:r>
          </w:p>
        </w:tc>
        <w:tc>
          <w:tcPr>
            <w:tcW w:w="4680" w:type="dxa"/>
          </w:tcPr>
          <w:p>
            <w:pPr/>
            <w:r>
              <w:t xml:space="preserve">Heating and ventilation controlled at room level by staff (tamper-resistant), with a manual override</w:t>
            </w:r>
          </w:p>
        </w:tc>
      </w:tr>
    </w:tbl>
    <w:p>
      <w:pPr>
        <w:pStyle w:val="Heading2"/>
      </w:pPr>
      <w:r>
        <w:t xml:space="preserve">8. Electrical, lighting, nurse call, data and security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Service</w:t>
            </w:r>
          </w:p>
        </w:tc>
        <w:tc>
          <w:tcPr>
            <w:tcW w:w="4680" w:type="dxa"/>
            <w:shd w:val="clear" w:color="auto" w:fill="F2F2F2"/>
          </w:tcPr>
          <w:p>
            <w:pPr/>
            <w:r>
              <w:t xml:space="preserve">Requirement</w:t>
            </w:r>
          </w:p>
        </w:tc>
      </w:tr>
      <w:tr>
        <w:tc>
          <w:tcPr>
            <w:tcW w:w="4680" w:type="dxa"/>
          </w:tcPr>
          <w:p>
            <w:pPr/>
            <w:r>
              <w:t xml:space="preserve">Distribution</w:t>
            </w:r>
          </w:p>
        </w:tc>
        <w:tc>
          <w:tcPr>
            <w:tcW w:w="4680" w:type="dxa"/>
          </w:tcPr>
          <w:p>
            <w:pPr/>
            <w:r>
              <w:t xml:space="preserve">Installation to BS 7671:2018+A4:2026 and HTM 06-01 (2017). Final circuits protected by 30 mA RCDs (type A or B where HTM 06-01 para 15.7 applies). Distribution boards with 25% spare capacity (HTM 06-01 para 14.41). One phase per room (HTM 08-03 para 7.12). Electrical Installation Certificate on completion</w:t>
            </w:r>
          </w:p>
        </w:tc>
      </w:tr>
      <w:tr>
        <w:tc>
          <w:tcPr>
            <w:tcW w:w="4680" w:type="dxa"/>
          </w:tcPr>
          <w:p>
            <w:pPr/>
            <w:r>
              <w:t xml:space="preserve">Medical location group</w:t>
            </w:r>
          </w:p>
        </w:tc>
        <w:tc>
          <w:tcPr>
            <w:tcW w:w="4680" w:type="dxa"/>
          </w:tcPr>
          <w:p>
            <w:pPr/>
            <w:r>
              <w:t xml:space="preserve">The Employer's clinical lead is to confirm whether the room is a Group 0 or Group 1 medical location (HTM 06-01; BS 7671 Section 710). Group 1 brings Section 710 requirements, including supplementary bonding</w:t>
            </w:r>
          </w:p>
        </w:tc>
      </w:tr>
      <w:tr>
        <w:tc>
          <w:tcPr>
            <w:tcW w:w="4680" w:type="dxa"/>
          </w:tcPr>
          <w:p>
            <w:pPr/>
            <w:r>
              <w:t xml:space="preserve">Sockets</w:t>
            </w:r>
          </w:p>
        </w:tc>
        <w:tc>
          <w:tcPr>
            <w:tcW w:w="4680" w:type="dxa"/>
          </w:tcPr>
          <w:p>
            <w:pPr/>
            <w:r>
              <w:t xml:space="preserve">6 twin switched 13 A sockets minimum: two each side of the bed head, one at the desk/TV position, and one for hoist charging. Dedicated low-level socket for the electric profiling bed (HTM 08-03 Figures 1–2). Sockets at least 200 mm from any medical gas outlet (HTM 08-03 para 7.13). Mounting heights to Approved Document M (see section 3)</w:t>
            </w:r>
          </w:p>
        </w:tc>
      </w:tr>
      <w:tr>
        <w:tc>
          <w:tcPr>
            <w:tcW w:w="4680" w:type="dxa"/>
          </w:tcPr>
          <w:p>
            <w:pPr/>
            <w:r>
              <w:t xml:space="preserve">Bedhead services</w:t>
            </w:r>
          </w:p>
        </w:tc>
        <w:tc>
          <w:tcPr>
            <w:tcW w:w="4680" w:type="dxa"/>
          </w:tcPr>
          <w:p>
            <w:pPr/>
            <w:r>
              <w:t xml:space="preserve">To HTM 08-03 (2013) Chapters 7–8: integrated bedhead unit or trunking with reading light, sockets, nurse call, data and concealed cabling</w:t>
            </w:r>
          </w:p>
        </w:tc>
      </w:tr>
      <w:tr>
        <w:tc>
          <w:tcPr>
            <w:tcW w:w="4680" w:type="dxa"/>
          </w:tcPr>
          <w:p>
            <w:pPr/>
            <w:r>
              <w:t xml:space="preserve">Lighting</w:t>
            </w:r>
          </w:p>
        </w:tc>
        <w:tc>
          <w:tcPr>
            <w:tcW w:w="4680" w:type="dxa"/>
          </w:tcPr>
          <w:p>
            <w:pPr/>
            <w:r>
              <w:t xml:space="preserve">To HTM 08-03 Chapter 8, which calls up SLL Lighting Guide 2 (2019) and BS EN 12464-1. General 100 lux; reading 300 lux; nursing care 300 lux; examination 1,000 lux (local or portable); night light 5 lux with no more than 0.5 lux on the pillow; watch light 15–20 lux; colour rendering Ra 80 or higher. LED, flicker-free and low glare, with separate controls for service user and staff. Emergency lighting per section 6</w:t>
            </w:r>
          </w:p>
        </w:tc>
      </w:tr>
      <w:tr>
        <w:tc>
          <w:tcPr>
            <w:tcW w:w="4680" w:type="dxa"/>
          </w:tcPr>
          <w:p>
            <w:pPr/>
            <w:r>
              <w:t xml:space="preserve">Nurse call</w:t>
            </w:r>
          </w:p>
        </w:tc>
        <w:tc>
          <w:tcPr>
            <w:tcW w:w="4680" w:type="dxa"/>
          </w:tcPr>
          <w:p>
            <w:pPr/>
            <w:r>
              <w:t xml:space="preserve">To HTM 08-03 Chapter 10 "Nurse-call systems", integrated with the site system: bedhead call, pear-push lead, pull cords in the en-suite reachable from the floor, emergency call, staff attack/assist call [if required], over-door indicator, and reset only at the point of call. Interface with fire alarm [confirm manufacturer]</w:t>
            </w:r>
          </w:p>
        </w:tc>
      </w:tr>
      <w:tr>
        <w:tc>
          <w:tcPr>
            <w:tcW w:w="4680" w:type="dxa"/>
          </w:tcPr>
          <w:p>
            <w:pPr/>
            <w:r>
              <w:t xml:space="preserve">Data and ICT</w:t>
            </w:r>
          </w:p>
        </w:tc>
        <w:tc>
          <w:tcPr>
            <w:tcW w:w="4680" w:type="dxa"/>
          </w:tcPr>
          <w:p>
            <w:pPr/>
            <w:r>
              <w:t xml:space="preserve">Cat 6A outlets at the bed head and desk (2 each minimum); Wi-Fi coverage across the room and en-suite; TV aerial and digital TV outlet; telephone [confirm]</w:t>
            </w:r>
          </w:p>
        </w:tc>
      </w:tr>
      <w:tr>
        <w:tc>
          <w:tcPr>
            <w:tcW w:w="4680" w:type="dxa"/>
          </w:tcPr>
          <w:p>
            <w:pPr/>
            <w:r>
              <w:t xml:space="preserve">Access control</w:t>
            </w:r>
          </w:p>
        </w:tc>
        <w:tc>
          <w:tcPr>
            <w:tcW w:w="4680" w:type="dxa"/>
          </w:tcPr>
          <w:p>
            <w:pPr/>
            <w:r>
              <w:t xml:space="preserve">Key-fob or card access with staff override; door-position monitoring and audit trail [optional]</w:t>
            </w:r>
          </w:p>
        </w:tc>
      </w:tr>
      <w:tr>
        <w:tc>
          <w:tcPr>
            <w:tcW w:w="4680" w:type="dxa"/>
          </w:tcPr>
          <w:p>
            <w:pPr/>
            <w:r>
              <w:t xml:space="preserve">Security and monitoring</w:t>
            </w:r>
          </w:p>
        </w:tc>
        <w:tc>
          <w:tcPr>
            <w:tcW w:w="4680" w:type="dxa"/>
          </w:tcPr>
          <w:p>
            <w:pPr/>
            <w:r>
              <w:t xml:space="preserve">No CCTV in bedrooms; CCTV in circulation only. Sensor mats, bed-exit alarms and falls detection integrated with nurse call if specified [confirm]</w:t>
            </w:r>
          </w:p>
        </w:tc>
      </w:tr>
      <w:tr>
        <w:tc>
          <w:tcPr>
            <w:tcW w:w="4680" w:type="dxa"/>
          </w:tcPr>
          <w:p>
            <w:pPr/>
            <w:r>
              <w:t xml:space="preserve">Bathroom electrical safety</w:t>
            </w:r>
          </w:p>
        </w:tc>
        <w:tc>
          <w:tcPr>
            <w:tcW w:w="4680" w:type="dxa"/>
          </w:tcPr>
          <w:p>
            <w:pPr/>
            <w:r>
              <w:t xml:space="preserve">To BS 7671 Section 701. Supplementary bonding may be omitted only where Regulation 701.415.2 conditions are all met, unless Section 710 applies</w:t>
            </w:r>
          </w:p>
        </w:tc>
      </w:tr>
    </w:tbl>
    <w:p>
      <w:pPr>
        <w:pStyle w:val="Heading2"/>
      </w:pPr>
      <w:r>
        <w:t xml:space="preserve">9. Infection prevention, safety, ligature risk and acoustics</w:t>
      </w:r>
    </w:p>
    <w:p>
      <w:pPr/>
      <w:r>
        <w:rPr>
          <w:b/>
        </w:rPr>
        <w:t xml:space="preserve">Infection prevention and control (HBN 00-09)</w:t>
      </w:r>
    </w:p>
    <w:p>
      <w:pPr>
        <w:pStyle w:val="ListParagraph"/>
        <w:numPr>
          <w:ilvl w:val="0"/>
          <w:numId w:val="5"/>
        </w:numPr>
      </w:pPr>
      <w:r>
        <w:t xml:space="preserve">Floors seamless, smooth and slip-resistant, with welded joints and coved skirtings (HBN 00-09 paras 3.109–3.111). No carpet (HBN 00-09 para 3.115).</w:t>
      </w:r>
    </w:p>
    <w:p>
      <w:pPr>
        <w:pStyle w:val="ListParagraph"/>
        <w:numPr>
          <w:ilvl w:val="0"/>
          <w:numId w:val="5"/>
        </w:numPr>
      </w:pPr>
      <w:r>
        <w:t xml:space="preserve">Horizontal surfaces, ledges and dust traps designed out. All surfaces cleanable with detergent and chlorine-based disinfectant.</w:t>
      </w:r>
    </w:p>
    <w:p>
      <w:pPr>
        <w:pStyle w:val="ListParagraph"/>
        <w:numPr>
          <w:ilvl w:val="0"/>
          <w:numId w:val="5"/>
        </w:numPr>
      </w:pPr>
      <w:r>
        <w:t xml:space="preserve">A clinical wash-hand basin in the bedroom, clearly visible to staff, as HBN 04-01 para 4.33 and HBN 00-09 require one in each single-bed room. This is in addition to the general basin in the en-suite. Basin, taps and dispensers to HBN 00-10 Part C (2013), with wall-mounted soap, alcohol gel and paper towel dispensers.</w:t>
      </w:r>
    </w:p>
    <w:p>
      <w:pPr>
        <w:pStyle w:val="ListParagraph"/>
        <w:numPr>
          <w:ilvl w:val="0"/>
          <w:numId w:val="5"/>
        </w:numPr>
      </w:pPr>
      <w:r>
        <w:t xml:space="preserve">Space for waste segregation to HTM 07-01 (2022), including the offensive waste stream, and for linen handling.</w:t>
      </w:r>
    </w:p>
    <w:p>
      <w:pPr>
        <w:pStyle w:val="ListParagraph"/>
        <w:numPr>
          <w:ilvl w:val="0"/>
          <w:numId w:val="5"/>
        </w:numPr>
      </w:pPr>
      <w:r>
        <w:t xml:space="preserve">An infection prevention and control risk assessment for the construction phase (HBN 00-09 Appendix 3), with dust-control measures while the building is occupied.</w:t>
      </w:r>
    </w:p>
    <w:p>
      <w:pPr/>
      <w:r>
        <w:rPr>
          <w:b/>
        </w:rPr>
        <w:t xml:space="preserve">Safety and ligature risk</w:t>
      </w:r>
    </w:p>
    <w:p>
      <w:pPr>
        <w:pStyle w:val="ListParagraph"/>
        <w:numPr>
          <w:ilvl w:val="0"/>
          <w:numId w:val="6"/>
        </w:numPr>
      </w:pPr>
      <w:r>
        <w:t xml:space="preserve">A ligature risk assessment must be completed by the Employer's clinical lead before design freeze, and the design must respond to it. Where the service user group includes mental health rehabilitation, ligature-resistant fittings (door handles, hinges, taps, rails, curtain tracks, wardrobe and window furniture) are required, to HBN 03-01 (2013) and the CQC / Nurse Directors Forum guidance "Reducing harm from ligatures in mental health wards and wards for people with a learning disability" (2023).</w:t>
      </w:r>
    </w:p>
    <w:p>
      <w:pPr>
        <w:pStyle w:val="ListParagraph"/>
        <w:numPr>
          <w:ilvl w:val="0"/>
          <w:numId w:val="6"/>
        </w:numPr>
      </w:pPr>
      <w:r>
        <w:t xml:space="preserve">Where the service accommodates physical rehabilitation only, standard accessible fittings apply, with no sharp edges, no exposed pipework, and fall-out prevention such as rounded corners.</w:t>
      </w:r>
    </w:p>
    <w:p>
      <w:pPr>
        <w:pStyle w:val="ListParagraph"/>
        <w:numPr>
          <w:ilvl w:val="0"/>
          <w:numId w:val="6"/>
        </w:numPr>
      </w:pPr>
      <w:r>
        <w:t xml:space="preserve">Falls risk: slip-resistant floors, even lighting without pools and shadows, grab rails, low-level night lighting and a clear route from bed to WC.</w:t>
      </w:r>
    </w:p>
    <w:p>
      <w:pPr>
        <w:pStyle w:val="ListParagraph"/>
        <w:numPr>
          <w:ilvl w:val="0"/>
          <w:numId w:val="6"/>
        </w:numPr>
      </w:pPr>
      <w:r>
        <w:t xml:space="preserve">Window restrictors limiting the opening to 100 mm or less, tamper-proof and releasable only with a special tool or key (HBN 00-10 Part D; HSE "Avoiding falls from windows or balconies in health and social care premises"). Safety glazing to Approved Document K.</w:t>
      </w:r>
    </w:p>
    <w:p>
      <w:pPr/>
      <w:r>
        <w:rPr>
          <w:b/>
        </w:rPr>
        <w:t xml:space="preserve">Acoustics (HTM 08-01)</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Parameter</w:t>
            </w:r>
          </w:p>
        </w:tc>
        <w:tc>
          <w:tcPr>
            <w:tcW w:w="4680" w:type="dxa"/>
            <w:shd w:val="clear" w:color="auto" w:fill="F2F2F2"/>
          </w:tcPr>
          <w:p>
            <w:pPr/>
            <w:r>
              <w:t xml:space="preserve">Target (HTM 08-01, 2013)</w:t>
            </w:r>
          </w:p>
        </w:tc>
      </w:tr>
      <w:tr>
        <w:tc>
          <w:tcPr>
            <w:tcW w:w="4680" w:type="dxa"/>
          </w:tcPr>
          <w:p>
            <w:pPr/>
            <w:r>
              <w:t xml:space="preserve">Sound insulation, bedroom to adjoining rooms and corridor</w:t>
            </w:r>
          </w:p>
        </w:tc>
        <w:tc>
          <w:tcPr>
            <w:tcW w:w="4680" w:type="dxa"/>
          </w:tcPr>
          <w:p>
            <w:pPr/>
            <w:r>
              <w:t xml:space="preserve">DnT,w 47 dB minimum (Tables 3–4: single-bed room, confidential privacy). Add 3 dB where the room lacks the minimum absorption (para 2.63)</w:t>
            </w:r>
          </w:p>
        </w:tc>
      </w:tr>
      <w:tr>
        <w:tc>
          <w:tcPr>
            <w:tcW w:w="4680" w:type="dxa"/>
          </w:tcPr>
          <w:p>
            <w:pPr/>
            <w:r>
              <w:t xml:space="preserve">En-suite sound insulation</w:t>
            </w:r>
          </w:p>
        </w:tc>
        <w:tc>
          <w:tcPr>
            <w:tcW w:w="4680" w:type="dxa"/>
          </w:tcPr>
          <w:p>
            <w:pPr/>
            <w:r>
              <w:t xml:space="preserve">Same as the bedroom (para 2.46)</w:t>
            </w:r>
          </w:p>
        </w:tc>
      </w:tr>
      <w:tr>
        <w:tc>
          <w:tcPr>
            <w:tcW w:w="4680" w:type="dxa"/>
          </w:tcPr>
          <w:p>
            <w:pPr/>
            <w:r>
              <w:t xml:space="preserve">Impact sound from the floor above</w:t>
            </w:r>
          </w:p>
        </w:tc>
        <w:tc>
          <w:tcPr>
            <w:tcW w:w="4680" w:type="dxa"/>
          </w:tcPr>
          <w:p>
            <w:pPr/>
            <w:r>
              <w:t xml:space="preserve">L'nT,w 65 dB maximum (para 2.104)</w:t>
            </w:r>
          </w:p>
        </w:tc>
      </w:tr>
      <w:tr>
        <w:tc>
          <w:tcPr>
            <w:tcW w:w="4680" w:type="dxa"/>
          </w:tcPr>
          <w:p>
            <w:pPr/>
            <w:r>
              <w:t xml:space="preserve">External noise intrusion</w:t>
            </w:r>
          </w:p>
        </w:tc>
        <w:tc>
          <w:tcPr>
            <w:tcW w:w="4680" w:type="dxa"/>
          </w:tcPr>
          <w:p>
            <w:pPr/>
            <w:r>
              <w:t xml:space="preserve">40 dB LAeq,1hr day; 35 dB LAeq,1hr night; 45 dB LAmax,f night; en-suite 45 dB LAeq,1hr (Table 1)</w:t>
            </w:r>
          </w:p>
        </w:tc>
      </w:tr>
      <w:tr>
        <w:tc>
          <w:tcPr>
            <w:tcW w:w="4680" w:type="dxa"/>
          </w:tcPr>
          <w:p>
            <w:pPr/>
            <w:r>
              <w:t xml:space="preserve">Mechanical services noise</w:t>
            </w:r>
          </w:p>
        </w:tc>
        <w:tc>
          <w:tcPr>
            <w:tcW w:w="4680" w:type="dxa"/>
          </w:tcPr>
          <w:p>
            <w:pPr/>
            <w:r>
              <w:t xml:space="preserve">NR 30 bedroom; NR 40 en-suite (Table 2)</w:t>
            </w:r>
          </w:p>
        </w:tc>
      </w:tr>
      <w:tr>
        <w:tc>
          <w:tcPr>
            <w:tcW w:w="4680" w:type="dxa"/>
          </w:tcPr>
          <w:p>
            <w:pPr/>
            <w:r>
              <w:t xml:space="preserve">Room absorption</w:t>
            </w:r>
          </w:p>
        </w:tc>
        <w:tc>
          <w:tcPr>
            <w:tcW w:w="4680" w:type="dxa"/>
          </w:tcPr>
          <w:p>
            <w:pPr/>
            <w:r>
              <w:t xml:space="preserve">Class C absorber (BS EN ISO 11654) over at least 80% of the floor area, normally as an acoustic ceiling (para 2.110)</w:t>
            </w:r>
          </w:p>
        </w:tc>
      </w:tr>
    </w:tbl>
    <w:p>
      <w:pPr/>
      <w:r>
        <w:t xml:space="preserve">Speech privacy between rooms is a key requirement. The Contractor must engage an acoustic consultant for the South London location, which may have road, rail or air noise exposure.</w:t>
      </w:r>
    </w:p>
    <w:p>
      <w:pPr>
        <w:pStyle w:val="Heading2"/>
      </w:pPr>
      <w:r>
        <w:t xml:space="preserve">10. Contractor requirements</w:t>
      </w:r>
    </w:p>
    <w:p>
      <w:pPr/>
      <w:r>
        <w:rPr>
          <w:b/>
        </w:rPr>
        <w:t xml:space="preserve">Design responsibility.</w:t>
      </w:r>
      <w:r>
        <w:t xml:space="preserve"> The Contractor is responsible for completing the design (Contractor's Design Portion) in accordance with these requirements, including coordination of structure, M&amp;E, fire and acoustics, and must submit design for Employer approval at each stage.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Stage</w:t>
            </w:r>
          </w:p>
        </w:tc>
        <w:tc>
          <w:tcPr>
            <w:tcW w:w="4680" w:type="dxa"/>
            <w:shd w:val="clear" w:color="auto" w:fill="F2F2F2"/>
          </w:tcPr>
          <w:p>
            <w:pPr/>
            <w:r>
              <w:t xml:space="preserve">Deliverable</w:t>
            </w:r>
          </w:p>
        </w:tc>
      </w:tr>
      <w:tr>
        <w:tc>
          <w:tcPr>
            <w:tcW w:w="4680" w:type="dxa"/>
          </w:tcPr>
          <w:p>
            <w:pPr/>
            <w:r>
              <w:t xml:space="preserve">Pre-construction</w:t>
            </w:r>
          </w:p>
        </w:tc>
        <w:tc>
          <w:tcPr>
            <w:tcW w:w="4680" w:type="dxa"/>
          </w:tcPr>
          <w:p>
            <w:pPr/>
            <w:r>
              <w:t xml:space="preserve">Programme; risk assessments and method statements; ICRA; construction phase plan; asbestos refurbishment survey review; site waste management plan</w:t>
            </w:r>
          </w:p>
        </w:tc>
      </w:tr>
      <w:tr>
        <w:tc>
          <w:tcPr>
            <w:tcW w:w="4680" w:type="dxa"/>
          </w:tcPr>
          <w:p>
            <w:pPr/>
            <w:r>
              <w:t xml:space="preserve">Design</w:t>
            </w:r>
          </w:p>
        </w:tc>
        <w:tc>
          <w:tcPr>
            <w:tcW w:w="4680" w:type="dxa"/>
          </w:tcPr>
          <w:p>
            <w:pPr/>
            <w:r>
              <w:t xml:space="preserve">Coordinated drawings (1:50 room layout, 1:20 en-suite and key details); room data sheet; finishes and equipment schedules; fire strategy; M&amp;E design; acoustic report</w:t>
            </w:r>
          </w:p>
        </w:tc>
      </w:tr>
      <w:tr>
        <w:tc>
          <w:tcPr>
            <w:tcW w:w="4680" w:type="dxa"/>
          </w:tcPr>
          <w:p>
            <w:pPr/>
            <w:r>
              <w:t xml:space="preserve">Construction</w:t>
            </w:r>
          </w:p>
        </w:tc>
        <w:tc>
          <w:tcPr>
            <w:tcW w:w="4680" w:type="dxa"/>
          </w:tcPr>
          <w:p>
            <w:pPr/>
            <w:r>
              <w:t xml:space="preserve">Hold-point inspections; samples of finishes and fittings for approval; mock-up of one room before repeat build [if more than one room]</w:t>
            </w:r>
          </w:p>
        </w:tc>
      </w:tr>
      <w:tr>
        <w:tc>
          <w:tcPr>
            <w:tcW w:w="4680" w:type="dxa"/>
          </w:tcPr>
          <w:p>
            <w:pPr/>
            <w:r>
              <w:t xml:space="preserve">Testing and commissioning</w:t>
            </w:r>
          </w:p>
        </w:tc>
        <w:tc>
          <w:tcPr>
            <w:tcW w:w="4680" w:type="dxa"/>
          </w:tcPr>
          <w:p>
            <w:pPr/>
            <w:r>
              <w:t xml:space="preserve">Commissioning of all M&amp;E (CIBSE / BSRIA methods); water hygiene (flushing, disinfection, sampling); fire alarm, nurse call, access control and emergency lighting certificates; air tightness and acoustic pre-completion testing; electrical test certificates</w:t>
            </w:r>
          </w:p>
        </w:tc>
      </w:tr>
      <w:tr>
        <w:tc>
          <w:tcPr>
            <w:tcW w:w="4680" w:type="dxa"/>
          </w:tcPr>
          <w:p>
            <w:pPr/>
            <w:r>
              <w:t xml:space="preserve">Handover</w:t>
            </w:r>
          </w:p>
        </w:tc>
        <w:tc>
          <w:tcPr>
            <w:tcW w:w="4680" w:type="dxa"/>
          </w:tcPr>
          <w:p>
            <w:pPr/>
            <w:r>
              <w:t xml:space="preserve">O&amp;M manuals; as-built drawings and BIM/CAD files; health and safety file; asset register with maintenance schedule; warranties (minimum 12 months defects liability, 10 years for latent defects insurance where available); training for staff on equipment and systems</w:t>
            </w:r>
          </w:p>
        </w:tc>
      </w:tr>
    </w:tbl>
    <w:p>
      <w:pPr/>
      <w:r>
        <w:rPr>
          <w:b/>
        </w:rPr>
        <w:t xml:space="preserve">Occupied-building working.</w:t>
      </w:r>
      <w:r>
        <w:t xml:space="preserve"> Where the building is partly occupied, the Contractor must maintain fire escape routes, limit noise and dust, isolate services with agreed notice, keep service users' areas separated by robust hoarding, and follow the Employer's infection-control and safeguarding rules. All operatives must hold an enhanced DBS check where they have unsupervised contact with residents.</w:t>
      </w:r>
    </w:p>
    <w:p>
      <w:pPr/>
      <w:r>
        <w:rPr>
          <w:b/>
        </w:rPr>
        <w:t xml:space="preserve">Quality and compliance.</w:t>
      </w:r>
      <w:r>
        <w:t xml:space="preserve"> Materials and products must carry appropriate certification (CE/UKCA, BBA, third-party fire certificates). The Contractor must provide evidence for fire-stopping, fire doors, and electrical and water installations by competent persons (e.g. NICEIC, FIRAS, BM TRADA).</w:t>
      </w:r>
    </w:p>
    <w:p>
      <w:pPr/>
      <w:r>
        <w:rPr>
          <w:b/>
        </w:rPr>
        <w:t xml:space="preserve">Sustainability.</w:t>
      </w:r>
      <w:r>
        <w:t xml:space="preserve"> Reasonable endeavours to meet Part L, favouring low-carbon heating where feasible, LED lighting and durable products with long life.</w:t>
      </w:r>
    </w:p>
    <w:p>
      <w:pPr>
        <w:pStyle w:val="Heading2"/>
      </w:pPr>
      <w:r>
        <w:t xml:space="preserve">11. Assumptions and items to confirm</w:t>
      </w:r>
    </w:p>
    <w:p>
      <w:pPr/>
      <w:r>
        <w:t xml:space="preserve">Every figure in this document has been checked against the current edition of its NHS or statutory source, which is cited next to it. Where NHS guidance sets no figure, the value is marked as the Employer's requirement. The items below are project decisions to confirm with the operator before tender.</w:t>
      </w:r>
    </w:p>
    <w:p>
      <w:pPr>
        <w:pStyle w:val="ListParagraph"/>
        <w:numPr>
          <w:ilvl w:val="0"/>
          <w:numId w:val="7"/>
        </w:numPr>
      </w:pPr>
      <w:r>
        <w:t xml:space="preserve">☐ Service user group: physical, neuro- or mental health rehabilitation (decides the ligature, security and textile hazard requirements)</w:t>
      </w:r>
    </w:p>
    <w:p>
      <w:pPr>
        <w:pStyle w:val="ListParagraph"/>
        <w:numPr>
          <w:ilvl w:val="0"/>
          <w:numId w:val="7"/>
        </w:numPr>
      </w:pPr>
      <w:r>
        <w:t xml:space="preserve">☐ CQC service type, Rehabilitation services or care home (decides the fire regime in section 6), and whether a registration variation is needed</w:t>
      </w:r>
    </w:p>
    <w:p>
      <w:pPr>
        <w:pStyle w:val="ListParagraph"/>
        <w:numPr>
          <w:ilvl w:val="0"/>
          <w:numId w:val="7"/>
        </w:numPr>
      </w:pPr>
      <w:r>
        <w:t xml:space="preserve">☐ Whether the commissioners require HBN/HTM compliance contractually or as a benchmark</w:t>
      </w:r>
    </w:p>
    <w:p>
      <w:pPr>
        <w:pStyle w:val="ListParagraph"/>
        <w:numPr>
          <w:ilvl w:val="0"/>
          <w:numId w:val="7"/>
        </w:numPr>
      </w:pPr>
      <w:r>
        <w:t xml:space="preserve">☐ Room sizes against the existing structure: whether 19 m² plus a 4.5 m² en-suite and 1,200 mm bed-movement doors fit the building, and any agreed derogations</w:t>
      </w:r>
    </w:p>
    <w:p>
      <w:pPr>
        <w:pStyle w:val="ListParagraph"/>
        <w:numPr>
          <w:ilvl w:val="0"/>
          <w:numId w:val="7"/>
        </w:numPr>
      </w:pPr>
      <w:r>
        <w:t xml:space="preserve">☐ Medical location group (Group 0 or 1) for the electrical installation</w:t>
      </w:r>
    </w:p>
    <w:p>
      <w:pPr>
        <w:pStyle w:val="ListParagraph"/>
        <w:numPr>
          <w:ilvl w:val="0"/>
          <w:numId w:val="7"/>
        </w:numPr>
      </w:pPr>
      <w:r>
        <w:t xml:space="preserve">☐ Ceiling track hoist fitted now or structure only, and the required safe working load</w:t>
      </w:r>
    </w:p>
    <w:p>
      <w:pPr>
        <w:pStyle w:val="ListParagraph"/>
        <w:numPr>
          <w:ilvl w:val="0"/>
          <w:numId w:val="7"/>
        </w:numPr>
      </w:pPr>
      <w:r>
        <w:t xml:space="preserve">☐ Nurse call manufacturer and integration with the existing site system</w:t>
      </w:r>
    </w:p>
    <w:p>
      <w:pPr>
        <w:pStyle w:val="ListParagraph"/>
        <w:numPr>
          <w:ilvl w:val="0"/>
          <w:numId w:val="7"/>
        </w:numPr>
      </w:pPr>
      <w:r>
        <w:t xml:space="preserve">☐ Sprinklers: whether Approved Document B Vol 2 para 2.46 is triggered, and the existing system</w:t>
      </w:r>
    </w:p>
    <w:p>
      <w:pPr>
        <w:pStyle w:val="ListParagraph"/>
        <w:numPr>
          <w:ilvl w:val="0"/>
          <w:numId w:val="7"/>
        </w:numPr>
      </w:pPr>
      <w:r>
        <w:t xml:space="preserve">☐ Comfort cooling included or excluded</w:t>
      </w:r>
    </w:p>
    <w:p>
      <w:pPr>
        <w:pStyle w:val="ListParagraph"/>
        <w:numPr>
          <w:ilvl w:val="0"/>
          <w:numId w:val="7"/>
        </w:numPr>
      </w:pPr>
      <w:r>
        <w:t xml:space="preserve">☐ Items the Employer supplies (beds, hoists, mattresses, loose furniture) versus the Contractor</w:t>
      </w:r>
    </w:p>
    <w:p>
      <w:pPr>
        <w:pStyle w:val="ListParagraph"/>
        <w:numPr>
          <w:ilvl w:val="0"/>
          <w:numId w:val="7"/>
        </w:numPr>
      </w:pPr>
      <w:r>
        <w:t xml:space="preserve">☐ Planning or conservation constraints, and the asbestos survey status of the existing building</w:t>
      </w:r>
    </w:p>
    <w:p>
      <w:pPr>
        <w:pStyle w:val="Heading2"/>
      </w:pPr>
      <w:r>
        <w:t xml:space="preserve">Sources</w:t>
      </w:r>
    </w:p>
    <w:p>
      <w:pPr>
        <w:pStyle w:val="ListParagraph"/>
        <w:numPr>
          <w:ilvl w:val="0"/>
          <w:numId w:val="8"/>
        </w:numPr>
      </w:pPr>
      <w:hyperlink r:id="rId3" w:history="1">
        <w:r>
          <w:rPr>
            <w:rStyle w:val="Hyperlink"/>
          </w:rPr>
          <w:t xml:space="preserve">NHS England: Health Building Notes index</w:t>
        </w:r>
      </w:hyperlink>
    </w:p>
    <w:p>
      <w:pPr>
        <w:pStyle w:val="ListParagraph"/>
        <w:numPr>
          <w:ilvl w:val="0"/>
          <w:numId w:val="8"/>
        </w:numPr>
      </w:pPr>
      <w:hyperlink r:id="rId4" w:history="1">
        <w:r>
          <w:rPr>
            <w:rStyle w:val="Hyperlink"/>
          </w:rPr>
          <w:t xml:space="preserve">HBN 04-01 Adult in-patient facilities</w:t>
        </w:r>
      </w:hyperlink>
    </w:p>
    <w:p>
      <w:pPr>
        <w:pStyle w:val="ListParagraph"/>
        <w:numPr>
          <w:ilvl w:val="0"/>
          <w:numId w:val="8"/>
        </w:numPr>
      </w:pPr>
      <w:hyperlink r:id="rId5" w:history="1">
        <w:r>
          <w:rPr>
            <w:rStyle w:val="Hyperlink"/>
          </w:rPr>
          <w:t xml:space="preserve">HBN 00-02 Sanitary spaces</w:t>
        </w:r>
      </w:hyperlink>
    </w:p>
    <w:p>
      <w:pPr>
        <w:pStyle w:val="ListParagraph"/>
        <w:numPr>
          <w:ilvl w:val="0"/>
          <w:numId w:val="8"/>
        </w:numPr>
      </w:pPr>
      <w:hyperlink r:id="rId6" w:history="1">
        <w:r>
          <w:rPr>
            <w:rStyle w:val="Hyperlink"/>
          </w:rPr>
          <w:t xml:space="preserve">HBN 00-04 Circulation and communication spaces</w:t>
        </w:r>
      </w:hyperlink>
    </w:p>
    <w:p>
      <w:pPr>
        <w:pStyle w:val="ListParagraph"/>
        <w:numPr>
          <w:ilvl w:val="0"/>
          <w:numId w:val="8"/>
        </w:numPr>
      </w:pPr>
      <w:hyperlink r:id="rId7" w:history="1">
        <w:r>
          <w:rPr>
            <w:rStyle w:val="Hyperlink"/>
          </w:rPr>
          <w:t xml:space="preserve">HBN 00-09 Infection control in the built environment</w:t>
        </w:r>
      </w:hyperlink>
    </w:p>
    <w:p>
      <w:pPr>
        <w:pStyle w:val="ListParagraph"/>
        <w:numPr>
          <w:ilvl w:val="0"/>
          <w:numId w:val="8"/>
        </w:numPr>
      </w:pPr>
      <w:hyperlink r:id="rId8" w:history="1">
        <w:r>
          <w:rPr>
            <w:rStyle w:val="Hyperlink"/>
          </w:rPr>
          <w:t xml:space="preserve">HBN 00-10 Part A Flooring</w:t>
        </w:r>
      </w:hyperlink>
    </w:p>
    <w:p>
      <w:pPr>
        <w:pStyle w:val="ListParagraph"/>
        <w:numPr>
          <w:ilvl w:val="0"/>
          <w:numId w:val="8"/>
        </w:numPr>
      </w:pPr>
      <w:hyperlink r:id="rId9" w:history="1">
        <w:r>
          <w:rPr>
            <w:rStyle w:val="Hyperlink"/>
          </w:rPr>
          <w:t xml:space="preserve">HBN 00-10 Part B Walls and ceilings</w:t>
        </w:r>
      </w:hyperlink>
    </w:p>
    <w:p>
      <w:pPr>
        <w:pStyle w:val="ListParagraph"/>
        <w:numPr>
          <w:ilvl w:val="0"/>
          <w:numId w:val="8"/>
        </w:numPr>
      </w:pPr>
      <w:hyperlink r:id="rId10" w:history="1">
        <w:r>
          <w:rPr>
            <w:rStyle w:val="Hyperlink"/>
          </w:rPr>
          <w:t xml:space="preserve">HBN 00-10 Part C Sanitary assemblies</w:t>
        </w:r>
      </w:hyperlink>
    </w:p>
    <w:p>
      <w:pPr>
        <w:pStyle w:val="ListParagraph"/>
        <w:numPr>
          <w:ilvl w:val="0"/>
          <w:numId w:val="8"/>
        </w:numPr>
      </w:pPr>
      <w:hyperlink r:id="rId11" w:history="1">
        <w:r>
          <w:rPr>
            <w:rStyle w:val="Hyperlink"/>
          </w:rPr>
          <w:t xml:space="preserve">HBN 00-10 Part D Windows</w:t>
        </w:r>
      </w:hyperlink>
    </w:p>
    <w:p>
      <w:pPr>
        <w:pStyle w:val="ListParagraph"/>
        <w:numPr>
          <w:ilvl w:val="0"/>
          <w:numId w:val="8"/>
        </w:numPr>
      </w:pPr>
      <w:hyperlink r:id="rId12" w:history="1">
        <w:r>
          <w:rPr>
            <w:rStyle w:val="Hyperlink"/>
          </w:rPr>
          <w:t xml:space="preserve">HBN 03-01 Adult acute mental health units</w:t>
        </w:r>
      </w:hyperlink>
    </w:p>
    <w:p>
      <w:pPr>
        <w:pStyle w:val="ListParagraph"/>
        <w:numPr>
          <w:ilvl w:val="0"/>
          <w:numId w:val="8"/>
        </w:numPr>
      </w:pPr>
      <w:hyperlink r:id="rId13" w:history="1">
        <w:r>
          <w:rPr>
            <w:rStyle w:val="Hyperlink"/>
          </w:rPr>
          <w:t xml:space="preserve">HBN 08-02 Dementia-friendly environments</w:t>
        </w:r>
      </w:hyperlink>
    </w:p>
    <w:p>
      <w:pPr>
        <w:pStyle w:val="ListParagraph"/>
        <w:numPr>
          <w:ilvl w:val="0"/>
          <w:numId w:val="8"/>
        </w:numPr>
      </w:pPr>
      <w:hyperlink r:id="rId14" w:history="1">
        <w:r>
          <w:rPr>
            <w:rStyle w:val="Hyperlink"/>
          </w:rPr>
          <w:t xml:space="preserve">HTM 03-01 Part A Specialised ventilation</w:t>
        </w:r>
      </w:hyperlink>
    </w:p>
    <w:p>
      <w:pPr>
        <w:pStyle w:val="ListParagraph"/>
        <w:numPr>
          <w:ilvl w:val="0"/>
          <w:numId w:val="8"/>
        </w:numPr>
      </w:pPr>
      <w:hyperlink r:id="rId15" w:history="1">
        <w:r>
          <w:rPr>
            <w:rStyle w:val="Hyperlink"/>
          </w:rPr>
          <w:t xml:space="preserve">HTM 04-01 Part A Safe water</w:t>
        </w:r>
      </w:hyperlink>
    </w:p>
    <w:p>
      <w:pPr>
        <w:pStyle w:val="ListParagraph"/>
        <w:numPr>
          <w:ilvl w:val="0"/>
          <w:numId w:val="8"/>
        </w:numPr>
      </w:pPr>
      <w:hyperlink r:id="rId16" w:history="1">
        <w:r>
          <w:rPr>
            <w:rStyle w:val="Hyperlink"/>
          </w:rPr>
          <w:t xml:space="preserve">HTM 05-01 Managing healthcare fire safety (2026)</w:t>
        </w:r>
      </w:hyperlink>
    </w:p>
    <w:p>
      <w:pPr>
        <w:pStyle w:val="ListParagraph"/>
        <w:numPr>
          <w:ilvl w:val="0"/>
          <w:numId w:val="8"/>
        </w:numPr>
      </w:pPr>
      <w:hyperlink r:id="rId17" w:history="1">
        <w:r>
          <w:rPr>
            <w:rStyle w:val="Hyperlink"/>
          </w:rPr>
          <w:t xml:space="preserve">HTM 05-02 Fire safety in the design of healthcare premises</w:t>
        </w:r>
      </w:hyperlink>
    </w:p>
    <w:p>
      <w:pPr>
        <w:pStyle w:val="ListParagraph"/>
        <w:numPr>
          <w:ilvl w:val="0"/>
          <w:numId w:val="8"/>
        </w:numPr>
      </w:pPr>
      <w:hyperlink r:id="rId18" w:history="1">
        <w:r>
          <w:rPr>
            <w:rStyle w:val="Hyperlink"/>
          </w:rPr>
          <w:t xml:space="preserve">HTM 05-03 Part B Fire detection and alarm systems</w:t>
        </w:r>
      </w:hyperlink>
    </w:p>
    <w:p>
      <w:pPr>
        <w:pStyle w:val="ListParagraph"/>
        <w:numPr>
          <w:ilvl w:val="0"/>
          <w:numId w:val="8"/>
        </w:numPr>
      </w:pPr>
      <w:hyperlink r:id="rId19" w:history="1">
        <w:r>
          <w:rPr>
            <w:rStyle w:val="Hyperlink"/>
          </w:rPr>
          <w:t xml:space="preserve">HTM 05-03 Part C Textiles and furnishings</w:t>
        </w:r>
      </w:hyperlink>
    </w:p>
    <w:p>
      <w:pPr>
        <w:pStyle w:val="ListParagraph"/>
        <w:numPr>
          <w:ilvl w:val="0"/>
          <w:numId w:val="8"/>
        </w:numPr>
      </w:pPr>
      <w:hyperlink r:id="rId20" w:history="1">
        <w:r>
          <w:rPr>
            <w:rStyle w:val="Hyperlink"/>
          </w:rPr>
          <w:t xml:space="preserve">HTM 06-01 Electrical services</w:t>
        </w:r>
      </w:hyperlink>
    </w:p>
    <w:p>
      <w:pPr>
        <w:pStyle w:val="ListParagraph"/>
        <w:numPr>
          <w:ilvl w:val="0"/>
          <w:numId w:val="8"/>
        </w:numPr>
      </w:pPr>
      <w:hyperlink r:id="rId21" w:history="1">
        <w:r>
          <w:rPr>
            <w:rStyle w:val="Hyperlink"/>
          </w:rPr>
          <w:t xml:space="preserve">HTM 07-01 Safe and sustainable management of healthcare waste</w:t>
        </w:r>
      </w:hyperlink>
    </w:p>
    <w:p>
      <w:pPr>
        <w:pStyle w:val="ListParagraph"/>
        <w:numPr>
          <w:ilvl w:val="0"/>
          <w:numId w:val="8"/>
        </w:numPr>
      </w:pPr>
      <w:hyperlink r:id="rId22" w:history="1">
        <w:r>
          <w:rPr>
            <w:rStyle w:val="Hyperlink"/>
          </w:rPr>
          <w:t xml:space="preserve">HTM 08-01 Acoustics</w:t>
        </w:r>
      </w:hyperlink>
    </w:p>
    <w:p>
      <w:pPr>
        <w:pStyle w:val="ListParagraph"/>
        <w:numPr>
          <w:ilvl w:val="0"/>
          <w:numId w:val="8"/>
        </w:numPr>
      </w:pPr>
      <w:hyperlink r:id="rId23" w:history="1">
        <w:r>
          <w:rPr>
            <w:rStyle w:val="Hyperlink"/>
          </w:rPr>
          <w:t xml:space="preserve">HTM 08-03 Bedhead services</w:t>
        </w:r>
      </w:hyperlink>
    </w:p>
    <w:p>
      <w:pPr>
        <w:pStyle w:val="ListParagraph"/>
        <w:numPr>
          <w:ilvl w:val="0"/>
          <w:numId w:val="8"/>
        </w:numPr>
      </w:pPr>
      <w:hyperlink r:id="rId24" w:history="1">
        <w:r>
          <w:rPr>
            <w:rStyle w:val="Hyperlink"/>
          </w:rPr>
          <w:t xml:space="preserve">HTM 02-01 Part A Medical gas pipeline systems (2026)</w:t>
        </w:r>
      </w:hyperlink>
    </w:p>
    <w:p>
      <w:pPr>
        <w:pStyle w:val="ListParagraph"/>
        <w:numPr>
          <w:ilvl w:val="0"/>
          <w:numId w:val="8"/>
        </w:numPr>
      </w:pPr>
      <w:hyperlink r:id="rId25" w:history="1">
        <w:r>
          <w:rPr>
            <w:rStyle w:val="Hyperlink"/>
          </w:rPr>
          <w:t xml:space="preserve">Approved Document B Vol 2 (2026 consolidated)</w:t>
        </w:r>
      </w:hyperlink>
    </w:p>
    <w:p>
      <w:pPr>
        <w:pStyle w:val="ListParagraph"/>
        <w:numPr>
          <w:ilvl w:val="0"/>
          <w:numId w:val="8"/>
        </w:numPr>
      </w:pPr>
      <w:hyperlink r:id="rId26" w:history="1">
        <w:r>
          <w:rPr>
            <w:rStyle w:val="Hyperlink"/>
          </w:rPr>
          <w:t xml:space="preserve">Approved Document M Vol 2 (2024 amendments)</w:t>
        </w:r>
      </w:hyperlink>
    </w:p>
    <w:p>
      <w:pPr>
        <w:pStyle w:val="ListParagraph"/>
        <w:numPr>
          <w:ilvl w:val="0"/>
          <w:numId w:val="8"/>
        </w:numPr>
      </w:pPr>
      <w:hyperlink r:id="rId27" w:history="1">
        <w:r>
          <w:rPr>
            <w:rStyle w:val="Hyperlink"/>
          </w:rPr>
          <w:t xml:space="preserve">Approved Document O</w:t>
        </w:r>
      </w:hyperlink>
    </w:p>
    <w:p>
      <w:pPr>
        <w:pStyle w:val="ListParagraph"/>
        <w:numPr>
          <w:ilvl w:val="0"/>
          <w:numId w:val="8"/>
        </w:numPr>
      </w:pPr>
      <w:hyperlink r:id="rId28" w:history="1">
        <w:r>
          <w:rPr>
            <w:rStyle w:val="Hyperlink"/>
          </w:rPr>
          <w:t xml:space="preserve">Fire safety risk assessment: residential care premises</w:t>
        </w:r>
      </w:hyperlink>
    </w:p>
    <w:p>
      <w:pPr>
        <w:pStyle w:val="ListParagraph"/>
        <w:numPr>
          <w:ilvl w:val="0"/>
          <w:numId w:val="8"/>
        </w:numPr>
      </w:pPr>
      <w:hyperlink r:id="rId29" w:history="1">
        <w:r>
          <w:rPr>
            <w:rStyle w:val="Hyperlink"/>
          </w:rPr>
          <w:t xml:space="preserve">HSE HSIS6 Hot water and surfaces in health and social care</w:t>
        </w:r>
      </w:hyperlink>
    </w:p>
    <w:p>
      <w:pPr>
        <w:pStyle w:val="ListParagraph"/>
        <w:numPr>
          <w:ilvl w:val="0"/>
          <w:numId w:val="8"/>
        </w:numPr>
      </w:pPr>
      <w:hyperlink r:id="rId30" w:history="1">
        <w:r>
          <w:rPr>
            <w:rStyle w:val="Hyperlink"/>
          </w:rPr>
          <w:t xml:space="preserve">HSE GEIS2 Assessing slip resistance</w:t>
        </w:r>
      </w:hyperlink>
    </w:p>
    <w:p>
      <w:pPr>
        <w:pStyle w:val="ListParagraph"/>
        <w:numPr>
          <w:ilvl w:val="0"/>
          <w:numId w:val="8"/>
        </w:numPr>
      </w:pPr>
      <w:hyperlink r:id="rId31" w:history="1">
        <w:r>
          <w:rPr>
            <w:rStyle w:val="Hyperlink"/>
          </w:rPr>
          <w:t xml:space="preserve">HSE Falls from windows in health and social care</w:t>
        </w:r>
      </w:hyperlink>
    </w:p>
    <w:p>
      <w:pPr>
        <w:pStyle w:val="ListParagraph"/>
        <w:numPr>
          <w:ilvl w:val="0"/>
          <w:numId w:val="8"/>
        </w:numPr>
      </w:pPr>
      <w:hyperlink r:id="rId32" w:history="1">
        <w:r>
          <w:rPr>
            <w:rStyle w:val="Hyperlink"/>
          </w:rPr>
          <w:t xml:space="preserve">CQC: Reducing harm from ligatures, built environment</w:t>
        </w:r>
      </w:hyperlink>
    </w:p>
    <w:sectPr>
      <w:headerReference w:type="default" r:id="rId33"/>
      <w:pgSz w:w="11906" w:h="16838"/>
      <w:pgMar w:top="1928" w:right="1440" w:bottom="1440" w:left="1440" w:header="567" w:footer="720" w:gutter="0"/>
    </w:sectPr>
  </w:body>
</w:document>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251659264" behindDoc="0" locked="1" layoutInCell="1" allowOverlap="1">
          <wp:simplePos x="0" y="0"/>
          <wp:positionH relativeFrom="page">
            <wp:posOffset>6192310</wp:posOffset>
          </wp:positionH>
          <wp:positionV relativeFrom="page">
            <wp:posOffset>360000</wp:posOffset>
          </wp:positionV>
          <wp:extent cx="1008000" cy="623127"/>
          <wp:effectExtent l="0" t="0" r="0" b="0"/>
          <wp:wrapNone/>
          <wp:docPr id="100" name="Rojo Project logo" descr="Rojo Project logo"/>
          <wp:cNvGraphicFramePr>
            <a:graphicFrameLocks noChangeAspect="1"/>
          </wp:cNvGraphicFramePr>
          <a:graphic>
            <a:graphicData uri="http://schemas.openxmlformats.org/drawingml/2006/picture">
              <pic:pic>
                <pic:nvPicPr>
                  <pic:cNvPr id="100" name="logo.png"/>
                  <pic:cNvPicPr/>
                </pic:nvPicPr>
                <pic:blipFill>
                  <a:blip r:embed="rId1"/>
                  <a:stretch>
                    <a:fillRect/>
                  </a:stretch>
                </pic:blipFill>
                <pic:spPr>
                  <a:xfrm>
                    <a:off x="0" y="0"/>
                    <a:ext cx="1008000" cy="623127"/>
                  </a:xfrm>
                  <a:prstGeom prst="rect">
                    <a:avLst/>
                  </a:prstGeom>
                </pic:spPr>
              </pic:pic>
            </a:graphicData>
          </a:graphic>
        </wp:anchor>
      </w:drawing>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england.nhs.uk/estates/health-building-notes/" TargetMode="External"/><Relationship Id="rId4" Type="http://schemas.openxmlformats.org/officeDocument/2006/relationships/hyperlink" Target="https://www.england.nhs.uk/wp-content/uploads/2009/12/HBN_04-01_Final.pdf" TargetMode="External"/><Relationship Id="rId5" Type="http://schemas.openxmlformats.org/officeDocument/2006/relationships/hyperlink" Target="https://www.england.nhs.uk/wp-content/uploads/2021/05/DH_HBN_0002.pdf" TargetMode="External"/><Relationship Id="rId6" Type="http://schemas.openxmlformats.org/officeDocument/2006/relationships/hyperlink" Target="https://www.england.nhs.uk/wp-content/uploads/2021/05/Health_Building_Note_00-04_-_Circulation_and_communication_spaces_-_updated_April_2013.pdf" TargetMode="External"/><Relationship Id="rId7" Type="http://schemas.openxmlformats.org/officeDocument/2006/relationships/hyperlink" Target="https://www.england.nhs.uk/wp-content/uploads/2021/05/HBN_00-09_infection_control.pdf" TargetMode="External"/><Relationship Id="rId8" Type="http://schemas.openxmlformats.org/officeDocument/2006/relationships/hyperlink" Target="https://www.england.nhs.uk/wp-content/uploads/2021/05/HBN_00-10_Part_A_Final.pdf" TargetMode="External"/><Relationship Id="rId9" Type="http://schemas.openxmlformats.org/officeDocument/2006/relationships/hyperlink" Target="https://www.england.nhs.uk/wp-content/uploads/2021/05/HBN_00-10_Part_B_Final.pdf" TargetMode="External"/><Relationship Id="rId10" Type="http://schemas.openxmlformats.org/officeDocument/2006/relationships/hyperlink" Target="https://www.england.nhs.uk/wp-content/uploads/2021/05/HBN_00-10_Part_C_Final.pdf" TargetMode="External"/><Relationship Id="rId11" Type="http://schemas.openxmlformats.org/officeDocument/2006/relationships/hyperlink" Target="https://www.england.nhs.uk/wp-content/uploads/2021/05/20131223_HBN_00-10_PartD_FINAL_published_version.pdf" TargetMode="External"/><Relationship Id="rId12" Type="http://schemas.openxmlformats.org/officeDocument/2006/relationships/hyperlink" Target="https://www.england.nhs.uk/wp-content/uploads/2021/05/HBN_03-01_Final.pdf" TargetMode="External"/><Relationship Id="rId13" Type="http://schemas.openxmlformats.org/officeDocument/2006/relationships/hyperlink" Target="https://www.england.nhs.uk/wp-content/uploads/2021/05/HBN_08-02-1.pdf" TargetMode="External"/><Relationship Id="rId14" Type="http://schemas.openxmlformats.org/officeDocument/2006/relationships/hyperlink" Target="https://www.england.nhs.uk/wp-content/uploads/2021/05/HTM0301-PartA-accessible-F6.pdf" TargetMode="External"/><Relationship Id="rId15" Type="http://schemas.openxmlformats.org/officeDocument/2006/relationships/hyperlink" Target="https://www.england.nhs.uk/wp-content/uploads/2021/05/DH_HTM_0401_PART_A_acc.pdf" TargetMode="External"/><Relationship Id="rId16" Type="http://schemas.openxmlformats.org/officeDocument/2006/relationships/hyperlink" Target="https://www.england.nhs.uk/wp-content/uploads/2016/07/prn02333-firecode-fire-safety-nhs-health-technical-memorandum-05-01-managing-healthcare-fire-safety-v3.pdf" TargetMode="External"/><Relationship Id="rId17" Type="http://schemas.openxmlformats.org/officeDocument/2006/relationships/hyperlink" Target="https://www.england.nhs.uk/wp-content/uploads/2021/05/HTM_05-02_2015.pdf" TargetMode="External"/><Relationship Id="rId18" Type="http://schemas.openxmlformats.org/officeDocument/2006/relationships/hyperlink" Target="https://www.england.nhs.uk/wp-content/uploads/2008/08/Health-technical-memorandum-05-03-operational-provisions-part-B-fire-detection-and-alarm-systems-including-the.pdf" TargetMode="External"/><Relationship Id="rId19" Type="http://schemas.openxmlformats.org/officeDocument/2006/relationships/hyperlink" Target="https://www.england.nhs.uk/wp-content/uploads/2021/05/HTM_05-03_Part_C.pdf" TargetMode="External"/><Relationship Id="rId20" Type="http://schemas.openxmlformats.org/officeDocument/2006/relationships/hyperlink" Target="https://www.england.nhs.uk/wp-content/uploads/2021/05/Health_tech_memo_0601.pdf" TargetMode="External"/><Relationship Id="rId21" Type="http://schemas.openxmlformats.org/officeDocument/2006/relationships/hyperlink" Target="https://www.england.nhs.uk/wp-content/uploads/2021/05/B2159iii-health-technical-memorandum-07-01.pdf" TargetMode="External"/><Relationship Id="rId22" Type="http://schemas.openxmlformats.org/officeDocument/2006/relationships/hyperlink" Target="https://www.england.nhs.uk/wp-content/uploads/2021/05/HTM_08-01.pdf" TargetMode="External"/><Relationship Id="rId23" Type="http://schemas.openxmlformats.org/officeDocument/2006/relationships/hyperlink" Target="https://www.england.nhs.uk/wp-content/uploads/2021/05/HTM_08-03.pdf" TargetMode="External"/><Relationship Id="rId24" Type="http://schemas.openxmlformats.org/officeDocument/2006/relationships/hyperlink" Target="https://www.england.nhs.uk/wp-content/uploads/2016/05/health-technical-memorandum-02-01-medical-gas-pipeline-systems-part-a-design-installation-validation-verification-aug-2026.pdf" TargetMode="External"/><Relationship Id="rId25" Type="http://schemas.openxmlformats.org/officeDocument/2006/relationships/hyperlink" Target="https://assets.publishing.service.gov.uk/media/6aa3bb7492e72b8ac437f145/AD_B2_2026.pdf" TargetMode="External"/><Relationship Id="rId26" Type="http://schemas.openxmlformats.org/officeDocument/2006/relationships/hyperlink" Target="https://assets.publishing.service.gov.uk/media/66f6c5eec71e42688b65ee11/ADM__V2_with_2024_amendments.pdf" TargetMode="External"/><Relationship Id="rId27" Type="http://schemas.openxmlformats.org/officeDocument/2006/relationships/hyperlink" Target="https://assets.publishing.service.gov.uk/media/6218c5aad3bf7f4f0b29b624/ADO.pdf" TargetMode="External"/><Relationship Id="rId28" Type="http://schemas.openxmlformats.org/officeDocument/2006/relationships/hyperlink" Target="https://www.gov.uk/government/publications/fire-safety-risk-assessment-residential-care-premises" TargetMode="External"/><Relationship Id="rId29" Type="http://schemas.openxmlformats.org/officeDocument/2006/relationships/hyperlink" Target="https://www.hse.gov.uk/pubns/hsis6.pdf" TargetMode="External"/><Relationship Id="rId30" Type="http://schemas.openxmlformats.org/officeDocument/2006/relationships/hyperlink" Target="https://www.hse.gov.uk/pubns/geis2.pdf" TargetMode="External"/><Relationship Id="rId31" Type="http://schemas.openxmlformats.org/officeDocument/2006/relationships/hyperlink" Target="https://www.hse.gov.uk/healthservices/falls-windows.htm" TargetMode="External"/><Relationship Id="rId32" Type="http://schemas.openxmlformats.org/officeDocument/2006/relationships/hyperlink" Target="https://www.cqc.org.uk/guidance-providers/mhforum-ligature-guidance/built-environment" TargetMode="External"/><Relationship Id="rId33"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Employer's Requirements – Rehabilitation Bedroom</dc:title>
  <dc:description/>
  <cp:revision>30</cp:revision>
  <dc:creator/>
  <cp:lastModifiedBy/>
</cp:coreProperties>
</file>