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063A5"/>
          <w:sz w:val="44"/>
        </w:rPr>
        <w:t>Hensel Phelps &amp; Trimble Field Operations Prototype</w:t>
      </w:r>
    </w:p>
    <w:p>
      <w:pPr>
        <w:spacing w:before="0" w:after="280"/>
      </w:pPr>
      <w:r>
        <w:rPr>
          <w:rFonts w:ascii="Calibri" w:hAnsi="Calibri"/>
          <w:color w:val="475569"/>
          <w:sz w:val="28"/>
        </w:rPr>
        <w:t>Architecture, Security &amp; Privacy Brief</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1F5F9"/>
            <w:tcMar>
              <w:top w:w="60" w:type="dxa"/>
              <w:bottom w:w="60" w:type="dxa"/>
              <w:left w:w="100" w:type="dxa"/>
              <w:right w:w="100" w:type="dxa"/>
            </w:tcMar>
          </w:tcPr>
          <w:p>
            <w:pPr>
              <w:spacing w:after="0"/>
            </w:pPr>
            <w:r>
              <w:rPr>
                <w:rFonts w:ascii="Calibri" w:hAnsi="Calibri"/>
                <w:b/>
                <w:color w:val="0F2537"/>
                <w:sz w:val="19"/>
              </w:rPr>
              <w:t>Target Environment</w:t>
            </w:r>
          </w:p>
        </w:tc>
        <w:tc>
          <w:tcPr>
            <w:tcW w:type="dxa" w:w="6192"/>
            <w:shd w:fill="FFFFFF"/>
            <w:tcMar>
              <w:top w:w="60" w:type="dxa"/>
              <w:bottom w:w="60" w:type="dxa"/>
              <w:left w:w="100" w:type="dxa"/>
              <w:right w:w="100" w:type="dxa"/>
            </w:tcMar>
          </w:tcPr>
          <w:p>
            <w:pPr>
              <w:spacing w:after="0"/>
            </w:pPr>
            <w:r>
              <w:rPr>
                <w:rFonts w:ascii="Calibri" w:hAnsi="Calibri"/>
                <w:color w:val="1E293B"/>
                <w:sz w:val="19"/>
              </w:rPr>
              <w:t>https://hp-trimble-lab.com</w:t>
            </w:r>
          </w:p>
        </w:tc>
      </w:tr>
      <w:tr>
        <w:tc>
          <w:tcPr>
            <w:tcW w:type="dxa" w:w="3168"/>
            <w:shd w:fill="F1F5F9"/>
            <w:tcMar>
              <w:top w:w="60" w:type="dxa"/>
              <w:bottom w:w="60" w:type="dxa"/>
              <w:left w:w="100" w:type="dxa"/>
              <w:right w:w="100" w:type="dxa"/>
            </w:tcMar>
          </w:tcPr>
          <w:p>
            <w:pPr>
              <w:spacing w:after="0"/>
            </w:pPr>
            <w:r>
              <w:rPr>
                <w:rFonts w:ascii="Calibri" w:hAnsi="Calibri"/>
                <w:b/>
                <w:color w:val="0F2537"/>
                <w:sz w:val="19"/>
              </w:rPr>
              <w:t>Target Audience</w:t>
            </w:r>
          </w:p>
        </w:tc>
        <w:tc>
          <w:tcPr>
            <w:tcW w:type="dxa" w:w="6192"/>
            <w:shd w:fill="FFFFFF"/>
            <w:tcMar>
              <w:top w:w="60" w:type="dxa"/>
              <w:bottom w:w="60" w:type="dxa"/>
              <w:left w:w="100" w:type="dxa"/>
              <w:right w:w="100" w:type="dxa"/>
            </w:tcMar>
          </w:tcPr>
          <w:p>
            <w:pPr>
              <w:spacing w:after="0"/>
            </w:pPr>
            <w:r>
              <w:rPr>
                <w:rFonts w:ascii="Calibri" w:hAnsi="Calibri"/>
                <w:color w:val="1E293B"/>
                <w:sz w:val="19"/>
              </w:rPr>
              <w:t>Hensel Phelps IT Leadership, Security Officers, Project Stakeholders</w:t>
            </w:r>
          </w:p>
        </w:tc>
      </w:tr>
      <w:tr>
        <w:tc>
          <w:tcPr>
            <w:tcW w:type="dxa" w:w="3168"/>
            <w:shd w:fill="F1F5F9"/>
            <w:tcMar>
              <w:top w:w="60" w:type="dxa"/>
              <w:bottom w:w="60" w:type="dxa"/>
              <w:left w:w="100" w:type="dxa"/>
              <w:right w:w="100" w:type="dxa"/>
            </w:tcMar>
          </w:tcPr>
          <w:p>
            <w:pPr>
              <w:spacing w:after="0"/>
            </w:pPr>
            <w:r>
              <w:rPr>
                <w:rFonts w:ascii="Calibri" w:hAnsi="Calibri"/>
                <w:b/>
                <w:color w:val="0F2537"/>
                <w:sz w:val="19"/>
              </w:rPr>
              <w:t>Date &amp; Status</w:t>
            </w:r>
          </w:p>
        </w:tc>
        <w:tc>
          <w:tcPr>
            <w:tcW w:type="dxa" w:w="6192"/>
            <w:shd w:fill="FFFFFF"/>
            <w:tcMar>
              <w:top w:w="60" w:type="dxa"/>
              <w:bottom w:w="60" w:type="dxa"/>
              <w:left w:w="100" w:type="dxa"/>
              <w:right w:w="100" w:type="dxa"/>
            </w:tcMar>
          </w:tcPr>
          <w:p>
            <w:pPr>
              <w:spacing w:after="0"/>
            </w:pPr>
            <w:r>
              <w:rPr>
                <w:rFonts w:ascii="Calibri" w:hAnsi="Calibri"/>
                <w:color w:val="1E293B"/>
                <w:sz w:val="19"/>
              </w:rPr>
              <w:t>September 2026 | Active Prototype &amp; Evaluation Architecture</w:t>
            </w:r>
          </w:p>
        </w:tc>
      </w:tr>
      <w:tr>
        <w:tc>
          <w:tcPr>
            <w:tcW w:type="dxa" w:w="3168"/>
            <w:shd w:fill="F1F5F9"/>
            <w:tcMar>
              <w:top w:w="60" w:type="dxa"/>
              <w:bottom w:w="60" w:type="dxa"/>
              <w:left w:w="100" w:type="dxa"/>
              <w:right w:w="100" w:type="dxa"/>
            </w:tcMar>
          </w:tcPr>
          <w:p>
            <w:pPr>
              <w:spacing w:after="0"/>
            </w:pPr>
            <w:r>
              <w:rPr>
                <w:rFonts w:ascii="Calibri" w:hAnsi="Calibri"/>
                <w:b/>
                <w:color w:val="0F2537"/>
                <w:sz w:val="19"/>
              </w:rPr>
              <w:t>Companion Diagrams</w:t>
            </w:r>
          </w:p>
        </w:tc>
        <w:tc>
          <w:tcPr>
            <w:tcW w:type="dxa" w:w="6192"/>
            <w:shd w:fill="FFFFFF"/>
            <w:tcMar>
              <w:top w:w="60" w:type="dxa"/>
              <w:bottom w:w="60" w:type="dxa"/>
              <w:left w:w="100" w:type="dxa"/>
              <w:right w:w="100" w:type="dxa"/>
            </w:tcMar>
          </w:tcPr>
          <w:p>
            <w:pPr>
              <w:spacing w:after="0"/>
            </w:pPr>
            <w:r>
              <w:rPr>
                <w:rFonts w:ascii="Calibri" w:hAnsi="Calibri"/>
                <w:color w:val="1E293B"/>
                <w:sz w:val="19"/>
              </w:rPr>
              <w:t>docs/architecture-and-security.drawio (Multi-Page Draw.io Architecture)</w:t>
            </w:r>
          </w:p>
        </w:tc>
      </w:tr>
    </w:tbl>
    <w:p>
      <w:pPr>
        <w:spacing w:after="240"/>
      </w:pPr>
    </w:p>
    <w:p>
      <w:pPr>
        <w:pStyle w:val="Heading1"/>
        <w:keepNext/>
        <w:spacing w:before="320" w:after="120"/>
      </w:pPr>
      <w:r>
        <w:rPr>
          <w:rFonts w:ascii="Calibri" w:hAnsi="Calibri"/>
          <w:b/>
          <w:color w:val="0F2537"/>
          <w:sz w:val="32"/>
        </w:rPr>
        <w:t>1. Executive Summary</w:t>
      </w:r>
    </w:p>
    <w:p>
      <w:pPr>
        <w:spacing w:before="0" w:after="120" w:line="276" w:lineRule="auto"/>
      </w:pPr>
      <w:r>
        <w:rPr>
          <w:rFonts w:ascii="Calibri" w:hAnsi="Calibri"/>
          <w:i w:val="0"/>
          <w:color w:val="1E293B"/>
          <w:sz w:val="21"/>
        </w:rPr>
        <w:t>This document outlines the architectural structure, security boundaries, and data privacy governance of the Hensel Phelps &amp; Trimble Field Operations Prototype hosted at hp-trimble-lab.com. The platform is designed to modernize jobsite reporting and paper document processing while upholding strict enterprise data governance.</w:t>
      </w:r>
    </w:p>
    <w:p>
      <w:pPr>
        <w:spacing w:before="0" w:after="120" w:line="276" w:lineRule="auto"/>
      </w:pPr>
      <w:r>
        <w:rPr>
          <w:rFonts w:ascii="Calibri" w:hAnsi="Calibri"/>
          <w:i w:val="0"/>
          <w:color w:val="1E293B"/>
          <w:sz w:val="21"/>
        </w:rPr>
        <w:t>Key operational objectives include:</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Streamlined Field Intake: Subcontractors submit daily hours, work descriptions, and voice notes via jobsite QR codes on mobile devices without requiring corporate logins.</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Document Digitization: Multimodal AI converts physical paper checklists and punch lists into structured digital records.</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Superdaily Review Matrix: Superintendents and project engineers verify and edit all field records on a unified review dashboard before committing.</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System of Record Integration: All verified records are committed directly into Trimble ProjectSight as the authoritative source of truth.</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063A5"/>
              <w:top w:val="none"/>
              <w:bottom w:val="none"/>
              <w:right w:val="none"/>
            </w:tcBorders>
          </w:tcPr>
          <w:p>
            <w:pPr>
              <w:spacing w:before="40" w:after="40" w:line="276" w:lineRule="auto"/>
            </w:pPr>
            <w:r>
              <w:rPr>
                <w:rFonts w:ascii="Calibri" w:hAnsi="Calibri"/>
                <w:b/>
                <w:color w:val="0063A5"/>
                <w:sz w:val="20"/>
              </w:rPr>
              <w:t xml:space="preserve">Enterprise AI Guarantee: </w:t>
            </w:r>
            <w:r>
              <w:rPr>
                <w:rFonts w:ascii="Calibri" w:hAnsi="Calibri"/>
                <w:color w:val="1E293B"/>
                <w:sz w:val="20"/>
              </w:rPr>
              <w:t>All artificial intelligence processing has been transitioned from public/commercial endpoints to the enterprise Trimble AI (TAAI) Platform. This guarantees zero model training on customer data, ephemeral in-memory processing, and full enterprise compliance isolation.</w:t>
            </w:r>
          </w:p>
        </w:tc>
      </w:tr>
    </w:tbl>
    <w:p>
      <w:pPr>
        <w:spacing w:after="80"/>
      </w:pPr>
    </w:p>
    <w:p>
      <w:pPr>
        <w:pStyle w:val="Heading1"/>
        <w:keepNext/>
        <w:spacing w:before="320" w:after="120"/>
      </w:pPr>
      <w:r>
        <w:rPr>
          <w:rFonts w:ascii="Calibri" w:hAnsi="Calibri"/>
          <w:b/>
          <w:color w:val="0F2537"/>
          <w:sz w:val="32"/>
        </w:rPr>
        <w:t>2. High-Level System Architecture</w:t>
      </w:r>
    </w:p>
    <w:p>
      <w:pPr>
        <w:spacing w:before="0" w:after="120" w:line="276" w:lineRule="auto"/>
      </w:pPr>
      <w:r>
        <w:rPr>
          <w:rFonts w:ascii="Calibri" w:hAnsi="Calibri"/>
          <w:i w:val="0"/>
          <w:color w:val="1E293B"/>
          <w:sz w:val="21"/>
        </w:rPr>
        <w:t>The prototype architecture is structured into four cohesive layers designed for high availability, security, and low-friction field adoption:</w:t>
      </w:r>
    </w:p>
    <w:p>
      <w:pPr>
        <w:pStyle w:val="Heading2"/>
        <w:keepNext/>
        <w:spacing w:before="320" w:after="120"/>
      </w:pPr>
      <w:r>
        <w:rPr>
          <w:rFonts w:ascii="Calibri" w:hAnsi="Calibri"/>
          <w:b/>
          <w:color w:val="0063A5"/>
          <w:sz w:val="26"/>
        </w:rPr>
        <w:t>A. Field &amp; Office Clients</w:t>
      </w:r>
    </w:p>
    <w:p>
      <w:pPr>
        <w:pStyle w:val="ListBullet"/>
        <w:spacing w:before="0" w:after="60" w:line="276" w:lineRule="auto"/>
      </w:pPr>
      <w:r>
        <w:rPr>
          <w:rFonts w:ascii="Calibri" w:hAnsi="Calibri"/>
          <w:b/>
          <w:color w:val="0F2537"/>
          <w:sz w:val="21"/>
        </w:rPr>
        <w:t xml:space="preserve">1. </w:t>
      </w:r>
      <w:r>
        <w:rPr>
          <w:rFonts w:ascii="Calibri" w:hAnsi="Calibri"/>
          <w:color w:val="1E293B"/>
          <w:sz w:val="21"/>
        </w:rPr>
        <w:t>Trade Subcontractors: Mobile-optimized web client accessed on-site via physical QR codes. Subcontractors submit daily labor counts, notes, and progress photos with zero corporate onboarding overhead.</w:t>
      </w:r>
    </w:p>
    <w:p>
      <w:pPr>
        <w:pStyle w:val="ListBullet"/>
        <w:spacing w:before="0" w:after="60" w:line="276" w:lineRule="auto"/>
      </w:pPr>
      <w:r>
        <w:rPr>
          <w:rFonts w:ascii="Calibri" w:hAnsi="Calibri"/>
          <w:b/>
          <w:color w:val="0F2537"/>
          <w:sz w:val="21"/>
        </w:rPr>
        <w:t xml:space="preserve">2. </w:t>
      </w:r>
      <w:r>
        <w:rPr>
          <w:rFonts w:ascii="Calibri" w:hAnsi="Calibri"/>
          <w:color w:val="1E293B"/>
          <w:sz w:val="21"/>
        </w:rPr>
        <w:t>Hensel Phelps Staff: Desktop and tablet web application accessed by superintendents and project engineers. Protected by Trimble Identity (TID) single sign-on with corporate federation.</w:t>
      </w:r>
    </w:p>
    <w:p>
      <w:pPr>
        <w:pStyle w:val="Heading2"/>
        <w:keepNext/>
        <w:spacing w:before="320" w:after="120"/>
      </w:pPr>
      <w:r>
        <w:rPr>
          <w:rFonts w:ascii="Calibri" w:hAnsi="Calibri"/>
          <w:b/>
          <w:color w:val="0063A5"/>
          <w:sz w:val="26"/>
        </w:rPr>
        <w:t>B. Edge &amp; Ingress Tier (hp-trimble-lab.com)</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Automated TLS 1.3 / HTTPS termination managed via reverse proxy (Caddy).</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Enforced HTTP Strict Transport Security (HSTS) with subdomains and preload enabled.</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Tiered IP rate limiting (30 req/min for auth, 60 req/min for intake, 180 req/min general) to prevent denial of service and automated brute forcing.</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Security headers applied on all responses: X-Content-Type-Options: nosniff, X-Frame-Options: SAMEORIGIN, and strict Referrer-Policy.</w:t>
      </w:r>
    </w:p>
    <w:p>
      <w:pPr>
        <w:pStyle w:val="Heading2"/>
        <w:keepNext/>
        <w:spacing w:before="320" w:after="120"/>
      </w:pPr>
      <w:r>
        <w:rPr>
          <w:rFonts w:ascii="Calibri" w:hAnsi="Calibri"/>
          <w:b/>
          <w:color w:val="0063A5"/>
          <w:sz w:val="26"/>
        </w:rPr>
        <w:t>C. Application Tier (Next.js 14)</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Route and auth middleware enforcing session tokens for internal tools while permitting scoped intake routes.</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Daily intake aggregation engine and inspection/punch OCR processing pipelines.</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Operational Staging Store: Encrypted temporary store maintaining uncommitted daily drafts and pending OCR extractions prior to superintendent review.</w:t>
      </w:r>
    </w:p>
    <w:p>
      <w:pPr>
        <w:pStyle w:val="Heading2"/>
        <w:keepNext/>
        <w:spacing w:before="320" w:after="120"/>
      </w:pPr>
      <w:r>
        <w:rPr>
          <w:rFonts w:ascii="Calibri" w:hAnsi="Calibri"/>
          <w:b/>
          <w:color w:val="0063A5"/>
          <w:sz w:val="26"/>
        </w:rPr>
        <w:t>D. Enterprise Integrations &amp; Intelligence Tier</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Trimble Identity (TID): Enterprise OpenID Connect (OIDC) authentication provider supporting corporate SSO and multi-factor authentication (MFA).</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Trimble ProjectSight API: Authoritative corporate System of Record (SoR) receiving finalized daily logs, checklist records (Table 189), and punch items.</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Trimble AI (TAAI) Platform: Enterprise AI gateway providing multimodal vision OCR, speech-to-text transcription, and structured JSON extraction under an enterprise zero-training guarantee.</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063A5"/>
              <w:top w:val="none"/>
              <w:bottom w:val="none"/>
              <w:right w:val="none"/>
            </w:tcBorders>
          </w:tcPr>
          <w:p>
            <w:pPr>
              <w:spacing w:before="40" w:after="40" w:line="276" w:lineRule="auto"/>
            </w:pPr>
            <w:r>
              <w:rPr>
                <w:rFonts w:ascii="Calibri" w:hAnsi="Calibri"/>
                <w:b/>
                <w:color w:val="0063A5"/>
                <w:sz w:val="20"/>
              </w:rPr>
              <w:t xml:space="preserve">Architecture Diagram Reference: </w:t>
            </w:r>
            <w:r>
              <w:rPr>
                <w:rFonts w:ascii="Calibri" w:hAnsi="Calibri"/>
                <w:color w:val="1E293B"/>
                <w:sz w:val="20"/>
              </w:rPr>
              <w:t>For a visual schematic of the system architecture, please see Tab 1 ('1. System Architecture') in the companion docs/architecture-and-security.drawio diagram file.</w:t>
            </w:r>
          </w:p>
        </w:tc>
      </w:tr>
    </w:tbl>
    <w:p>
      <w:pPr>
        <w:spacing w:after="80"/>
      </w:pPr>
    </w:p>
    <w:p>
      <w:pPr>
        <w:pStyle w:val="Heading1"/>
        <w:keepNext/>
        <w:spacing w:before="320" w:after="120"/>
      </w:pPr>
      <w:r>
        <w:rPr>
          <w:rFonts w:ascii="Calibri" w:hAnsi="Calibri"/>
          <w:b/>
          <w:color w:val="0F2537"/>
          <w:sz w:val="32"/>
        </w:rPr>
        <w:t>3. Security Architecture &amp; Trust Boundaries</w:t>
      </w:r>
    </w:p>
    <w:p>
      <w:pPr>
        <w:spacing w:before="0" w:after="120" w:line="276" w:lineRule="auto"/>
      </w:pPr>
      <w:r>
        <w:rPr>
          <w:rFonts w:ascii="Calibri" w:hAnsi="Calibri"/>
          <w:i w:val="0"/>
          <w:color w:val="1E293B"/>
          <w:sz w:val="21"/>
        </w:rPr>
        <w:t>The platform implements four distinct security zones with clear trust boundaries, preventing lateral movement and ensuring subcontractor data segregation: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0063A5"/>
            <w:tcMar>
              <w:top w:w="80" w:type="dxa"/>
              <w:bottom w:w="80" w:type="dxa"/>
              <w:left w:w="100" w:type="dxa"/>
              <w:right w:w="100" w:type="dxa"/>
            </w:tcMar>
          </w:tcPr>
          <w:p>
            <w:r>
              <w:rPr>
                <w:rFonts w:ascii="Calibri" w:hAnsi="Calibri"/>
                <w:b/>
                <w:color w:val="FFFFFF"/>
                <w:sz w:val="19"/>
              </w:rPr>
              <w:t>Security Zone</w:t>
            </w:r>
          </w:p>
        </w:tc>
        <w:tc>
          <w:tcPr>
            <w:tcW w:type="dxa" w:w="2340"/>
            <w:shd w:fill="0063A5"/>
            <w:tcMar>
              <w:top w:w="80" w:type="dxa"/>
              <w:bottom w:w="80" w:type="dxa"/>
              <w:left w:w="100" w:type="dxa"/>
              <w:right w:w="100" w:type="dxa"/>
            </w:tcMar>
          </w:tcPr>
          <w:p>
            <w:r>
              <w:rPr>
                <w:rFonts w:ascii="Calibri" w:hAnsi="Calibri"/>
                <w:b/>
                <w:color w:val="FFFFFF"/>
                <w:sz w:val="19"/>
              </w:rPr>
              <w:t>Actors</w:t>
            </w:r>
          </w:p>
        </w:tc>
        <w:tc>
          <w:tcPr>
            <w:tcW w:type="dxa" w:w="2340"/>
            <w:shd w:fill="0063A5"/>
            <w:tcMar>
              <w:top w:w="80" w:type="dxa"/>
              <w:bottom w:w="80" w:type="dxa"/>
              <w:left w:w="100" w:type="dxa"/>
              <w:right w:w="100" w:type="dxa"/>
            </w:tcMar>
          </w:tcPr>
          <w:p>
            <w:r>
              <w:rPr>
                <w:rFonts w:ascii="Calibri" w:hAnsi="Calibri"/>
                <w:b/>
                <w:color w:val="FFFFFF"/>
                <w:sz w:val="19"/>
              </w:rPr>
              <w:t>Access Scope</w:t>
            </w:r>
          </w:p>
        </w:tc>
        <w:tc>
          <w:tcPr>
            <w:tcW w:type="dxa" w:w="2340"/>
            <w:shd w:fill="0063A5"/>
            <w:tcMar>
              <w:top w:w="80" w:type="dxa"/>
              <w:bottom w:w="80" w:type="dxa"/>
              <w:left w:w="100" w:type="dxa"/>
              <w:right w:w="100" w:type="dxa"/>
            </w:tcMar>
          </w:tcPr>
          <w:p>
            <w:r>
              <w:rPr>
                <w:rFonts w:ascii="Calibri" w:hAnsi="Calibri"/>
                <w:b/>
                <w:color w:val="FFFFFF"/>
                <w:sz w:val="19"/>
              </w:rPr>
              <w:t>Security Controls &amp; Safeguards</w:t>
            </w:r>
          </w:p>
        </w:tc>
      </w:tr>
      <w:tr>
        <w:tc>
          <w:tcPr>
            <w:tcW w:type="dxa" w:w="2160"/>
            <w:shd w:fill="F8FAFC"/>
            <w:tcMar>
              <w:top w:w="70" w:type="dxa"/>
              <w:bottom w:w="70" w:type="dxa"/>
              <w:left w:w="90" w:type="dxa"/>
              <w:right w:w="90" w:type="dxa"/>
            </w:tcMar>
          </w:tcPr>
          <w:p>
            <w:pPr>
              <w:spacing w:after="0"/>
            </w:pPr>
            <w:r>
              <w:rPr>
                <w:rFonts w:ascii="Calibri" w:hAnsi="Calibri"/>
                <w:color w:val="1E293B"/>
                <w:sz w:val="18"/>
              </w:rPr>
              <w:t>Zone 1: Field Intake</w:t>
            </w:r>
          </w:p>
        </w:tc>
        <w:tc>
          <w:tcPr>
            <w:tcW w:type="dxa" w:w="2160"/>
            <w:shd w:fill="F8FAFC"/>
            <w:tcMar>
              <w:top w:w="70" w:type="dxa"/>
              <w:bottom w:w="70" w:type="dxa"/>
              <w:left w:w="90" w:type="dxa"/>
              <w:right w:w="90" w:type="dxa"/>
            </w:tcMar>
          </w:tcPr>
          <w:p>
            <w:pPr>
              <w:spacing w:after="0"/>
            </w:pPr>
            <w:r>
              <w:rPr>
                <w:rFonts w:ascii="Calibri" w:hAnsi="Calibri"/>
                <w:color w:val="1E293B"/>
                <w:sz w:val="18"/>
              </w:rPr>
              <w:t>Trade Subcontractors, Foremen</w:t>
            </w:r>
          </w:p>
        </w:tc>
        <w:tc>
          <w:tcPr>
            <w:tcW w:type="dxa" w:w="2304"/>
            <w:shd w:fill="F8FAFC"/>
            <w:tcMar>
              <w:top w:w="70" w:type="dxa"/>
              <w:bottom w:w="70" w:type="dxa"/>
              <w:left w:w="90" w:type="dxa"/>
              <w:right w:w="90" w:type="dxa"/>
            </w:tcMar>
          </w:tcPr>
          <w:p>
            <w:pPr>
              <w:spacing w:after="0"/>
            </w:pPr>
            <w:r>
              <w:rPr>
                <w:rFonts w:ascii="Calibri" w:hAnsi="Calibri"/>
                <w:color w:val="1E293B"/>
                <w:sz w:val="18"/>
              </w:rPr>
              <w:t>Write-only to /intake/* and assigned project</w:t>
            </w:r>
          </w:p>
        </w:tc>
        <w:tc>
          <w:tcPr>
            <w:tcW w:type="dxa" w:w="3024"/>
            <w:shd w:fill="F8FAFC"/>
            <w:tcMar>
              <w:top w:w="70" w:type="dxa"/>
              <w:bottom w:w="70" w:type="dxa"/>
              <w:left w:w="90" w:type="dxa"/>
              <w:right w:w="90" w:type="dxa"/>
            </w:tcMar>
          </w:tcPr>
          <w:p>
            <w:pPr>
              <w:spacing w:after="0"/>
            </w:pPr>
            <w:r>
              <w:rPr>
                <w:rFonts w:ascii="Calibri" w:hAnsi="Calibri"/>
                <w:color w:val="1E293B"/>
                <w:sz w:val="18"/>
              </w:rPr>
              <w:t>• Scoped to labor &amp; work notes</w:t>
              <w:br/>
              <w:t>• Zero access to peer trade logs</w:t>
              <w:br/>
              <w:t>• Zero access to financials / schedules</w:t>
              <w:br/>
              <w:t>• Rate limited (60 req/min)</w:t>
            </w:r>
          </w:p>
        </w:tc>
      </w:tr>
      <w:tr>
        <w:tc>
          <w:tcPr>
            <w:tcW w:type="dxa" w:w="2160"/>
            <w:shd w:fill="FFFFFF"/>
            <w:tcMar>
              <w:top w:w="70" w:type="dxa"/>
              <w:bottom w:w="70" w:type="dxa"/>
              <w:left w:w="90" w:type="dxa"/>
              <w:right w:w="90" w:type="dxa"/>
            </w:tcMar>
          </w:tcPr>
          <w:p>
            <w:pPr>
              <w:spacing w:after="0"/>
            </w:pPr>
            <w:r>
              <w:rPr>
                <w:rFonts w:ascii="Calibri" w:hAnsi="Calibri"/>
                <w:color w:val="1E293B"/>
                <w:sz w:val="18"/>
              </w:rPr>
              <w:t>Zone 2: Staff Portal</w:t>
            </w:r>
          </w:p>
        </w:tc>
        <w:tc>
          <w:tcPr>
            <w:tcW w:type="dxa" w:w="2160"/>
            <w:shd w:fill="FFFFFF"/>
            <w:tcMar>
              <w:top w:w="70" w:type="dxa"/>
              <w:bottom w:w="70" w:type="dxa"/>
              <w:left w:w="90" w:type="dxa"/>
              <w:right w:w="90" w:type="dxa"/>
            </w:tcMar>
          </w:tcPr>
          <w:p>
            <w:pPr>
              <w:spacing w:after="0"/>
            </w:pPr>
            <w:r>
              <w:rPr>
                <w:rFonts w:ascii="Calibri" w:hAnsi="Calibri"/>
                <w:color w:val="1E293B"/>
                <w:sz w:val="18"/>
              </w:rPr>
              <w:t>Hensel Phelps Superintendents, PEs</w:t>
            </w:r>
          </w:p>
        </w:tc>
        <w:tc>
          <w:tcPr>
            <w:tcW w:type="dxa" w:w="2304"/>
            <w:shd w:fill="FFFFFF"/>
            <w:tcMar>
              <w:top w:w="70" w:type="dxa"/>
              <w:bottom w:w="70" w:type="dxa"/>
              <w:left w:w="90" w:type="dxa"/>
              <w:right w:w="90" w:type="dxa"/>
            </w:tcMar>
          </w:tcPr>
          <w:p>
            <w:pPr>
              <w:spacing w:after="0"/>
            </w:pPr>
            <w:r>
              <w:rPr>
                <w:rFonts w:ascii="Calibri" w:hAnsi="Calibri"/>
                <w:color w:val="1E293B"/>
                <w:sz w:val="18"/>
              </w:rPr>
              <w:t>Full administrative &amp; review portal</w:t>
            </w:r>
          </w:p>
        </w:tc>
        <w:tc>
          <w:tcPr>
            <w:tcW w:type="dxa" w:w="3024"/>
            <w:shd w:fill="FFFFFF"/>
            <w:tcMar>
              <w:top w:w="70" w:type="dxa"/>
              <w:bottom w:w="70" w:type="dxa"/>
              <w:left w:w="90" w:type="dxa"/>
              <w:right w:w="90" w:type="dxa"/>
            </w:tcMar>
          </w:tcPr>
          <w:p>
            <w:pPr>
              <w:spacing w:after="0"/>
            </w:pPr>
            <w:r>
              <w:rPr>
                <w:rFonts w:ascii="Calibri" w:hAnsi="Calibri"/>
                <w:color w:val="1E293B"/>
                <w:sz w:val="18"/>
              </w:rPr>
              <w:t>• Enforced Trimble Identity (TID) SSO</w:t>
              <w:br/>
              <w:t>• Multi-Factor Authentication (MFA)</w:t>
              <w:br/>
              <w:t>• Encrypted HttpOnly session cookies</w:t>
              <w:br/>
              <w:t>• Human-in-the-loop review gate</w:t>
            </w:r>
          </w:p>
        </w:tc>
      </w:tr>
      <w:tr>
        <w:tc>
          <w:tcPr>
            <w:tcW w:type="dxa" w:w="2160"/>
            <w:shd w:fill="F8FAFC"/>
            <w:tcMar>
              <w:top w:w="70" w:type="dxa"/>
              <w:bottom w:w="70" w:type="dxa"/>
              <w:left w:w="90" w:type="dxa"/>
              <w:right w:w="90" w:type="dxa"/>
            </w:tcMar>
          </w:tcPr>
          <w:p>
            <w:pPr>
              <w:spacing w:after="0"/>
            </w:pPr>
            <w:r>
              <w:rPr>
                <w:rFonts w:ascii="Calibri" w:hAnsi="Calibri"/>
                <w:color w:val="1E293B"/>
                <w:sz w:val="18"/>
              </w:rPr>
              <w:t>Zone 3: Application DMZ</w:t>
            </w:r>
          </w:p>
        </w:tc>
        <w:tc>
          <w:tcPr>
            <w:tcW w:type="dxa" w:w="2160"/>
            <w:shd w:fill="F8FAFC"/>
            <w:tcMar>
              <w:top w:w="70" w:type="dxa"/>
              <w:bottom w:w="70" w:type="dxa"/>
              <w:left w:w="90" w:type="dxa"/>
              <w:right w:w="90" w:type="dxa"/>
            </w:tcMar>
          </w:tcPr>
          <w:p>
            <w:pPr>
              <w:spacing w:after="0"/>
            </w:pPr>
            <w:r>
              <w:rPr>
                <w:rFonts w:ascii="Calibri" w:hAnsi="Calibri"/>
                <w:color w:val="1E293B"/>
                <w:sz w:val="18"/>
              </w:rPr>
              <w:t>Next.js Core, Reverse Proxy</w:t>
            </w:r>
          </w:p>
        </w:tc>
        <w:tc>
          <w:tcPr>
            <w:tcW w:type="dxa" w:w="2304"/>
            <w:shd w:fill="F8FAFC"/>
            <w:tcMar>
              <w:top w:w="70" w:type="dxa"/>
              <w:bottom w:w="70" w:type="dxa"/>
              <w:left w:w="90" w:type="dxa"/>
              <w:right w:w="90" w:type="dxa"/>
            </w:tcMar>
          </w:tcPr>
          <w:p>
            <w:pPr>
              <w:spacing w:after="0"/>
            </w:pPr>
            <w:r>
              <w:rPr>
                <w:rFonts w:ascii="Calibri" w:hAnsi="Calibri"/>
                <w:color w:val="1E293B"/>
                <w:sz w:val="18"/>
              </w:rPr>
              <w:t>Request routing &amp; staging cache</w:t>
            </w:r>
          </w:p>
        </w:tc>
        <w:tc>
          <w:tcPr>
            <w:tcW w:type="dxa" w:w="3024"/>
            <w:shd w:fill="F8FAFC"/>
            <w:tcMar>
              <w:top w:w="70" w:type="dxa"/>
              <w:bottom w:w="70" w:type="dxa"/>
              <w:left w:w="90" w:type="dxa"/>
              <w:right w:w="90" w:type="dxa"/>
            </w:tcMar>
          </w:tcPr>
          <w:p>
            <w:pPr>
              <w:spacing w:after="0"/>
            </w:pPr>
            <w:r>
              <w:rPr>
                <w:rFonts w:ascii="Calibri" w:hAnsi="Calibri"/>
                <w:color w:val="1E293B"/>
                <w:sz w:val="18"/>
              </w:rPr>
              <w:t>• Edge TLS 1.3 termination &amp; HSTS</w:t>
              <w:br/>
              <w:t>• CSP, nosniff, SAMEORIGIN headers</w:t>
              <w:br/>
              <w:t>• Ephemeral staging storage (AES-256)</w:t>
              <w:br/>
              <w:t>• Burst rate throttling</w:t>
            </w:r>
          </w:p>
        </w:tc>
      </w:tr>
      <w:tr>
        <w:tc>
          <w:tcPr>
            <w:tcW w:type="dxa" w:w="2160"/>
            <w:shd w:fill="FFFFFF"/>
            <w:tcMar>
              <w:top w:w="70" w:type="dxa"/>
              <w:bottom w:w="70" w:type="dxa"/>
              <w:left w:w="90" w:type="dxa"/>
              <w:right w:w="90" w:type="dxa"/>
            </w:tcMar>
          </w:tcPr>
          <w:p>
            <w:pPr>
              <w:spacing w:after="0"/>
            </w:pPr>
            <w:r>
              <w:rPr>
                <w:rFonts w:ascii="Calibri" w:hAnsi="Calibri"/>
                <w:color w:val="1E293B"/>
                <w:sz w:val="18"/>
              </w:rPr>
              <w:t>Zone 4: Enterprise Boundary</w:t>
            </w:r>
          </w:p>
        </w:tc>
        <w:tc>
          <w:tcPr>
            <w:tcW w:type="dxa" w:w="2160"/>
            <w:shd w:fill="FFFFFF"/>
            <w:tcMar>
              <w:top w:w="70" w:type="dxa"/>
              <w:bottom w:w="70" w:type="dxa"/>
              <w:left w:w="90" w:type="dxa"/>
              <w:right w:w="90" w:type="dxa"/>
            </w:tcMar>
          </w:tcPr>
          <w:p>
            <w:pPr>
              <w:spacing w:after="0"/>
            </w:pPr>
            <w:r>
              <w:rPr>
                <w:rFonts w:ascii="Calibri" w:hAnsi="Calibri"/>
                <w:color w:val="1E293B"/>
                <w:sz w:val="18"/>
              </w:rPr>
              <w:t>ProjectSight API, TAAI Platform</w:t>
            </w:r>
          </w:p>
        </w:tc>
        <w:tc>
          <w:tcPr>
            <w:tcW w:type="dxa" w:w="2304"/>
            <w:shd w:fill="FFFFFF"/>
            <w:tcMar>
              <w:top w:w="70" w:type="dxa"/>
              <w:bottom w:w="70" w:type="dxa"/>
              <w:left w:w="90" w:type="dxa"/>
              <w:right w:w="90" w:type="dxa"/>
            </w:tcMar>
          </w:tcPr>
          <w:p>
            <w:pPr>
              <w:spacing w:after="0"/>
            </w:pPr>
            <w:r>
              <w:rPr>
                <w:rFonts w:ascii="Calibri" w:hAnsi="Calibri"/>
                <w:color w:val="1E293B"/>
                <w:sz w:val="18"/>
              </w:rPr>
              <w:t>System-to-system data exchange</w:t>
            </w:r>
          </w:p>
        </w:tc>
        <w:tc>
          <w:tcPr>
            <w:tcW w:type="dxa" w:w="3024"/>
            <w:shd w:fill="FFFFFF"/>
            <w:tcMar>
              <w:top w:w="70" w:type="dxa"/>
              <w:bottom w:w="70" w:type="dxa"/>
              <w:left w:w="90" w:type="dxa"/>
              <w:right w:w="90" w:type="dxa"/>
            </w:tcMar>
          </w:tcPr>
          <w:p>
            <w:pPr>
              <w:spacing w:after="0"/>
            </w:pPr>
            <w:r>
              <w:rPr>
                <w:rFonts w:ascii="Calibri" w:hAnsi="Calibri"/>
                <w:color w:val="1E293B"/>
                <w:sz w:val="18"/>
              </w:rPr>
              <w:t>• Mutual TLS / HTTPS communication</w:t>
              <w:br/>
              <w:t>• Least-privilege API operator tokens</w:t>
              <w:br/>
              <w:t>• Tenant-isolated AI processing</w:t>
            </w:r>
          </w:p>
        </w:tc>
      </w:tr>
    </w:tbl>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063A5"/>
              <w:top w:val="none"/>
              <w:bottom w:val="none"/>
              <w:right w:val="none"/>
            </w:tcBorders>
          </w:tcPr>
          <w:p>
            <w:pPr>
              <w:spacing w:before="40" w:after="40" w:line="276" w:lineRule="auto"/>
            </w:pPr>
            <w:r>
              <w:rPr>
                <w:rFonts w:ascii="Calibri" w:hAnsi="Calibri"/>
                <w:b/>
                <w:color w:val="0063A5"/>
                <w:sz w:val="20"/>
              </w:rPr>
              <w:t xml:space="preserve">Security Diagram Reference: </w:t>
            </w:r>
            <w:r>
              <w:rPr>
                <w:rFonts w:ascii="Calibri" w:hAnsi="Calibri"/>
                <w:color w:val="1E293B"/>
                <w:sz w:val="20"/>
              </w:rPr>
              <w:t>For a visual zone diagram with traffic flow vectors, please see Tab 2 ('2. Security &amp; Trust Boundaries') in docs/architecture-and-security.drawio.</w:t>
            </w:r>
          </w:p>
        </w:tc>
      </w:tr>
    </w:tbl>
    <w:p>
      <w:pPr>
        <w:spacing w:after="80"/>
      </w:pPr>
    </w:p>
    <w:p>
      <w:pPr>
        <w:pStyle w:val="Heading1"/>
        <w:keepNext/>
        <w:spacing w:before="320" w:after="120"/>
      </w:pPr>
      <w:r>
        <w:rPr>
          <w:rFonts w:ascii="Calibri" w:hAnsi="Calibri"/>
          <w:b/>
          <w:color w:val="0F2537"/>
          <w:sz w:val="32"/>
        </w:rPr>
        <w:t>4. Artificial Intelligence Governance: Trimble AI (TAAI) Platform</w:t>
      </w:r>
    </w:p>
    <w:p>
      <w:pPr>
        <w:spacing w:before="0" w:after="120" w:line="276" w:lineRule="auto"/>
      </w:pPr>
      <w:r>
        <w:rPr>
          <w:rFonts w:ascii="Calibri" w:hAnsi="Calibri"/>
          <w:i w:val="0"/>
          <w:color w:val="1E293B"/>
          <w:sz w:val="21"/>
        </w:rPr>
        <w:t>A primary concern in construction AI deployment is data privacy: ensuring that jobsite photos, proprietary documents, trade contracts, and voice notes are never exposed to public foundation models or used for external model training.</w:t>
      </w:r>
    </w:p>
    <w:p>
      <w:pPr>
        <w:spacing w:before="0" w:after="120" w:line="276" w:lineRule="auto"/>
      </w:pPr>
      <w:r>
        <w:rPr>
          <w:rFonts w:ascii="Calibri" w:hAnsi="Calibri"/>
          <w:i w:val="0"/>
          <w:color w:val="1E293B"/>
          <w:sz w:val="21"/>
        </w:rPr>
        <w:t>To eliminate this risk, the architecture routes all intelligence tasks exclusively through the enterprise Trimble AI (TAAI) Platform, replacing direct consumer-facing APIs: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0063A5"/>
            <w:tcMar>
              <w:top w:w="80" w:type="dxa"/>
              <w:bottom w:w="80" w:type="dxa"/>
              <w:left w:w="100" w:type="dxa"/>
              <w:right w:w="100" w:type="dxa"/>
            </w:tcMar>
          </w:tcPr>
          <w:p>
            <w:r>
              <w:rPr>
                <w:rFonts w:ascii="Calibri" w:hAnsi="Calibri"/>
                <w:b/>
                <w:color w:val="FFFFFF"/>
                <w:sz w:val="19"/>
              </w:rPr>
              <w:t>Governance Dimension</w:t>
            </w:r>
          </w:p>
        </w:tc>
        <w:tc>
          <w:tcPr>
            <w:tcW w:type="dxa" w:w="3120"/>
            <w:shd w:fill="0063A5"/>
            <w:tcMar>
              <w:top w:w="80" w:type="dxa"/>
              <w:bottom w:w="80" w:type="dxa"/>
              <w:left w:w="100" w:type="dxa"/>
              <w:right w:w="100" w:type="dxa"/>
            </w:tcMar>
          </w:tcPr>
          <w:p>
            <w:r>
              <w:rPr>
                <w:rFonts w:ascii="Calibri" w:hAnsi="Calibri"/>
                <w:b/>
                <w:color w:val="FFFFFF"/>
                <w:sz w:val="19"/>
              </w:rPr>
              <w:t>Direct Commercial API (Gemini)</w:t>
            </w:r>
          </w:p>
        </w:tc>
        <w:tc>
          <w:tcPr>
            <w:tcW w:type="dxa" w:w="3120"/>
            <w:shd w:fill="0063A5"/>
            <w:tcMar>
              <w:top w:w="80" w:type="dxa"/>
              <w:bottom w:w="80" w:type="dxa"/>
              <w:left w:w="100" w:type="dxa"/>
              <w:right w:w="100" w:type="dxa"/>
            </w:tcMar>
          </w:tcPr>
          <w:p>
            <w:r>
              <w:rPr>
                <w:rFonts w:ascii="Calibri" w:hAnsi="Calibri"/>
                <w:b/>
                <w:color w:val="FFFFFF"/>
                <w:sz w:val="19"/>
              </w:rPr>
              <w:t>Trimble AI (TAAI) Platform</w:t>
            </w:r>
          </w:p>
        </w:tc>
      </w:tr>
      <w:tr>
        <w:tc>
          <w:tcPr>
            <w:tcW w:type="dxa" w:w="2592"/>
            <w:shd w:fill="F8FAFC"/>
            <w:tcMar>
              <w:top w:w="70" w:type="dxa"/>
              <w:bottom w:w="70" w:type="dxa"/>
              <w:left w:w="90" w:type="dxa"/>
              <w:right w:w="90" w:type="dxa"/>
            </w:tcMar>
          </w:tcPr>
          <w:p>
            <w:pPr>
              <w:spacing w:after="0"/>
            </w:pPr>
            <w:r>
              <w:rPr>
                <w:rFonts w:ascii="Calibri" w:hAnsi="Calibri"/>
                <w:color w:val="1E293B"/>
                <w:sz w:val="18"/>
              </w:rPr>
              <w:t>Customer Data Usage</w:t>
            </w:r>
          </w:p>
        </w:tc>
        <w:tc>
          <w:tcPr>
            <w:tcW w:type="dxa" w:w="3168"/>
            <w:shd w:fill="F8FAFC"/>
            <w:tcMar>
              <w:top w:w="70" w:type="dxa"/>
              <w:bottom w:w="70" w:type="dxa"/>
              <w:left w:w="90" w:type="dxa"/>
              <w:right w:w="90" w:type="dxa"/>
            </w:tcMar>
          </w:tcPr>
          <w:p>
            <w:pPr>
              <w:spacing w:after="0"/>
            </w:pPr>
            <w:r>
              <w:rPr>
                <w:rFonts w:ascii="Calibri" w:hAnsi="Calibri"/>
                <w:color w:val="1E293B"/>
                <w:sz w:val="18"/>
              </w:rPr>
              <w:t>Data may be subject to vendor quality evaluations or model training under standard terms</w:t>
            </w:r>
          </w:p>
        </w:tc>
        <w:tc>
          <w:tcPr>
            <w:tcW w:type="dxa" w:w="3888"/>
            <w:shd w:fill="F8FAFC"/>
            <w:tcMar>
              <w:top w:w="70" w:type="dxa"/>
              <w:bottom w:w="70" w:type="dxa"/>
              <w:left w:w="90" w:type="dxa"/>
              <w:right w:w="90" w:type="dxa"/>
            </w:tcMar>
          </w:tcPr>
          <w:p>
            <w:pPr>
              <w:spacing w:after="0"/>
            </w:pPr>
            <w:r>
              <w:rPr>
                <w:rFonts w:ascii="Calibri" w:hAnsi="Calibri"/>
                <w:color w:val="1E293B"/>
                <w:sz w:val="18"/>
              </w:rPr>
              <w:t>Zero Model Training Guarantee: Customer data is contractually quarantined and never used to train or fine-tune models</w:t>
            </w:r>
          </w:p>
        </w:tc>
      </w:tr>
      <w:tr>
        <w:tc>
          <w:tcPr>
            <w:tcW w:type="dxa" w:w="2592"/>
            <w:shd w:fill="FFFFFF"/>
            <w:tcMar>
              <w:top w:w="70" w:type="dxa"/>
              <w:bottom w:w="70" w:type="dxa"/>
              <w:left w:w="90" w:type="dxa"/>
              <w:right w:w="90" w:type="dxa"/>
            </w:tcMar>
          </w:tcPr>
          <w:p>
            <w:pPr>
              <w:spacing w:after="0"/>
            </w:pPr>
            <w:r>
              <w:rPr>
                <w:rFonts w:ascii="Calibri" w:hAnsi="Calibri"/>
                <w:color w:val="1E293B"/>
                <w:sz w:val="18"/>
              </w:rPr>
              <w:t>Data Retention</w:t>
            </w:r>
          </w:p>
        </w:tc>
        <w:tc>
          <w:tcPr>
            <w:tcW w:type="dxa" w:w="3168"/>
            <w:shd w:fill="FFFFFF"/>
            <w:tcMar>
              <w:top w:w="70" w:type="dxa"/>
              <w:bottom w:w="70" w:type="dxa"/>
              <w:left w:w="90" w:type="dxa"/>
              <w:right w:w="90" w:type="dxa"/>
            </w:tcMar>
          </w:tcPr>
          <w:p>
            <w:pPr>
              <w:spacing w:after="0"/>
            </w:pPr>
            <w:r>
              <w:rPr>
                <w:rFonts w:ascii="Calibri" w:hAnsi="Calibri"/>
                <w:color w:val="1E293B"/>
                <w:sz w:val="18"/>
              </w:rPr>
              <w:t>Vendors often retain prompts and imagery for 30+ days for safety/abuse auditing</w:t>
            </w:r>
          </w:p>
        </w:tc>
        <w:tc>
          <w:tcPr>
            <w:tcW w:type="dxa" w:w="3888"/>
            <w:shd w:fill="FFFFFF"/>
            <w:tcMar>
              <w:top w:w="70" w:type="dxa"/>
              <w:bottom w:w="70" w:type="dxa"/>
              <w:left w:w="90" w:type="dxa"/>
              <w:right w:w="90" w:type="dxa"/>
            </w:tcMar>
          </w:tcPr>
          <w:p>
            <w:pPr>
              <w:spacing w:after="0"/>
            </w:pPr>
            <w:r>
              <w:rPr>
                <w:rFonts w:ascii="Calibri" w:hAnsi="Calibri"/>
                <w:color w:val="1E293B"/>
                <w:sz w:val="18"/>
              </w:rPr>
              <w:t>Ephemeral Processing: Prompts, images, and audio exist in memory only during extraction and are discarded immediately upon response delivery</w:t>
            </w:r>
          </w:p>
        </w:tc>
      </w:tr>
      <w:tr>
        <w:tc>
          <w:tcPr>
            <w:tcW w:type="dxa" w:w="2592"/>
            <w:shd w:fill="F8FAFC"/>
            <w:tcMar>
              <w:top w:w="70" w:type="dxa"/>
              <w:bottom w:w="70" w:type="dxa"/>
              <w:left w:w="90" w:type="dxa"/>
              <w:right w:w="90" w:type="dxa"/>
            </w:tcMar>
          </w:tcPr>
          <w:p>
            <w:pPr>
              <w:spacing w:after="0"/>
            </w:pPr>
            <w:r>
              <w:rPr>
                <w:rFonts w:ascii="Calibri" w:hAnsi="Calibri"/>
                <w:color w:val="1E293B"/>
                <w:sz w:val="18"/>
              </w:rPr>
              <w:t>Infrastructure Boundary</w:t>
            </w:r>
          </w:p>
        </w:tc>
        <w:tc>
          <w:tcPr>
            <w:tcW w:type="dxa" w:w="3168"/>
            <w:shd w:fill="F8FAFC"/>
            <w:tcMar>
              <w:top w:w="70" w:type="dxa"/>
              <w:bottom w:w="70" w:type="dxa"/>
              <w:left w:w="90" w:type="dxa"/>
              <w:right w:w="90" w:type="dxa"/>
            </w:tcMar>
          </w:tcPr>
          <w:p>
            <w:pPr>
              <w:spacing w:after="0"/>
            </w:pPr>
            <w:r>
              <w:rPr>
                <w:rFonts w:ascii="Calibri" w:hAnsi="Calibri"/>
                <w:color w:val="1E293B"/>
                <w:sz w:val="18"/>
              </w:rPr>
              <w:t>Direct connections to external third-party consumer endpoints</w:t>
            </w:r>
          </w:p>
        </w:tc>
        <w:tc>
          <w:tcPr>
            <w:tcW w:type="dxa" w:w="3888"/>
            <w:shd w:fill="F8FAFC"/>
            <w:tcMar>
              <w:top w:w="70" w:type="dxa"/>
              <w:bottom w:w="70" w:type="dxa"/>
              <w:left w:w="90" w:type="dxa"/>
              <w:right w:w="90" w:type="dxa"/>
            </w:tcMar>
          </w:tcPr>
          <w:p>
            <w:pPr>
              <w:spacing w:after="0"/>
            </w:pPr>
            <w:r>
              <w:rPr>
                <w:rFonts w:ascii="Calibri" w:hAnsi="Calibri"/>
                <w:color w:val="1E293B"/>
                <w:sz w:val="18"/>
              </w:rPr>
              <w:t>Managed securely within Trimble's enterprise cloud infrastructure boundary</w:t>
            </w:r>
          </w:p>
        </w:tc>
      </w:tr>
      <w:tr>
        <w:tc>
          <w:tcPr>
            <w:tcW w:type="dxa" w:w="2592"/>
            <w:shd w:fill="FFFFFF"/>
            <w:tcMar>
              <w:top w:w="70" w:type="dxa"/>
              <w:bottom w:w="70" w:type="dxa"/>
              <w:left w:w="90" w:type="dxa"/>
              <w:right w:w="90" w:type="dxa"/>
            </w:tcMar>
          </w:tcPr>
          <w:p>
            <w:pPr>
              <w:spacing w:after="0"/>
            </w:pPr>
            <w:r>
              <w:rPr>
                <w:rFonts w:ascii="Calibri" w:hAnsi="Calibri"/>
                <w:color w:val="1E293B"/>
                <w:sz w:val="18"/>
              </w:rPr>
              <w:t>Security &amp; Compliance</w:t>
            </w:r>
          </w:p>
        </w:tc>
        <w:tc>
          <w:tcPr>
            <w:tcW w:type="dxa" w:w="3168"/>
            <w:shd w:fill="FFFFFF"/>
            <w:tcMar>
              <w:top w:w="70" w:type="dxa"/>
              <w:bottom w:w="70" w:type="dxa"/>
              <w:left w:w="90" w:type="dxa"/>
              <w:right w:w="90" w:type="dxa"/>
            </w:tcMar>
          </w:tcPr>
          <w:p>
            <w:pPr>
              <w:spacing w:after="0"/>
            </w:pPr>
            <w:r>
              <w:rPr>
                <w:rFonts w:ascii="Calibri" w:hAnsi="Calibri"/>
                <w:color w:val="1E293B"/>
                <w:sz w:val="18"/>
              </w:rPr>
              <w:t>Requires independent vendor security assessment</w:t>
            </w:r>
          </w:p>
        </w:tc>
        <w:tc>
          <w:tcPr>
            <w:tcW w:type="dxa" w:w="3888"/>
            <w:shd w:fill="FFFFFF"/>
            <w:tcMar>
              <w:top w:w="70" w:type="dxa"/>
              <w:bottom w:w="70" w:type="dxa"/>
              <w:left w:w="90" w:type="dxa"/>
              <w:right w:w="90" w:type="dxa"/>
            </w:tcMar>
          </w:tcPr>
          <w:p>
            <w:pPr>
              <w:spacing w:after="0"/>
            </w:pPr>
            <w:r>
              <w:rPr>
                <w:rFonts w:ascii="Calibri" w:hAnsi="Calibri"/>
                <w:color w:val="1E293B"/>
                <w:sz w:val="18"/>
              </w:rPr>
              <w:t>Governed under Trimble Enterprise Master Services Agreement (MSA) and SOC 2 Type II audit controls</w:t>
            </w:r>
          </w:p>
        </w:tc>
      </w:tr>
      <w:tr>
        <w:tc>
          <w:tcPr>
            <w:tcW w:type="dxa" w:w="2592"/>
            <w:shd w:fill="F8FAFC"/>
            <w:tcMar>
              <w:top w:w="70" w:type="dxa"/>
              <w:bottom w:w="70" w:type="dxa"/>
              <w:left w:w="90" w:type="dxa"/>
              <w:right w:w="90" w:type="dxa"/>
            </w:tcMar>
          </w:tcPr>
          <w:p>
            <w:pPr>
              <w:spacing w:after="0"/>
            </w:pPr>
            <w:r>
              <w:rPr>
                <w:rFonts w:ascii="Calibri" w:hAnsi="Calibri"/>
                <w:color w:val="1E293B"/>
                <w:sz w:val="18"/>
              </w:rPr>
              <w:t>Credential Management</w:t>
            </w:r>
          </w:p>
        </w:tc>
        <w:tc>
          <w:tcPr>
            <w:tcW w:type="dxa" w:w="3168"/>
            <w:shd w:fill="F8FAFC"/>
            <w:tcMar>
              <w:top w:w="70" w:type="dxa"/>
              <w:bottom w:w="70" w:type="dxa"/>
              <w:left w:w="90" w:type="dxa"/>
              <w:right w:w="90" w:type="dxa"/>
            </w:tcMar>
          </w:tcPr>
          <w:p>
            <w:pPr>
              <w:spacing w:after="0"/>
            </w:pPr>
            <w:r>
              <w:rPr>
                <w:rFonts w:ascii="Calibri" w:hAnsi="Calibri"/>
                <w:color w:val="1E293B"/>
                <w:sz w:val="18"/>
              </w:rPr>
              <w:t>Static API keys managed across application environments</w:t>
            </w:r>
          </w:p>
        </w:tc>
        <w:tc>
          <w:tcPr>
            <w:tcW w:type="dxa" w:w="3888"/>
            <w:shd w:fill="F8FAFC"/>
            <w:tcMar>
              <w:top w:w="70" w:type="dxa"/>
              <w:bottom w:w="70" w:type="dxa"/>
              <w:left w:w="90" w:type="dxa"/>
              <w:right w:w="90" w:type="dxa"/>
            </w:tcMar>
          </w:tcPr>
          <w:p>
            <w:pPr>
              <w:spacing w:after="0"/>
            </w:pPr>
            <w:r>
              <w:rPr>
                <w:rFonts w:ascii="Calibri" w:hAnsi="Calibri"/>
                <w:color w:val="1E293B"/>
                <w:sz w:val="18"/>
              </w:rPr>
              <w:t>Centralized enterprise token exchange, automatic credential rotation, and tenant audit logging</w:t>
            </w:r>
          </w:p>
        </w:tc>
      </w:tr>
    </w:tbl>
    <w:p>
      <w:pPr>
        <w:pStyle w:val="Heading2"/>
        <w:keepNext/>
        <w:spacing w:before="320" w:after="120"/>
      </w:pPr>
      <w:r>
        <w:rPr>
          <w:rFonts w:ascii="Calibri" w:hAnsi="Calibri"/>
          <w:b/>
          <w:color w:val="0063A5"/>
          <w:sz w:val="26"/>
        </w:rPr>
        <w:t>Human-in-the-Loop (HITL) Verification Principle</w:t>
      </w:r>
    </w:p>
    <w:p>
      <w:pPr>
        <w:spacing w:before="0" w:after="120" w:line="276" w:lineRule="auto"/>
      </w:pPr>
      <w:r>
        <w:rPr>
          <w:rFonts w:ascii="Calibri" w:hAnsi="Calibri"/>
          <w:i w:val="0"/>
          <w:color w:val="1E293B"/>
          <w:sz w:val="21"/>
        </w:rPr>
        <w:t>The application strictly enforces a human-in-the-loop design pattern across all automated extraction workflows:</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Suggested Drafts Only: AI extraction outputs (checklist row classifications, pass/fail statuses, punch item descriptions) are treated strictly as uncommitted drafts.</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Side-by-Side Verification: Project engineers and superintendents inspect the original uploaded document side-by-side with the extracted form fields in an interactive verification drawer.</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Manual Overrides &amp; Approval: Staff can correct any field, change row statuses, or discard false detections. No record is written to ProjectSight until a user clicks 'Approve &amp; Commit'.</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Full Auditability: Every committed record logs the timestamp, approving staff identity, and original intake source.</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063A5"/>
              <w:top w:val="none"/>
              <w:bottom w:val="none"/>
              <w:right w:val="none"/>
            </w:tcBorders>
          </w:tcPr>
          <w:p>
            <w:pPr>
              <w:spacing w:before="40" w:after="40" w:line="276" w:lineRule="auto"/>
            </w:pPr>
            <w:r>
              <w:rPr>
                <w:rFonts w:ascii="Calibri" w:hAnsi="Calibri"/>
                <w:b/>
                <w:color w:val="0063A5"/>
                <w:sz w:val="20"/>
              </w:rPr>
              <w:t xml:space="preserve">Extraction Sequence Reference: </w:t>
            </w:r>
            <w:r>
              <w:rPr>
                <w:rFonts w:ascii="Calibri" w:hAnsi="Calibri"/>
                <w:color w:val="1E293B"/>
                <w:sz w:val="20"/>
              </w:rPr>
              <w:t>For the end-to-end extraction sequence diagram, please see Tab 3 ('3. AI Extraction Data Flow') in docs/architecture-and-security.drawio.</w:t>
            </w:r>
          </w:p>
        </w:tc>
      </w:tr>
    </w:tbl>
    <w:p>
      <w:pPr>
        <w:spacing w:after="80"/>
      </w:pPr>
    </w:p>
    <w:p>
      <w:pPr>
        <w:pStyle w:val="Heading1"/>
        <w:keepNext/>
        <w:spacing w:before="320" w:after="120"/>
      </w:pPr>
      <w:r>
        <w:rPr>
          <w:rFonts w:ascii="Calibri" w:hAnsi="Calibri"/>
          <w:b/>
          <w:color w:val="0F2537"/>
          <w:sz w:val="32"/>
        </w:rPr>
        <w:t>5. Data Privacy &amp; Confidentiality Controls</w:t>
      </w:r>
    </w:p>
    <w:p>
      <w:pPr>
        <w:pStyle w:val="Heading2"/>
        <w:keepNext/>
        <w:spacing w:before="320" w:after="120"/>
      </w:pPr>
      <w:r>
        <w:rPr>
          <w:rFonts w:ascii="Calibri" w:hAnsi="Calibri"/>
          <w:b/>
          <w:color w:val="0063A5"/>
          <w:sz w:val="26"/>
        </w:rPr>
        <w:t>Customer Data Ownership</w:t>
      </w:r>
    </w:p>
    <w:p>
      <w:pPr>
        <w:spacing w:before="0" w:after="120" w:line="276" w:lineRule="auto"/>
      </w:pPr>
      <w:r>
        <w:rPr>
          <w:rFonts w:ascii="Calibri" w:hAnsi="Calibri"/>
          <w:i w:val="0"/>
          <w:color w:val="1E293B"/>
          <w:sz w:val="21"/>
        </w:rPr>
        <w:t>Hensel Phelps maintains 100% legal ownership of all project data, including uploaded photos, daily logs, subcontractor worker counts, voice transcripts, and checklist forms. Trimble serves as the data processor; customer data is never sold, licensed, or monetized.</w:t>
      </w:r>
    </w:p>
    <w:p>
      <w:pPr>
        <w:pStyle w:val="Heading2"/>
        <w:keepNext/>
        <w:spacing w:before="320" w:after="120"/>
      </w:pPr>
      <w:r>
        <w:rPr>
          <w:rFonts w:ascii="Calibri" w:hAnsi="Calibri"/>
          <w:b/>
          <w:color w:val="0063A5"/>
          <w:sz w:val="26"/>
        </w:rPr>
        <w:t>Trade-to-Trade Isolation</w:t>
      </w:r>
    </w:p>
    <w:p>
      <w:pPr>
        <w:spacing w:before="0" w:after="120" w:line="276" w:lineRule="auto"/>
      </w:pPr>
      <w:r>
        <w:rPr>
          <w:rFonts w:ascii="Calibri" w:hAnsi="Calibri"/>
          <w:i w:val="0"/>
          <w:color w:val="1E293B"/>
          <w:sz w:val="21"/>
        </w:rPr>
        <w:t>On commercial jobsites, subcontractors often compete on active or future bids. The field intake interface enforces complete tenant and trade isolation:</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Subcontractors access only their own designated intake form via QR code.</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Subcontractors cannot query or view hours, headcounts, notes, or issues reported by other trades.</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Subcontractors have zero visibility into overall project budgets, critical path schedules, or internal superintendent notes.</w:t>
      </w:r>
    </w:p>
    <w:p>
      <w:pPr>
        <w:pStyle w:val="Heading2"/>
        <w:keepNext/>
        <w:spacing w:before="320" w:after="120"/>
      </w:pPr>
      <w:r>
        <w:rPr>
          <w:rFonts w:ascii="Calibri" w:hAnsi="Calibri"/>
          <w:b/>
          <w:color w:val="0063A5"/>
          <w:sz w:val="26"/>
        </w:rPr>
        <w:t>Encryption Standards</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Data in Transit: Enforced TLS 1.3 / HTTPS encryption across all client-to-server and server-to-API communication. Insecure HTTP requests are blocked or redirected with permanent 301/308 status codes.</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Data at Rest: Operational staging caches and persistent storage are encrypted using AES-256.</w:t>
      </w:r>
    </w:p>
    <w:p>
      <w:pPr>
        <w:pStyle w:val="Heading2"/>
        <w:keepNext/>
        <w:spacing w:before="320" w:after="120"/>
      </w:pPr>
      <w:r>
        <w:rPr>
          <w:rFonts w:ascii="Calibri" w:hAnsi="Calibri"/>
          <w:b/>
          <w:color w:val="0063A5"/>
          <w:sz w:val="26"/>
        </w:rPr>
        <w:t>Rate Limiting &amp; Abuse Prevention</w:t>
      </w:r>
    </w:p>
    <w:p>
      <w:pPr>
        <w:spacing w:before="0" w:after="120" w:line="276" w:lineRule="auto"/>
      </w:pPr>
      <w:r>
        <w:rPr>
          <w:rFonts w:ascii="Calibri" w:hAnsi="Calibri"/>
          <w:i w:val="0"/>
          <w:color w:val="1E293B"/>
          <w:sz w:val="21"/>
        </w:rPr>
        <w:t>To protect against credential stuffing, automated scraping, and denial-of-service, the edge middleware enforces IP-based rate limiting:</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Authentication Endpoints (/api/auth/*, /login): 30 requests per minute per IP.</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Field Intake Endpoints (/api/intake/*, /api/dailyreports): 60 requests per minute per IP.</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General Web Application Traffic: 180 requests per minute per IP.</w:t>
      </w:r>
    </w:p>
    <w:p>
      <w:pPr>
        <w:pStyle w:val="Heading1"/>
        <w:keepNext/>
        <w:spacing w:before="320" w:after="120"/>
      </w:pPr>
      <w:r>
        <w:rPr>
          <w:rFonts w:ascii="Calibri" w:hAnsi="Calibri"/>
          <w:b/>
          <w:color w:val="0F2537"/>
          <w:sz w:val="32"/>
        </w:rPr>
        <w:t>6. Enterprise Integration with Trimble ProjectSight</w:t>
      </w:r>
    </w:p>
    <w:p>
      <w:pPr>
        <w:spacing w:before="0" w:after="120" w:line="276" w:lineRule="auto"/>
      </w:pPr>
      <w:r>
        <w:rPr>
          <w:rFonts w:ascii="Calibri" w:hAnsi="Calibri"/>
          <w:i w:val="0"/>
          <w:color w:val="1E293B"/>
          <w:sz w:val="21"/>
        </w:rPr>
        <w:t>Trimble ProjectSight remains the single authoritative System of Record (SoR) for Hensel Phelps. The prototype operates as a high-speed edge capture interface that enriches ProjectSight without fragmenting corporate data:</w:t>
      </w:r>
    </w:p>
    <w:p>
      <w:pPr>
        <w:pStyle w:val="ListBullet"/>
        <w:spacing w:before="0" w:after="60" w:line="276" w:lineRule="auto"/>
      </w:pPr>
      <w:r>
        <w:rPr>
          <w:rFonts w:ascii="Calibri" w:hAnsi="Calibri"/>
          <w:b/>
          <w:color w:val="0F2537"/>
          <w:sz w:val="21"/>
        </w:rPr>
        <w:t xml:space="preserve">1. </w:t>
      </w:r>
      <w:r>
        <w:rPr>
          <w:rFonts w:ascii="Calibri" w:hAnsi="Calibri"/>
          <w:color w:val="1E293B"/>
          <w:sz w:val="21"/>
        </w:rPr>
        <w:t>Project Directory Ingestion: The prototype reads active projects, company directories, and subcontractor assignments directly from ProjectSight.</w:t>
      </w:r>
    </w:p>
    <w:p>
      <w:pPr>
        <w:pStyle w:val="ListBullet"/>
        <w:spacing w:before="0" w:after="60" w:line="276" w:lineRule="auto"/>
      </w:pPr>
      <w:r>
        <w:rPr>
          <w:rFonts w:ascii="Calibri" w:hAnsi="Calibri"/>
          <w:b/>
          <w:color w:val="0F2537"/>
          <w:sz w:val="21"/>
        </w:rPr>
        <w:t xml:space="preserve">2. </w:t>
      </w:r>
      <w:r>
        <w:rPr>
          <w:rFonts w:ascii="Calibri" w:hAnsi="Calibri"/>
          <w:color w:val="1E293B"/>
          <w:sz w:val="21"/>
        </w:rPr>
        <w:t>Standardized Daily Reports: Approved daily logs are compiled into standardized ProjectSight Daily Reports, recording weather data, workforce counts, and detailed work descriptions.</w:t>
      </w:r>
    </w:p>
    <w:p>
      <w:pPr>
        <w:pStyle w:val="ListBullet"/>
        <w:spacing w:before="0" w:after="60" w:line="276" w:lineRule="auto"/>
      </w:pPr>
      <w:r>
        <w:rPr>
          <w:rFonts w:ascii="Calibri" w:hAnsi="Calibri"/>
          <w:b/>
          <w:color w:val="0F2537"/>
          <w:sz w:val="21"/>
        </w:rPr>
        <w:t xml:space="preserve">3. </w:t>
      </w:r>
      <w:r>
        <w:rPr>
          <w:rFonts w:ascii="Calibri" w:hAnsi="Calibri"/>
          <w:color w:val="1E293B"/>
          <w:sz w:val="21"/>
        </w:rPr>
        <w:t>Inspection Checklists: Scanned physical checklist forms map directly to ProjectSight Checklist tables (TableType 189), preserving item statuses (Pass/Fail/NA), notes, and sort orders.</w:t>
      </w:r>
    </w:p>
    <w:p>
      <w:pPr>
        <w:pStyle w:val="ListBullet"/>
        <w:spacing w:before="0" w:after="60" w:line="276" w:lineRule="auto"/>
      </w:pPr>
      <w:r>
        <w:rPr>
          <w:rFonts w:ascii="Calibri" w:hAnsi="Calibri"/>
          <w:b/>
          <w:color w:val="0F2537"/>
          <w:sz w:val="21"/>
        </w:rPr>
        <w:t xml:space="preserve">4. </w:t>
      </w:r>
      <w:r>
        <w:rPr>
          <w:rFonts w:ascii="Calibri" w:hAnsi="Calibri"/>
          <w:color w:val="1E293B"/>
          <w:sz w:val="21"/>
        </w:rPr>
        <w:t>Punch Lists: Field-identified punch items are synchronized directly to ProjectSight Punch Lists with assigned trade contractors, locations, and priority levels.</w:t>
      </w:r>
    </w:p>
    <w:p>
      <w:pPr>
        <w:pStyle w:val="Heading1"/>
        <w:keepNext/>
        <w:spacing w:before="320" w:after="120"/>
      </w:pPr>
      <w:r>
        <w:rPr>
          <w:rFonts w:ascii="Calibri" w:hAnsi="Calibri"/>
          <w:b/>
          <w:color w:val="0F2537"/>
          <w:sz w:val="32"/>
        </w:rPr>
        <w:t>7. Frequently Asked Questions (FAQ) for Security &amp; IT</w:t>
      </w:r>
    </w:p>
    <w:p>
      <w:pPr>
        <w:spacing w:before="0" w:after="40" w:line="276" w:lineRule="auto"/>
      </w:pPr>
      <w:r>
        <w:rPr>
          <w:rFonts w:ascii="Calibri" w:hAnsi="Calibri"/>
          <w:i/>
          <w:color w:val="1E293B"/>
          <w:sz w:val="21"/>
        </w:rPr>
        <w:t>Q1: Does the AI model retain Hensel Phelps jobsite photos or voice recordings?</w:t>
      </w:r>
    </w:p>
    <w:p>
      <w:pPr>
        <w:spacing w:before="0" w:after="160" w:line="276" w:lineRule="auto"/>
      </w:pPr>
      <w:r>
        <w:rPr>
          <w:rFonts w:ascii="Calibri" w:hAnsi="Calibri"/>
          <w:b/>
          <w:color w:val="0F2537"/>
          <w:sz w:val="21"/>
        </w:rPr>
        <w:t xml:space="preserve">Answer: </w:t>
      </w:r>
      <w:r>
        <w:rPr>
          <w:rFonts w:ascii="Calibri" w:hAnsi="Calibri"/>
          <w:i w:val="0"/>
          <w:color w:val="1E293B"/>
          <w:sz w:val="21"/>
        </w:rPr>
        <w:t>No. All AI processing is routed through the enterprise Trimble AI (TAAI) Platform. Imagery and audio buffers are processed ephemerally in volatile memory to generate structured JSON outputs and are released immediately upon completion.</w:t>
      </w:r>
    </w:p>
    <w:p>
      <w:pPr>
        <w:spacing w:before="0" w:after="40" w:line="276" w:lineRule="auto"/>
      </w:pPr>
      <w:r>
        <w:rPr>
          <w:rFonts w:ascii="Calibri" w:hAnsi="Calibri"/>
          <w:i/>
          <w:color w:val="1E293B"/>
          <w:sz w:val="21"/>
        </w:rPr>
        <w:t>Q2: Can trade contractors access internal Hensel Phelps project information through the QR code?</w:t>
      </w:r>
    </w:p>
    <w:p>
      <w:pPr>
        <w:spacing w:before="0" w:after="160" w:line="276" w:lineRule="auto"/>
      </w:pPr>
      <w:r>
        <w:rPr>
          <w:rFonts w:ascii="Calibri" w:hAnsi="Calibri"/>
          <w:b/>
          <w:color w:val="0F2537"/>
          <w:sz w:val="21"/>
        </w:rPr>
        <w:t xml:space="preserve">Answer: </w:t>
      </w:r>
      <w:r>
        <w:rPr>
          <w:rFonts w:ascii="Calibri" w:hAnsi="Calibri"/>
          <w:i w:val="0"/>
          <w:color w:val="1E293B"/>
          <w:sz w:val="21"/>
        </w:rPr>
        <w:t>No. The QR code links to a public, write-only intake interface scoped strictly to that trade's daily submission. Subcontractors cannot access the management dashboard, peer trade data, project financials, or internal staff logs.</w:t>
      </w:r>
    </w:p>
    <w:p>
      <w:pPr>
        <w:spacing w:before="0" w:after="40" w:line="276" w:lineRule="auto"/>
      </w:pPr>
      <w:r>
        <w:rPr>
          <w:rFonts w:ascii="Calibri" w:hAnsi="Calibri"/>
          <w:i/>
          <w:color w:val="1E293B"/>
          <w:sz w:val="21"/>
        </w:rPr>
        <w:t>Q3: How are Hensel Phelps employee accounts authenticated?</w:t>
      </w:r>
    </w:p>
    <w:p>
      <w:pPr>
        <w:spacing w:before="0" w:after="160" w:line="276" w:lineRule="auto"/>
      </w:pPr>
      <w:r>
        <w:rPr>
          <w:rFonts w:ascii="Calibri" w:hAnsi="Calibri"/>
          <w:b/>
          <w:color w:val="0F2537"/>
          <w:sz w:val="21"/>
        </w:rPr>
        <w:t xml:space="preserve">Answer: </w:t>
      </w:r>
      <w:r>
        <w:rPr>
          <w:rFonts w:ascii="Calibri" w:hAnsi="Calibri"/>
          <w:i w:val="0"/>
          <w:color w:val="1E293B"/>
          <w:sz w:val="21"/>
        </w:rPr>
        <w:t>Hensel Phelps personnel authenticate through Trimble Identity (TID), which supports corporate federated Single Sign-On (SSO) and enforces company multi-factor authentication (MFA) policies.</w:t>
      </w:r>
    </w:p>
    <w:p>
      <w:pPr>
        <w:spacing w:before="0" w:after="40" w:line="276" w:lineRule="auto"/>
      </w:pPr>
      <w:r>
        <w:rPr>
          <w:rFonts w:ascii="Calibri" w:hAnsi="Calibri"/>
          <w:i/>
          <w:color w:val="1E293B"/>
          <w:sz w:val="21"/>
        </w:rPr>
        <w:t>Q4: What happens if the AI misinterprets an item during document OCR?</w:t>
      </w:r>
    </w:p>
    <w:p>
      <w:pPr>
        <w:spacing w:before="0" w:after="160" w:line="276" w:lineRule="auto"/>
      </w:pPr>
      <w:r>
        <w:rPr>
          <w:rFonts w:ascii="Calibri" w:hAnsi="Calibri"/>
          <w:b/>
          <w:color w:val="0F2537"/>
          <w:sz w:val="21"/>
        </w:rPr>
        <w:t xml:space="preserve">Answer: </w:t>
      </w:r>
      <w:r>
        <w:rPr>
          <w:rFonts w:ascii="Calibri" w:hAnsi="Calibri"/>
          <w:i w:val="0"/>
          <w:color w:val="1E293B"/>
          <w:sz w:val="21"/>
        </w:rPr>
        <w:t>The platform enforces strict human-in-the-loop review. AI extractions are displayed in a side-by-side verification drawer where superintendents can review the original image, correct any fields, and approve records before committing to ProjectSight.</w:t>
      </w:r>
    </w:p>
    <w:p>
      <w:pPr>
        <w:spacing w:before="0" w:after="40" w:line="276" w:lineRule="auto"/>
      </w:pPr>
      <w:r>
        <w:rPr>
          <w:rFonts w:ascii="Calibri" w:hAnsi="Calibri"/>
          <w:i/>
          <w:color w:val="1E293B"/>
          <w:sz w:val="21"/>
        </w:rPr>
        <w:t>Q5: What are the transport security specifications for hp-trimble-lab.com?</w:t>
      </w:r>
    </w:p>
    <w:p>
      <w:pPr>
        <w:spacing w:before="0" w:after="160" w:line="276" w:lineRule="auto"/>
      </w:pPr>
      <w:r>
        <w:rPr>
          <w:rFonts w:ascii="Calibri" w:hAnsi="Calibri"/>
          <w:b/>
          <w:color w:val="0F2537"/>
          <w:sz w:val="21"/>
        </w:rPr>
        <w:t xml:space="preserve">Answer: </w:t>
      </w:r>
      <w:r>
        <w:rPr>
          <w:rFonts w:ascii="Calibri" w:hAnsi="Calibri"/>
          <w:i w:val="0"/>
          <w:color w:val="1E293B"/>
          <w:sz w:val="21"/>
        </w:rPr>
        <w:t>The domain enforces TLS 1.3 encryption with modern cipher suites, HTTP Strict Transport Security (HSTS) with subdomains and preload, X-Content-Type-Options: nosniff, and X-Frame-Options: SAMEORIGIN.</w:t>
      </w:r>
    </w:p>
    <w:p>
      <w:pPr>
        <w:pStyle w:val="Heading1"/>
        <w:keepNext/>
        <w:spacing w:before="320" w:after="120"/>
      </w:pPr>
      <w:r>
        <w:rPr>
          <w:rFonts w:ascii="Calibri" w:hAnsi="Calibri"/>
          <w:b/>
          <w:color w:val="0F2537"/>
          <w:sz w:val="32"/>
        </w:rPr>
        <w:t>8. Summary &amp; Next Steps</w:t>
      </w:r>
    </w:p>
    <w:p>
      <w:pPr>
        <w:spacing w:before="0" w:after="120" w:line="276" w:lineRule="auto"/>
      </w:pPr>
      <w:r>
        <w:rPr>
          <w:rFonts w:ascii="Calibri" w:hAnsi="Calibri"/>
          <w:i w:val="0"/>
          <w:color w:val="1E293B"/>
          <w:sz w:val="21"/>
        </w:rPr>
        <w:t>The Hensel Phelps &amp; Trimble Field Operations Prototype demonstrates how modern AI and mobile workflows can dramatically accelerate field reporting while maintaining enterprise-grade security and data privacy:</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Trimble AI (TAAI) Platform provides full enterprise data protection with zero model training.</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Trimble Identity (TID) delivers enterprise SSO and identity governance.</w:t>
      </w:r>
    </w:p>
    <w:p>
      <w:pPr>
        <w:pStyle w:val="ListBullet"/>
        <w:spacing w:before="0" w:after="60" w:line="276" w:lineRule="auto"/>
      </w:pPr>
      <w:r>
        <w:rPr>
          <w:rFonts w:ascii="Calibri" w:hAnsi="Calibri"/>
          <w:b/>
          <w:color w:val="0F2537"/>
          <w:sz w:val="21"/>
        </w:rPr>
        <w:t xml:space="preserve">• </w:t>
      </w:r>
      <w:r>
        <w:rPr>
          <w:rFonts w:ascii="Calibri" w:hAnsi="Calibri"/>
          <w:color w:val="1E293B"/>
          <w:sz w:val="21"/>
        </w:rPr>
        <w:t>ProjectSight maintains a single, audited System of Record for all jobsite operations.</w:t>
      </w:r>
    </w:p>
    <w:p>
      <w:pPr>
        <w:spacing w:before="0" w:after="120" w:line="276" w:lineRule="auto"/>
      </w:pPr>
      <w:r>
        <w:rPr>
          <w:rFonts w:ascii="Calibri" w:hAnsi="Calibri"/>
          <w:i w:val="0"/>
          <w:color w:val="1E293B"/>
          <w:sz w:val="21"/>
        </w:rPr>
        <w:t>Trimble looks forward to reviewing these controls with Hensel Phelps IT and security leadership as the initiative advances toward wider field testing.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64748B"/>
        <w:sz w:val="17"/>
      </w:rPr>
      <w:t>CONFIDENTIAL — Prepared for Hensel Phelps IT &amp; Security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Hensel Phelps &amp; Trimble Field Operations | Architecture, Security &amp; Privacy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