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B2A4A"/>
          <w:sz w:val="72"/>
          <w:szCs w:val="72"/>
        </w:rPr>
        <w:t xml:space="preserve">TOTAL BODY OPTIMIZATION</w:t>
      </w:r>
    </w:p>
    <w:p>
      <w:pPr>
        <w:pBdr>
          <w:bottom w:val="single" w:color="C9A84C" w:sz="12" w:space="8"/>
        </w:pBdr>
        <w:spacing w:after="40" w:before="0"/>
        <w:jc w:val="center"/>
      </w:pPr>
      <w:r>
        <w:rPr>
          <w:rFonts w:ascii="Arial" w:cs="Arial" w:eastAsia="Arial" w:hAnsi="Arial"/>
          <w:color w:val="3A6BC4"/>
          <w:sz w:val="30"/>
          <w:szCs w:val="30"/>
        </w:rPr>
        <w:t xml:space="preserve">Every Organ. Every System. Every Marker.</w:t>
      </w:r>
    </w:p>
    <w:p>
      <w:pPr>
        <w:spacing w:after="0" w:before="80"/>
      </w:pPr>
      <w:r>
        <w:t xml:space="preserve"/>
      </w:r>
    </w:p>
    <w:p>
      <w:pPr>
        <w:spacing w:after="20" w:before="40"/>
        <w:jc w:val="center"/>
      </w:pPr>
      <w:r>
        <w:rPr>
          <w:rFonts w:ascii="Arial" w:cs="Arial" w:eastAsia="Arial" w:hAnsi="Arial"/>
          <w:color w:val="4A4A4A"/>
          <w:sz w:val="24"/>
          <w:szCs w:val="24"/>
        </w:rPr>
        <w:t xml:space="preserve">Aligned to the Poliquin Bulk Plan  |  September 2026 — March 2027</w:t>
      </w:r>
    </w:p>
    <w:p>
      <w:pPr>
        <w:spacing w:after="20" w:before="20"/>
        <w:jc w:val="center"/>
      </w:pPr>
      <w:r>
        <w:rPr>
          <w:rFonts w:ascii="Arial" w:cs="Arial" w:eastAsia="Arial" w:hAnsi="Arial"/>
          <w:color w:val="4A4A4A"/>
          <w:sz w:val="20"/>
          <w:szCs w:val="20"/>
        </w:rPr>
        <w:t xml:space="preserve">5'9"  |  Finnish + Mixed Heritage  |  Maternal Hashimoto's &amp; Celiac  |  5x Pediatric Concussions</w:t>
      </w:r>
    </w:p>
    <w:p>
      <w:pPr>
        <w:spacing w:after="0" w:before="600"/>
      </w:pPr>
      <w:r>
        <w:t xml:space="preserve"/>
      </w:r>
    </w:p>
    <w:p>
      <w:r>
        <w:br w:type="page"/>
      </w:r>
    </w:p>
    <w:p>
      <w:pPr>
        <w:pStyle w:val="Heading1"/>
        <w:pBdr>
          <w:bottom w:val="single" w:color="C9A84C" w:sz="10" w:space="6"/>
        </w:pBdr>
        <w:spacing w:after="160" w:before="480"/>
      </w:pPr>
      <w:r>
        <w:rPr>
          <w:rFonts w:ascii="Arial" w:cs="Arial" w:eastAsia="Arial" w:hAnsi="Arial"/>
          <w:b/>
          <w:bCs/>
          <w:color w:val="1B2A4A"/>
          <w:sz w:val="40"/>
          <w:szCs w:val="40"/>
        </w:rPr>
        <w:t xml:space="preserve">SECTION 0: BASELINE BLOODWORK — DO THIS FIRST</w:t>
      </w:r>
    </w:p>
    <w:p>
      <w:pPr>
        <w:spacing w:after="60" w:before="60"/>
      </w:pPr>
      <w:r>
        <w:rPr>
          <w:rFonts w:ascii="Arial" w:cs="Arial" w:eastAsia="Arial" w:hAnsi="Arial"/>
          <w:color w:val="4A4A4A"/>
          <w:sz w:val="22"/>
          <w:szCs w:val="22"/>
        </w:rPr>
        <w:t xml:space="preserve">Everything in this document is built around your specific biology. Without baseline bloodwork the optimization plan is educated guesswork. With it, every intervention is targeted and measurable. Get this panel before September. WSU Student Health Services can order most of it. Supplement with a private lab (LabCorp or Quest) for the markers student health may not run.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1F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URGENT</w:t>
            </w:r>
          </w:p>
        </w:tc>
        <w:tc>
          <w:tcPr>
            <w:tcW w:type="dxa" w:w="8160"/>
            <w:tcBorders>
              <w:top w:val="none" w:color="FFFFFF" w:sz="0"/>
              <w:left w:val="none" w:color="FFFFFF" w:sz="0"/>
              <w:bottom w:val="none" w:color="FFFFFF" w:sz="0"/>
              <w:right w:val="none" w:color="FFFFFF" w:sz="0"/>
            </w:tcBorders>
            <w:shd w:fill="FCE8EB" w:val="clear"/>
            <w:tcMar>
              <w:top w:type="dxa" w:w="120"/>
              <w:left w:type="dxa" w:w="160"/>
              <w:bottom w:type="dxa" w:w="120"/>
              <w:right w:type="dxa" w:w="160"/>
            </w:tcMar>
          </w:tcPr>
          <w:p>
            <w:r>
              <w:rPr>
                <w:rFonts w:ascii="Arial" w:cs="Arial" w:eastAsia="Arial" w:hAnsi="Arial"/>
                <w:color w:val="1A1A1A"/>
                <w:sz w:val="22"/>
                <w:szCs w:val="22"/>
              </w:rPr>
              <w:t xml:space="preserve">Maternal Hashimoto's + cold extremities + fatigue + brain fog + difficulty losing fat = mandatory full thyroid panel including TPO and Thyroglobulin antibodies BEFORE any intervention. TSH alone is not sufficient. This is the most important test in the entire panel.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736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Markers to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Thyroid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TSH, Free T3, Free T4, TPO Antibodies, Thyroglobulin Antibodies, Reverse T3</w:t>
            </w:r>
          </w:p>
        </w:tc>
      </w:tr>
      <w:tr>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Hormonal</w:t>
            </w:r>
          </w:p>
        </w:tc>
        <w:tc>
          <w:tcPr>
            <w:tcW w:type="dxa" w:w="73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Total Testosterone, Free Testosterone, SHBG, Estradiol, LH, FSH, DHEA-S, Prolactin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Metabolic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Fasting Glucose, Fasting Insulin, HbA1c, Full Lipid Panel with ApoB</w:t>
            </w:r>
          </w:p>
        </w:tc>
      </w:tr>
      <w:tr>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Inflammatory</w:t>
            </w:r>
          </w:p>
        </w:tc>
        <w:tc>
          <w:tcPr>
            <w:tcW w:type="dxa" w:w="73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hs-CRP, Homocysteine, Fibrinogen, IL-6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Hepatic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 AST, GGT, ALP, Total Bilirubin, Albumin</w:t>
            </w:r>
          </w:p>
        </w:tc>
      </w:tr>
      <w:tr>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Renal</w:t>
            </w:r>
          </w:p>
        </w:tc>
        <w:tc>
          <w:tcPr>
            <w:tcW w:type="dxa" w:w="73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Creatinine, BUN, eGFR, Uric Acid, Cystatin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Nutrients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Vitamin D (25-OH), B12, Folate, Ferritin, Serum Iron, TIBC, Magnesium, Zinc, Copper</w:t>
            </w:r>
          </w:p>
        </w:tc>
      </w:tr>
      <w:tr>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Immune/Gut</w:t>
            </w:r>
          </w:p>
        </w:tc>
        <w:tc>
          <w:tcPr>
            <w:tcW w:type="dxa" w:w="73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tTG-IgA (Celiac), Total IgA, Complete Blood Count with Differential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Mitochondrial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CoQ10 serum, Lactate, Pyruvate ratio</w:t>
            </w:r>
          </w:p>
        </w:tc>
      </w:tr>
      <w:tr>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Cardiac</w:t>
            </w:r>
          </w:p>
        </w:tc>
        <w:tc>
          <w:tcPr>
            <w:tcW w:type="dxa" w:w="73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ApoB, Lp(a), hs-CRP, NT-proBNP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Neurological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BDNF serum, IGF-1, Cortisol (8am fasted)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FDF6E3" w:val="clear"/>
            <w:tcMar>
              <w:top w:type="dxa" w:w="120"/>
              <w:left w:type="dxa" w:w="160"/>
              <w:bottom w:type="dxa" w:w="120"/>
              <w:right w:type="dxa" w:w="160"/>
            </w:tcMar>
          </w:tcPr>
          <w:p>
            <w:r>
              <w:rPr>
                <w:rFonts w:ascii="Arial" w:cs="Arial" w:eastAsia="Arial" w:hAnsi="Arial"/>
                <w:color w:val="1A1A1A"/>
                <w:sz w:val="22"/>
                <w:szCs w:val="22"/>
              </w:rPr>
              <w:t xml:space="preserve">The celiac panel (tTG-IgA + Total IgA) is non-negotiable given maternal celiac. Silent celiac is common, impairs nutrient absorption across every system, and the pasta fatigue response you described is a meaningful signal. This test costs almost nothing and changes the entire dietary framework if positive.</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1. THYROID</w:t>
      </w:r>
    </w:p>
    <w:p>
      <w:pPr>
        <w:spacing w:after="160" w:before="40"/>
        <w:ind w:left="200"/>
      </w:pPr>
      <w:r>
        <w:rPr>
          <w:rFonts w:ascii="Arial" w:cs="Arial" w:eastAsia="Arial" w:hAnsi="Arial"/>
          <w:color w:val="3A6BC4"/>
          <w:sz w:val="22"/>
          <w:szCs w:val="22"/>
        </w:rPr>
        <w:t xml:space="preserve">Metabolic rate, temperature regulation, energy, fat metabolism, cognitive speed</w:t>
      </w:r>
    </w:p>
    <w:p>
      <w:pPr>
        <w:spacing w:after="60" w:before="60"/>
      </w:pPr>
      <w:r>
        <w:rPr>
          <w:rFonts w:ascii="Arial" w:cs="Arial" w:eastAsia="Arial" w:hAnsi="Arial"/>
          <w:color w:val="4A4A4A"/>
          <w:sz w:val="22"/>
          <w:szCs w:val="22"/>
        </w:rPr>
        <w:t xml:space="preserve">The thyroid is the master metabolic regulator. Every cell in your body has thyroid hormone receptors. Suboptimal thyroid function affects every other system on this list. Your symptom profile — cold extremities, gradual fatigue, occasional brain fog, difficulty losing fat, slow digestion — combined with maternal Hashimoto's makes this the highest priority system to investigate and optimize.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1F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URGENT</w:t>
            </w:r>
          </w:p>
        </w:tc>
        <w:tc>
          <w:tcPr>
            <w:tcW w:type="dxa" w:w="8160"/>
            <w:tcBorders>
              <w:top w:val="none" w:color="FFFFFF" w:sz="0"/>
              <w:left w:val="none" w:color="FFFFFF" w:sz="0"/>
              <w:bottom w:val="none" w:color="FFFFFF" w:sz="0"/>
              <w:right w:val="none" w:color="FFFFFF" w:sz="0"/>
            </w:tcBorders>
            <w:shd w:fill="FCE8EB" w:val="clear"/>
            <w:tcMar>
              <w:top w:type="dxa" w:w="120"/>
              <w:left w:type="dxa" w:w="160"/>
              <w:bottom w:type="dxa" w:w="120"/>
              <w:right w:type="dxa" w:w="160"/>
            </w:tcMar>
          </w:tcPr>
          <w:p>
            <w:r>
              <w:rPr>
                <w:rFonts w:ascii="Arial" w:cs="Arial" w:eastAsia="Arial" w:hAnsi="Arial"/>
                <w:color w:val="1A1A1A"/>
                <w:sz w:val="22"/>
                <w:szCs w:val="22"/>
              </w:rPr>
              <w:t xml:space="preserve">Your TSH was tested while sick. Illness artificially suppresses TSH, masking underlying dysfunction. The test result is not reliable. A full panel when healthy is required before drawing any conclusions about your thyroid status.</w:t>
            </w:r>
          </w:p>
        </w:tc>
      </w:tr>
    </w:tbl>
    <w:p>
      <w:pPr>
        <w:spacing w:after="0" w:before="120"/>
      </w:pPr>
      <w:r>
        <w:t xml:space="preserve"/>
      </w:r>
    </w:p>
    <w:p>
      <w:pPr>
        <w:pStyle w:val="Heading3"/>
        <w:spacing w:after="80" w:before="240"/>
      </w:pPr>
      <w:r>
        <w:rPr>
          <w:rFonts w:ascii="Arial" w:cs="Arial" w:eastAsia="Arial" w:hAnsi="Arial"/>
          <w:b/>
          <w:bCs/>
          <w:color w:val="3A6BC4"/>
          <w:sz w:val="24"/>
          <w:szCs w:val="24"/>
        </w:rPr>
        <w:t xml:space="preserve">Current Status Assessment</w:t>
      </w:r>
    </w:p>
    <w:p>
      <w:pPr>
        <w:pStyle w:val="ListParagraph"/>
        <w:numPr>
          <w:ilvl w:val="0"/>
          <w:numId w:val="2"/>
        </w:numPr>
        <w:spacing w:after="60" w:before="60"/>
      </w:pPr>
      <w:r>
        <w:rPr>
          <w:rFonts w:ascii="Arial" w:cs="Arial" w:eastAsia="Arial" w:hAnsi="Arial"/>
          <w:b/>
          <w:bCs/>
          <w:color w:val="1A1A1A"/>
          <w:sz w:val="22"/>
          <w:szCs w:val="22"/>
        </w:rPr>
        <w:t xml:space="preserve">Cold hands and feet year-round, worse in winter: </w:t>
      </w:r>
      <w:r>
        <w:rPr>
          <w:rFonts w:ascii="Arial" w:cs="Arial" w:eastAsia="Arial" w:hAnsi="Arial"/>
          <w:color w:val="4A4A4A"/>
          <w:sz w:val="22"/>
          <w:szCs w:val="22"/>
        </w:rPr>
        <w:t xml:space="preserve">Classic peripheral vasoconstriction from suboptimal thyroid. The thyroid regulates thermogenesis and peripheral circulation directly.</w:t>
      </w:r>
    </w:p>
    <w:p>
      <w:pPr>
        <w:pStyle w:val="ListParagraph"/>
        <w:numPr>
          <w:ilvl w:val="0"/>
          <w:numId w:val="2"/>
        </w:numPr>
        <w:spacing w:after="60" w:before="60"/>
      </w:pPr>
      <w:r>
        <w:rPr>
          <w:rFonts w:ascii="Arial" w:cs="Arial" w:eastAsia="Arial" w:hAnsi="Arial"/>
          <w:b/>
          <w:bCs/>
          <w:color w:val="1A1A1A"/>
          <w:sz w:val="22"/>
          <w:szCs w:val="22"/>
        </w:rPr>
        <w:t xml:space="preserve">Throat pressure with carb depletion: </w:t>
      </w:r>
      <w:r>
        <w:rPr>
          <w:rFonts w:ascii="Arial" w:cs="Arial" w:eastAsia="Arial" w:hAnsi="Arial"/>
          <w:color w:val="4A4A4A"/>
          <w:sz w:val="22"/>
          <w:szCs w:val="22"/>
        </w:rPr>
        <w:t xml:space="preserve">Low blood sugar triggers sympathetic activation which increases awareness of the thyroid region. The fact that MK-677 reduced this is significant — MK elevates IGF-1 which supports thyroid hormone conversion from T4 to active T3.</w:t>
      </w:r>
    </w:p>
    <w:p>
      <w:pPr>
        <w:pStyle w:val="ListParagraph"/>
        <w:numPr>
          <w:ilvl w:val="0"/>
          <w:numId w:val="2"/>
        </w:numPr>
        <w:spacing w:after="60" w:before="60"/>
      </w:pPr>
      <w:r>
        <w:rPr>
          <w:rFonts w:ascii="Arial" w:cs="Arial" w:eastAsia="Arial" w:hAnsi="Arial"/>
          <w:b/>
          <w:bCs/>
          <w:color w:val="1A1A1A"/>
          <w:sz w:val="22"/>
          <w:szCs w:val="22"/>
        </w:rPr>
        <w:t xml:space="preserve">Maternal Hashimoto's: </w:t>
      </w:r>
      <w:r>
        <w:rPr>
          <w:rFonts w:ascii="Arial" w:cs="Arial" w:eastAsia="Arial" w:hAnsi="Arial"/>
          <w:color w:val="4A4A4A"/>
          <w:sz w:val="22"/>
          <w:szCs w:val="22"/>
        </w:rPr>
        <w:t xml:space="preserve">Autoimmune thyroid disease has 50-75% heritability matrilineally. You have a meaningful genetic predisposition.</w:t>
      </w:r>
    </w:p>
    <w:p>
      <w:pPr>
        <w:pStyle w:val="ListParagraph"/>
        <w:numPr>
          <w:ilvl w:val="0"/>
          <w:numId w:val="2"/>
        </w:numPr>
        <w:spacing w:after="60" w:before="60"/>
      </w:pPr>
      <w:r>
        <w:rPr>
          <w:rFonts w:ascii="Arial" w:cs="Arial" w:eastAsia="Arial" w:hAnsi="Arial"/>
          <w:b/>
          <w:bCs/>
          <w:color w:val="1A1A1A"/>
          <w:sz w:val="22"/>
          <w:szCs w:val="22"/>
        </w:rPr>
        <w:t xml:space="preserve">Resting heart rate 44-60bpm: </w:t>
      </w:r>
      <w:r>
        <w:rPr>
          <w:rFonts w:ascii="Arial" w:cs="Arial" w:eastAsia="Arial" w:hAnsi="Arial"/>
          <w:color w:val="4A4A4A"/>
          <w:sz w:val="22"/>
          <w:szCs w:val="22"/>
        </w:rPr>
        <w:t xml:space="preserve">Could reflect excellent cardiovascular fitness from MT background or could include a thyroid component. Both can be true simultaneously.</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 — Lifestyle and Dietary</w:t>
      </w:r>
    </w:p>
    <w:p>
      <w:pPr>
        <w:pStyle w:val="ListParagraph"/>
        <w:numPr>
          <w:ilvl w:val="0"/>
          <w:numId w:val="2"/>
        </w:numPr>
        <w:spacing w:after="60" w:before="60"/>
      </w:pPr>
      <w:r>
        <w:rPr>
          <w:rFonts w:ascii="Arial" w:cs="Arial" w:eastAsia="Arial" w:hAnsi="Arial"/>
          <w:b/>
          <w:bCs/>
          <w:color w:val="1A1A1A"/>
          <w:sz w:val="22"/>
          <w:szCs w:val="22"/>
        </w:rPr>
        <w:t xml:space="preserve">Selenium: </w:t>
      </w:r>
      <w:r>
        <w:rPr>
          <w:rFonts w:ascii="Arial" w:cs="Arial" w:eastAsia="Arial" w:hAnsi="Arial"/>
          <w:color w:val="4A4A4A"/>
          <w:sz w:val="22"/>
          <w:szCs w:val="22"/>
        </w:rPr>
        <w:t xml:space="preserve">200mcg daily — essential cofactor for T4 to T3 conversion. Most people are deficient. Brazil nuts provide it naturally (2-3 per day). Selenium also reduces TPO antibody levels in Hashimoto's — directly therapeutic if antibodies are present.</w:t>
      </w:r>
    </w:p>
    <w:p>
      <w:pPr>
        <w:pStyle w:val="ListParagraph"/>
        <w:numPr>
          <w:ilvl w:val="0"/>
          <w:numId w:val="2"/>
        </w:numPr>
        <w:spacing w:after="60" w:before="60"/>
      </w:pPr>
      <w:r>
        <w:rPr>
          <w:rFonts w:ascii="Arial" w:cs="Arial" w:eastAsia="Arial" w:hAnsi="Arial"/>
          <w:b/>
          <w:bCs/>
          <w:color w:val="1A1A1A"/>
          <w:sz w:val="22"/>
          <w:szCs w:val="22"/>
        </w:rPr>
        <w:t xml:space="preserve">Iodine from food: </w:t>
      </w:r>
      <w:r>
        <w:rPr>
          <w:rFonts w:ascii="Arial" w:cs="Arial" w:eastAsia="Arial" w:hAnsi="Arial"/>
          <w:color w:val="4A4A4A"/>
          <w:sz w:val="22"/>
          <w:szCs w:val="22"/>
        </w:rPr>
        <w:t xml:space="preserve">Seaweed, fish, eggs, dairy. Avoid megadose iodine supplements — counterproductive in Hashimoto's specifically.</w:t>
      </w:r>
    </w:p>
    <w:p>
      <w:pPr>
        <w:pStyle w:val="ListParagraph"/>
        <w:numPr>
          <w:ilvl w:val="0"/>
          <w:numId w:val="2"/>
        </w:numPr>
        <w:spacing w:after="60" w:before="60"/>
      </w:pPr>
      <w:r>
        <w:rPr>
          <w:rFonts w:ascii="Arial" w:cs="Arial" w:eastAsia="Arial" w:hAnsi="Arial"/>
          <w:b/>
          <w:bCs/>
          <w:color w:val="1A1A1A"/>
          <w:sz w:val="22"/>
          <w:szCs w:val="22"/>
        </w:rPr>
        <w:t xml:space="preserve">Zinc: </w:t>
      </w:r>
      <w:r>
        <w:rPr>
          <w:rFonts w:ascii="Arial" w:cs="Arial" w:eastAsia="Arial" w:hAnsi="Arial"/>
          <w:color w:val="4A4A4A"/>
          <w:sz w:val="22"/>
          <w:szCs w:val="22"/>
        </w:rPr>
        <w:t xml:space="preserve">Already in your stack. Required for TSH synthesis and thyroid hormone receptor function.</w:t>
      </w:r>
    </w:p>
    <w:p>
      <w:pPr>
        <w:pStyle w:val="ListParagraph"/>
        <w:numPr>
          <w:ilvl w:val="0"/>
          <w:numId w:val="2"/>
        </w:numPr>
        <w:spacing w:after="60" w:before="60"/>
      </w:pPr>
      <w:r>
        <w:rPr>
          <w:rFonts w:ascii="Arial" w:cs="Arial" w:eastAsia="Arial" w:hAnsi="Arial"/>
          <w:b/>
          <w:bCs/>
          <w:color w:val="1A1A1A"/>
          <w:sz w:val="22"/>
          <w:szCs w:val="22"/>
        </w:rPr>
        <w:t xml:space="preserve">Gluten elimination trial: </w:t>
      </w:r>
      <w:r>
        <w:rPr>
          <w:rFonts w:ascii="Arial" w:cs="Arial" w:eastAsia="Arial" w:hAnsi="Arial"/>
          <w:color w:val="4A4A4A"/>
          <w:sz w:val="22"/>
          <w:szCs w:val="22"/>
        </w:rPr>
        <w:t xml:space="preserve">If celiac panel is positive or equivocal, gluten elimination is mandatory. Molecular mimicry between gliadin and thyroid tissue means gluten directly triggers TPO antibody production in genetically susceptible individuals. 3-month elimination trial minimum before assessment.</w:t>
      </w:r>
    </w:p>
    <w:p>
      <w:pPr>
        <w:pStyle w:val="ListParagraph"/>
        <w:numPr>
          <w:ilvl w:val="0"/>
          <w:numId w:val="2"/>
        </w:numPr>
        <w:spacing w:after="60" w:before="60"/>
      </w:pPr>
      <w:r>
        <w:rPr>
          <w:rFonts w:ascii="Arial" w:cs="Arial" w:eastAsia="Arial" w:hAnsi="Arial"/>
          <w:b/>
          <w:bCs/>
          <w:color w:val="1A1A1A"/>
          <w:sz w:val="22"/>
          <w:szCs w:val="22"/>
        </w:rPr>
        <w:t xml:space="preserve">Avoid raw cruciferous vegetables in large amounts: </w:t>
      </w:r>
      <w:r>
        <w:rPr>
          <w:rFonts w:ascii="Arial" w:cs="Arial" w:eastAsia="Arial" w:hAnsi="Arial"/>
          <w:color w:val="4A4A4A"/>
          <w:sz w:val="22"/>
          <w:szCs w:val="22"/>
        </w:rPr>
        <w:t xml:space="preserve">Cooked is fine. Raw goitrogenic compounds in large quantities can impair thyroid hormone synthesis.</w:t>
      </w:r>
    </w:p>
    <w:p>
      <w:pPr>
        <w:pStyle w:val="ListParagraph"/>
        <w:numPr>
          <w:ilvl w:val="0"/>
          <w:numId w:val="2"/>
        </w:numPr>
        <w:spacing w:after="60" w:before="60"/>
      </w:pPr>
      <w:r>
        <w:rPr>
          <w:rFonts w:ascii="Arial" w:cs="Arial" w:eastAsia="Arial" w:hAnsi="Arial"/>
          <w:b/>
          <w:bCs/>
          <w:color w:val="1A1A1A"/>
          <w:sz w:val="22"/>
          <w:szCs w:val="22"/>
        </w:rPr>
        <w:t xml:space="preserve">Cold exposure timing: </w:t>
      </w:r>
      <w:r>
        <w:rPr>
          <w:rFonts w:ascii="Arial" w:cs="Arial" w:eastAsia="Arial" w:hAnsi="Arial"/>
          <w:color w:val="4A4A4A"/>
          <w:sz w:val="22"/>
          <w:szCs w:val="22"/>
        </w:rPr>
        <w:t xml:space="preserve">Your morning cold showers are appropriate. Chronic cold without adequate thyroid support increases TSH demand. Monitor energy and temperature regulation as training load increases.</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Selenium 200mcg — daily, with food</w:t>
      </w:r>
    </w:p>
    <w:p>
      <w:pPr>
        <w:pStyle w:val="ListParagraph"/>
        <w:numPr>
          <w:ilvl w:val="0"/>
          <w:numId w:val="2"/>
        </w:numPr>
        <w:spacing w:after="40" w:before="40"/>
      </w:pPr>
      <w:r>
        <w:rPr>
          <w:rFonts w:ascii="Arial" w:cs="Arial" w:eastAsia="Arial" w:hAnsi="Arial"/>
          <w:color w:val="4A4A4A"/>
          <w:sz w:val="22"/>
          <w:szCs w:val="22"/>
        </w:rPr>
        <w:t xml:space="preserve">Zinc 25-30mg — already in stack</w:t>
      </w:r>
    </w:p>
    <w:p>
      <w:pPr>
        <w:pStyle w:val="ListParagraph"/>
        <w:numPr>
          <w:ilvl w:val="0"/>
          <w:numId w:val="2"/>
        </w:numPr>
        <w:spacing w:after="40" w:before="40"/>
      </w:pPr>
      <w:r>
        <w:rPr>
          <w:rFonts w:ascii="Arial" w:cs="Arial" w:eastAsia="Arial" w:hAnsi="Arial"/>
          <w:color w:val="4A4A4A"/>
          <w:sz w:val="22"/>
          <w:szCs w:val="22"/>
        </w:rPr>
        <w:t xml:space="preserve">Vitamin D3 5000 IU — already in stack, critical for TPO antibody reduction</w:t>
      </w:r>
    </w:p>
    <w:p>
      <w:pPr>
        <w:pStyle w:val="ListParagraph"/>
        <w:numPr>
          <w:ilvl w:val="0"/>
          <w:numId w:val="2"/>
        </w:numPr>
        <w:spacing w:after="40" w:before="40"/>
      </w:pPr>
      <w:r>
        <w:rPr>
          <w:rFonts w:ascii="Arial" w:cs="Arial" w:eastAsia="Arial" w:hAnsi="Arial"/>
          <w:color w:val="4A4A4A"/>
          <w:sz w:val="22"/>
          <w:szCs w:val="22"/>
        </w:rPr>
        <w:t xml:space="preserve">Magnesium glycinate — already in stack, required for T4 to T3 conversion</w:t>
      </w:r>
    </w:p>
    <w:p>
      <w:pPr>
        <w:pStyle w:val="ListParagraph"/>
        <w:numPr>
          <w:ilvl w:val="0"/>
          <w:numId w:val="2"/>
        </w:numPr>
        <w:spacing w:after="40" w:before="40"/>
      </w:pPr>
      <w:r>
        <w:rPr>
          <w:rFonts w:ascii="Arial" w:cs="Arial" w:eastAsia="Arial" w:hAnsi="Arial"/>
          <w:color w:val="4A4A4A"/>
          <w:sz w:val="22"/>
          <w:szCs w:val="22"/>
        </w:rPr>
        <w:t xml:space="preserve">Ashwagandha KSM-66 — adaptogenic support for TSH regulation and cortisol which competes with thyroid function</w:t>
      </w:r>
    </w:p>
    <w:p>
      <w:pPr>
        <w:pStyle w:val="ListParagraph"/>
        <w:numPr>
          <w:ilvl w:val="0"/>
          <w:numId w:val="2"/>
        </w:numPr>
        <w:spacing w:after="40" w:before="40"/>
      </w:pPr>
      <w:r>
        <w:rPr>
          <w:rFonts w:ascii="Arial" w:cs="Arial" w:eastAsia="Arial" w:hAnsi="Arial"/>
          <w:color w:val="4A4A4A"/>
          <w:sz w:val="22"/>
          <w:szCs w:val="22"/>
        </w:rPr>
        <w:t xml:space="preserve">Myo-inositol 2-4g — specifically shown to reduce TSH and TPO antibodies in subclinical Hashimoto's, pairs with selenium</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and Bioregulator Layer</w:t>
      </w:r>
    </w:p>
    <w:p>
      <w:pPr>
        <w:pStyle w:val="ListParagraph"/>
        <w:numPr>
          <w:ilvl w:val="0"/>
          <w:numId w:val="2"/>
        </w:numPr>
        <w:spacing w:after="60" w:before="60"/>
      </w:pPr>
      <w:r>
        <w:rPr>
          <w:rFonts w:ascii="Arial" w:cs="Arial" w:eastAsia="Arial" w:hAnsi="Arial"/>
          <w:b/>
          <w:bCs/>
          <w:color w:val="1A1A1A"/>
          <w:sz w:val="22"/>
          <w:szCs w:val="22"/>
        </w:rPr>
        <w:t xml:space="preserve">Thyreogen (Khavinson thyroid bioregulator): </w:t>
      </w:r>
      <w:r>
        <w:rPr>
          <w:rFonts w:ascii="Arial" w:cs="Arial" w:eastAsia="Arial" w:hAnsi="Arial"/>
          <w:color w:val="4A4A4A"/>
          <w:sz w:val="22"/>
          <w:szCs w:val="22"/>
        </w:rPr>
        <w:t xml:space="preserve">Thyroid-specific Khavinson peptide. Epigenetically upregulates thyroid cell gene expression. The most targeted structural intervention for thyroid tissue optimization. Run in Block 1 to establish thyroid function baseline before loading begins.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Block 1: Thyreogen course + selenium establishment. Block 3: Re-assess thyroid markers, consider second Thyreogen course if antibodies present. Block 5-6: Maintain with selenium, zinc, inositol throughout.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3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Optimal Range</w:t>
            </w:r>
          </w:p>
        </w:tc>
        <w:tc>
          <w:tcPr>
            <w:tcW w:type="dxa" w:w="386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Watch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1.0 - 2.0 mIU/L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Above 2.5 suggests suboptimal conversion</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Free T3</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3.5 - 4.3 pg/mL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Active hormone — most important marker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T4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1.1 - 1.7 ng/dL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Conversion substrate</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TPO Antibodies</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&lt;35 IU/mL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Elevated = Hashimoto's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Thyroglobulin 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&lt;1 IU/mL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Secondary Hashimoto's marker</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Reverse T3</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&lt;15 ng/dL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High = conversion blockage from stress</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2. ADRENAL &amp; HPA AXIS</w:t>
      </w:r>
    </w:p>
    <w:p>
      <w:pPr>
        <w:spacing w:after="160" w:before="40"/>
        <w:ind w:left="200"/>
      </w:pPr>
      <w:r>
        <w:rPr>
          <w:rFonts w:ascii="Arial" w:cs="Arial" w:eastAsia="Arial" w:hAnsi="Arial"/>
          <w:color w:val="3A6BC4"/>
          <w:sz w:val="22"/>
          <w:szCs w:val="22"/>
        </w:rPr>
        <w:t xml:space="preserve">Cortisol rhythm, stress resilience, energy regulation, hormonal balance</w:t>
      </w:r>
    </w:p>
    <w:p>
      <w:pPr>
        <w:spacing w:after="60" w:before="60"/>
      </w:pPr>
      <w:r>
        <w:rPr>
          <w:rFonts w:ascii="Arial" w:cs="Arial" w:eastAsia="Arial" w:hAnsi="Arial"/>
          <w:color w:val="4A4A4A"/>
          <w:sz w:val="22"/>
          <w:szCs w:val="22"/>
        </w:rPr>
        <w:t xml:space="preserve">The HPA (hypothalamic-pituitary-adrenal) axis regulates your cortisol output. Cortisol is essential in the correct rhythm — high in the morning for energy and alertness, declining through the day, low at night for sleep and recovery. Dysrhythmia rather than excess is the typical problem in young athletes — cortisol is high when it should be low (evening) or low when it should be high (morning fatigue).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Current Status Assessment</w:t>
      </w:r>
    </w:p>
    <w:p>
      <w:pPr>
        <w:pStyle w:val="ListParagraph"/>
        <w:numPr>
          <w:ilvl w:val="0"/>
          <w:numId w:val="2"/>
        </w:numPr>
        <w:spacing w:after="60" w:before="60"/>
      </w:pPr>
      <w:r>
        <w:rPr>
          <w:rFonts w:ascii="Arial" w:cs="Arial" w:eastAsia="Arial" w:hAnsi="Arial"/>
          <w:b/>
          <w:bCs/>
          <w:color w:val="1A1A1A"/>
          <w:sz w:val="22"/>
          <w:szCs w:val="22"/>
        </w:rPr>
        <w:t xml:space="preserve">HRV 90ms with max 192ms: </w:t>
      </w:r>
      <w:r>
        <w:rPr>
          <w:rFonts w:ascii="Arial" w:cs="Arial" w:eastAsia="Arial" w:hAnsi="Arial"/>
          <w:color w:val="4A4A4A"/>
          <w:sz w:val="22"/>
          <w:szCs w:val="22"/>
        </w:rPr>
        <w:t xml:space="preserve">Excellent autonomic balance. Your HPA axis is functioning well. This is your biggest asset.</w:t>
      </w:r>
    </w:p>
    <w:p>
      <w:pPr>
        <w:pStyle w:val="ListParagraph"/>
        <w:numPr>
          <w:ilvl w:val="0"/>
          <w:numId w:val="2"/>
        </w:numPr>
        <w:spacing w:after="60" w:before="60"/>
      </w:pPr>
      <w:r>
        <w:rPr>
          <w:rFonts w:ascii="Arial" w:cs="Arial" w:eastAsia="Arial" w:hAnsi="Arial"/>
          <w:b/>
          <w:bCs/>
          <w:color w:val="1A1A1A"/>
          <w:sz w:val="22"/>
          <w:szCs w:val="22"/>
        </w:rPr>
        <w:t xml:space="preserve">3pm gradual fatigue: </w:t>
      </w:r>
      <w:r>
        <w:rPr>
          <w:rFonts w:ascii="Arial" w:cs="Arial" w:eastAsia="Arial" w:hAnsi="Arial"/>
          <w:color w:val="4A4A4A"/>
          <w:sz w:val="22"/>
          <w:szCs w:val="22"/>
        </w:rPr>
        <w:t xml:space="preserve">Physiologically normal cortisol dip. Occurring even on good sleep suggests mild HPA habituation rather than pathology. The NSDR protocol addresses this perfectly.</w:t>
      </w:r>
    </w:p>
    <w:p>
      <w:pPr>
        <w:pStyle w:val="ListParagraph"/>
        <w:numPr>
          <w:ilvl w:val="0"/>
          <w:numId w:val="2"/>
        </w:numPr>
        <w:spacing w:after="60" w:before="60"/>
      </w:pPr>
      <w:r>
        <w:rPr>
          <w:rFonts w:ascii="Arial" w:cs="Arial" w:eastAsia="Arial" w:hAnsi="Arial"/>
          <w:b/>
          <w:bCs/>
          <w:color w:val="1A1A1A"/>
          <w:sz w:val="22"/>
          <w:szCs w:val="22"/>
        </w:rPr>
        <w:t xml:space="preserve">Morning energy generally good: </w:t>
      </w:r>
      <w:r>
        <w:rPr>
          <w:rFonts w:ascii="Arial" w:cs="Arial" w:eastAsia="Arial" w:hAnsi="Arial"/>
          <w:color w:val="4A4A4A"/>
          <w:sz w:val="22"/>
          <w:szCs w:val="22"/>
        </w:rPr>
        <w:t xml:space="preserve">Cortisol awakening response is intact. This is the most important cortisol metric.</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Morning sunlight within 10 minutes of waking: </w:t>
      </w:r>
      <w:r>
        <w:rPr>
          <w:rFonts w:ascii="Arial" w:cs="Arial" w:eastAsia="Arial" w:hAnsi="Arial"/>
          <w:color w:val="4A4A4A"/>
          <w:sz w:val="22"/>
          <w:szCs w:val="22"/>
        </w:rPr>
        <w:t xml:space="preserve">Entrains cortisol awakening response. Non-negotiable.</w:t>
      </w:r>
    </w:p>
    <w:p>
      <w:pPr>
        <w:pStyle w:val="ListParagraph"/>
        <w:numPr>
          <w:ilvl w:val="0"/>
          <w:numId w:val="2"/>
        </w:numPr>
        <w:spacing w:after="60" w:before="60"/>
      </w:pPr>
      <w:r>
        <w:rPr>
          <w:rFonts w:ascii="Arial" w:cs="Arial" w:eastAsia="Arial" w:hAnsi="Arial"/>
          <w:b/>
          <w:bCs/>
          <w:color w:val="1A1A1A"/>
          <w:sz w:val="22"/>
          <w:szCs w:val="22"/>
        </w:rPr>
        <w:t xml:space="preserve">Caffeine after 90 minutes post-waking: </w:t>
      </w:r>
      <w:r>
        <w:rPr>
          <w:rFonts w:ascii="Arial" w:cs="Arial" w:eastAsia="Arial" w:hAnsi="Arial"/>
          <w:color w:val="4A4A4A"/>
          <w:sz w:val="22"/>
          <w:szCs w:val="22"/>
        </w:rPr>
        <w:t xml:space="preserve">Allows adenosine clearance and cortisol peak before adding stimulation. Already in your plan.</w:t>
      </w:r>
    </w:p>
    <w:p>
      <w:pPr>
        <w:pStyle w:val="ListParagraph"/>
        <w:numPr>
          <w:ilvl w:val="0"/>
          <w:numId w:val="2"/>
        </w:numPr>
        <w:spacing w:after="60" w:before="60"/>
      </w:pPr>
      <w:r>
        <w:rPr>
          <w:rFonts w:ascii="Arial" w:cs="Arial" w:eastAsia="Arial" w:hAnsi="Arial"/>
          <w:b/>
          <w:bCs/>
          <w:color w:val="1A1A1A"/>
          <w:sz w:val="22"/>
          <w:szCs w:val="22"/>
        </w:rPr>
        <w:t xml:space="preserve">Training under 75 minutes: </w:t>
      </w:r>
      <w:r>
        <w:rPr>
          <w:rFonts w:ascii="Arial" w:cs="Arial" w:eastAsia="Arial" w:hAnsi="Arial"/>
          <w:color w:val="4A4A4A"/>
          <w:sz w:val="22"/>
          <w:szCs w:val="22"/>
        </w:rPr>
        <w:t xml:space="preserve">Cortisol inverts the testosterone ratio beyond this window. Already in your plan.</w:t>
      </w:r>
    </w:p>
    <w:p>
      <w:pPr>
        <w:pStyle w:val="ListParagraph"/>
        <w:numPr>
          <w:ilvl w:val="0"/>
          <w:numId w:val="2"/>
        </w:numPr>
        <w:spacing w:after="60" w:before="60"/>
      </w:pPr>
      <w:r>
        <w:rPr>
          <w:rFonts w:ascii="Arial" w:cs="Arial" w:eastAsia="Arial" w:hAnsi="Arial"/>
          <w:b/>
          <w:bCs/>
          <w:color w:val="1A1A1A"/>
          <w:sz w:val="22"/>
          <w:szCs w:val="22"/>
        </w:rPr>
        <w:t xml:space="preserve">Carbohydrates post-training: </w:t>
      </w:r>
      <w:r>
        <w:rPr>
          <w:rFonts w:ascii="Arial" w:cs="Arial" w:eastAsia="Arial" w:hAnsi="Arial"/>
          <w:color w:val="4A4A4A"/>
          <w:sz w:val="22"/>
          <w:szCs w:val="22"/>
        </w:rPr>
        <w:t xml:space="preserve">Directly blunts the training-induced cortisol spike. The most powerful nutritional cortisol tool.</w:t>
      </w:r>
    </w:p>
    <w:p>
      <w:pPr>
        <w:pStyle w:val="ListParagraph"/>
        <w:numPr>
          <w:ilvl w:val="0"/>
          <w:numId w:val="2"/>
        </w:numPr>
        <w:spacing w:after="60" w:before="60"/>
      </w:pPr>
      <w:r>
        <w:rPr>
          <w:rFonts w:ascii="Arial" w:cs="Arial" w:eastAsia="Arial" w:hAnsi="Arial"/>
          <w:b/>
          <w:bCs/>
          <w:color w:val="1A1A1A"/>
          <w:sz w:val="22"/>
          <w:szCs w:val="22"/>
        </w:rPr>
        <w:t xml:space="preserve">No training on less than 6 hours sleep: </w:t>
      </w:r>
      <w:r>
        <w:rPr>
          <w:rFonts w:ascii="Arial" w:cs="Arial" w:eastAsia="Arial" w:hAnsi="Arial"/>
          <w:color w:val="4A4A4A"/>
          <w:sz w:val="22"/>
          <w:szCs w:val="22"/>
        </w:rPr>
        <w:t xml:space="preserve">Cortisol is elevated from sleep deprivation and training adds to it. Counterproductive.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Ashwagandha KSM-66 — 600mg daily, morning</w:t>
      </w:r>
    </w:p>
    <w:p>
      <w:pPr>
        <w:pStyle w:val="ListParagraph"/>
        <w:numPr>
          <w:ilvl w:val="0"/>
          <w:numId w:val="2"/>
        </w:numPr>
        <w:spacing w:after="40" w:before="40"/>
      </w:pPr>
      <w:r>
        <w:rPr>
          <w:rFonts w:ascii="Arial" w:cs="Arial" w:eastAsia="Arial" w:hAnsi="Arial"/>
          <w:color w:val="4A4A4A"/>
          <w:sz w:val="22"/>
          <w:szCs w:val="22"/>
        </w:rPr>
        <w:t xml:space="preserve">Phosphatidylserine 400mg — post-training, Poliquin's most cited cortisol supplement</w:t>
      </w:r>
    </w:p>
    <w:p>
      <w:pPr>
        <w:pStyle w:val="ListParagraph"/>
        <w:numPr>
          <w:ilvl w:val="0"/>
          <w:numId w:val="2"/>
        </w:numPr>
        <w:spacing w:after="40" w:before="40"/>
      </w:pPr>
      <w:r>
        <w:rPr>
          <w:rFonts w:ascii="Arial" w:cs="Arial" w:eastAsia="Arial" w:hAnsi="Arial"/>
          <w:color w:val="4A4A4A"/>
          <w:sz w:val="22"/>
          <w:szCs w:val="22"/>
        </w:rPr>
        <w:t xml:space="preserve">Rhodiola Rosea 3% salidroside — morning, adaptogenic cortisol modulation</w:t>
      </w:r>
    </w:p>
    <w:p>
      <w:pPr>
        <w:pStyle w:val="ListParagraph"/>
        <w:numPr>
          <w:ilvl w:val="0"/>
          <w:numId w:val="2"/>
        </w:numPr>
        <w:spacing w:after="40" w:before="40"/>
      </w:pPr>
      <w:r>
        <w:rPr>
          <w:rFonts w:ascii="Arial" w:cs="Arial" w:eastAsia="Arial" w:hAnsi="Arial"/>
          <w:color w:val="4A4A4A"/>
          <w:sz w:val="22"/>
          <w:szCs w:val="22"/>
        </w:rPr>
        <w:t xml:space="preserve">Eurycoma (already in stack) — reduces cortisol through different pathway</w:t>
      </w:r>
    </w:p>
    <w:p>
      <w:pPr>
        <w:pStyle w:val="ListParagraph"/>
        <w:numPr>
          <w:ilvl w:val="0"/>
          <w:numId w:val="2"/>
        </w:numPr>
        <w:spacing w:after="40" w:before="40"/>
      </w:pPr>
      <w:r>
        <w:rPr>
          <w:rFonts w:ascii="Arial" w:cs="Arial" w:eastAsia="Arial" w:hAnsi="Arial"/>
          <w:color w:val="4A4A4A"/>
          <w:sz w:val="22"/>
          <w:szCs w:val="22"/>
        </w:rPr>
        <w:t xml:space="preserve">Magnesium glycinate pre-bed — cortisol suppression through GABA and HPA downregulation</w:t>
      </w:r>
    </w:p>
    <w:p>
      <w:pPr>
        <w:pStyle w:val="ListParagraph"/>
        <w:numPr>
          <w:ilvl w:val="0"/>
          <w:numId w:val="2"/>
        </w:numPr>
        <w:spacing w:after="40" w:before="40"/>
      </w:pPr>
      <w:r>
        <w:rPr>
          <w:rFonts w:ascii="Arial" w:cs="Arial" w:eastAsia="Arial" w:hAnsi="Arial"/>
          <w:color w:val="4A4A4A"/>
          <w:sz w:val="22"/>
          <w:szCs w:val="22"/>
        </w:rPr>
        <w:t xml:space="preserve">Vitamin C 1000mg — adrenal cortex support, reduces exercise-induced cortisol</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Selank: </w:t>
      </w:r>
      <w:r>
        <w:rPr>
          <w:rFonts w:ascii="Arial" w:cs="Arial" w:eastAsia="Arial" w:hAnsi="Arial"/>
          <w:color w:val="4A4A4A"/>
          <w:sz w:val="22"/>
          <w:szCs w:val="22"/>
        </w:rPr>
        <w:t xml:space="preserve">GABAergic modulation at the neurological level. Addresses HPA overactivation from above rather than just blocking output. Blocks 4 and 5 when stress load peaks.</w:t>
      </w:r>
    </w:p>
    <w:p>
      <w:pPr>
        <w:pStyle w:val="ListParagraph"/>
        <w:numPr>
          <w:ilvl w:val="0"/>
          <w:numId w:val="2"/>
        </w:numPr>
        <w:spacing w:after="60" w:before="60"/>
      </w:pPr>
      <w:r>
        <w:rPr>
          <w:rFonts w:ascii="Arial" w:cs="Arial" w:eastAsia="Arial" w:hAnsi="Arial"/>
          <w:b/>
          <w:bCs/>
          <w:color w:val="1A1A1A"/>
          <w:sz w:val="22"/>
          <w:szCs w:val="22"/>
        </w:rPr>
        <w:t xml:space="preserve">Epithalon: </w:t>
      </w:r>
      <w:r>
        <w:rPr>
          <w:rFonts w:ascii="Arial" w:cs="Arial" w:eastAsia="Arial" w:hAnsi="Arial"/>
          <w:color w:val="4A4A4A"/>
          <w:sz w:val="22"/>
          <w:szCs w:val="22"/>
        </w:rPr>
        <w:t xml:space="preserve">Regulates the pineal-hypothalamic axis. Normalizes cortisol rhythm specifically through circadian regulation. Block 1 foundation.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Block 1: Epithalon for circadian and cortisol rhythm establishment. Block 4-5: Selank for peak stress period. Throughout: Phosphatidylserine post every training session.</w:t>
            </w:r>
          </w:p>
        </w:tc>
      </w:tr>
    </w:tbl>
    <w:p>
      <w:pPr>
        <w:spacing w:after="0" w:before="120"/>
      </w:pPr>
      <w:r>
        <w:t xml:space="preserve"/>
      </w:r>
    </w:p>
    <w:p>
      <w:r>
        <w:br w:type="page"/>
      </w:r>
    </w:p>
    <w:p>
      <w:pPr>
        <w:pBdr>
          <w:bottom w:val="single" w:color="C9A84C" w:sz="6" w:space="4"/>
          <w:left w:val="single" w:color="1A3C2E" w:sz="24" w:space="4"/>
        </w:pBdr>
        <w:spacing w:after="60" w:before="480"/>
        <w:ind w:left="200"/>
      </w:pPr>
      <w:r>
        <w:rPr>
          <w:rFonts w:ascii="Arial" w:cs="Arial" w:eastAsia="Arial" w:hAnsi="Arial"/>
          <w:b/>
          <w:bCs/>
          <w:color w:val="1A3C2E"/>
          <w:sz w:val="40"/>
          <w:szCs w:val="40"/>
        </w:rPr>
        <w:t xml:space="preserve">3. GUT &amp; DIGESTIVE SYSTEM</w:t>
      </w:r>
    </w:p>
    <w:p>
      <w:pPr>
        <w:spacing w:after="160" w:before="40"/>
        <w:ind w:left="200"/>
      </w:pPr>
      <w:r>
        <w:rPr>
          <w:rFonts w:ascii="Arial" w:cs="Arial" w:eastAsia="Arial" w:hAnsi="Arial"/>
          <w:color w:val="3A9E6F"/>
          <w:sz w:val="22"/>
          <w:szCs w:val="22"/>
        </w:rPr>
        <w:t xml:space="preserve">Absorption, immunity, microbiome, gut-brain axis, inflammation</w:t>
      </w:r>
    </w:p>
    <w:p>
      <w:pPr>
        <w:spacing w:after="60" w:before="60"/>
      </w:pPr>
      <w:r>
        <w:rPr>
          <w:rFonts w:ascii="Arial" w:cs="Arial" w:eastAsia="Arial" w:hAnsi="Arial"/>
          <w:color w:val="4A4A4A"/>
          <w:sz w:val="22"/>
          <w:szCs w:val="22"/>
        </w:rPr>
        <w:t xml:space="preserve">Poliquin considered gut health the foundation of everything. You cannot optimize any other system if absorption is compromised. The gut also houses 70% of the immune system, produces 90% of serotonin, and communicates bidirectionally with the brain through the vagus nerve. The gut-thyroid axis is particularly relevant given your maternal history.</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Current Status Assessment</w:t>
      </w:r>
    </w:p>
    <w:p>
      <w:pPr>
        <w:pStyle w:val="ListParagraph"/>
        <w:numPr>
          <w:ilvl w:val="0"/>
          <w:numId w:val="2"/>
        </w:numPr>
        <w:spacing w:after="60" w:before="60"/>
      </w:pPr>
      <w:r>
        <w:rPr>
          <w:rFonts w:ascii="Arial" w:cs="Arial" w:eastAsia="Arial" w:hAnsi="Arial"/>
          <w:b/>
          <w:bCs/>
          <w:color w:val="1A1A1A"/>
          <w:sz w:val="22"/>
          <w:szCs w:val="22"/>
        </w:rPr>
        <w:t xml:space="preserve">No obvious GI symptoms: </w:t>
      </w:r>
      <w:r>
        <w:rPr>
          <w:rFonts w:ascii="Arial" w:cs="Arial" w:eastAsia="Arial" w:hAnsi="Arial"/>
          <w:color w:val="4A4A4A"/>
          <w:sz w:val="22"/>
          <w:szCs w:val="22"/>
        </w:rPr>
        <w:t xml:space="preserve">Positive but insufficient to rule out silent celiac or subclinical permeability issues.</w:t>
      </w:r>
    </w:p>
    <w:p>
      <w:pPr>
        <w:pStyle w:val="ListParagraph"/>
        <w:numPr>
          <w:ilvl w:val="0"/>
          <w:numId w:val="2"/>
        </w:numPr>
        <w:spacing w:after="60" w:before="60"/>
      </w:pPr>
      <w:r>
        <w:rPr>
          <w:rFonts w:ascii="Arial" w:cs="Arial" w:eastAsia="Arial" w:hAnsi="Arial"/>
          <w:b/>
          <w:bCs/>
          <w:color w:val="1A1A1A"/>
          <w:sz w:val="22"/>
          <w:szCs w:val="22"/>
        </w:rPr>
        <w:t xml:space="preserve">Pasta fatigue response: </w:t>
      </w:r>
      <w:r>
        <w:rPr>
          <w:rFonts w:ascii="Arial" w:cs="Arial" w:eastAsia="Arial" w:hAnsi="Arial"/>
          <w:color w:val="4A4A4A"/>
          <w:sz w:val="22"/>
          <w:szCs w:val="22"/>
        </w:rPr>
        <w:t xml:space="preserve">Post-prandial fatigue after high-gluten meals is a recognized silent gluten sensitivity presentation. Worth a structured elimination trial regardless of celiac test results.</w:t>
      </w:r>
    </w:p>
    <w:p>
      <w:pPr>
        <w:pStyle w:val="ListParagraph"/>
        <w:numPr>
          <w:ilvl w:val="0"/>
          <w:numId w:val="2"/>
        </w:numPr>
        <w:spacing w:after="60" w:before="60"/>
      </w:pPr>
      <w:r>
        <w:rPr>
          <w:rFonts w:ascii="Arial" w:cs="Arial" w:eastAsia="Arial" w:hAnsi="Arial"/>
          <w:b/>
          <w:bCs/>
          <w:color w:val="1A1A1A"/>
          <w:sz w:val="22"/>
          <w:szCs w:val="22"/>
        </w:rPr>
        <w:t xml:space="preserve">Reta slowing digestion: </w:t>
      </w:r>
      <w:r>
        <w:rPr>
          <w:rFonts w:ascii="Arial" w:cs="Arial" w:eastAsia="Arial" w:hAnsi="Arial"/>
          <w:color w:val="4A4A4A"/>
          <w:sz w:val="22"/>
          <w:szCs w:val="22"/>
        </w:rPr>
        <w:t xml:space="preserve">GLP-1 receptors in the gut slow gastric emptying — this is pharmacological, not pathological. Will resolve when Reta is discontinued.</w:t>
      </w:r>
    </w:p>
    <w:p>
      <w:pPr>
        <w:pStyle w:val="ListParagraph"/>
        <w:numPr>
          <w:ilvl w:val="0"/>
          <w:numId w:val="2"/>
        </w:numPr>
        <w:spacing w:after="60" w:before="60"/>
      </w:pPr>
      <w:r>
        <w:rPr>
          <w:rFonts w:ascii="Arial" w:cs="Arial" w:eastAsia="Arial" w:hAnsi="Arial"/>
          <w:b/>
          <w:bCs/>
          <w:color w:val="1A1A1A"/>
          <w:sz w:val="22"/>
          <w:szCs w:val="22"/>
        </w:rPr>
        <w:t xml:space="preserve">Maternal celiac: </w:t>
      </w:r>
      <w:r>
        <w:rPr>
          <w:rFonts w:ascii="Arial" w:cs="Arial" w:eastAsia="Arial" w:hAnsi="Arial"/>
          <w:color w:val="4A4A4A"/>
          <w:sz w:val="22"/>
          <w:szCs w:val="22"/>
        </w:rPr>
        <w:t xml:space="preserve">First-degree relative celiac increases your risk 10-fold over population baseline.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FDF6E3" w:val="clear"/>
            <w:tcMar>
              <w:top w:type="dxa" w:w="120"/>
              <w:left w:type="dxa" w:w="160"/>
              <w:bottom w:type="dxa" w:w="120"/>
              <w:right w:type="dxa" w:w="160"/>
            </w:tcMar>
          </w:tcPr>
          <w:p>
            <w:r>
              <w:rPr>
                <w:rFonts w:ascii="Arial" w:cs="Arial" w:eastAsia="Arial" w:hAnsi="Arial"/>
                <w:color w:val="1A1A1A"/>
                <w:sz w:val="22"/>
                <w:szCs w:val="22"/>
              </w:rPr>
              <w:t xml:space="preserve">The gut-thyroid axis is bidirectional. Intestinal permeability (leaky gut) allows bacterial lipopolysaccharides into circulation which directly trigger thyroid antibody production. Optimizing gut integrity is thyroid optimization by another route.</w:t>
            </w:r>
          </w:p>
        </w:tc>
      </w:tr>
    </w:tbl>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Gluten elimination trial (3 months minimum): </w:t>
      </w:r>
      <w:r>
        <w:rPr>
          <w:rFonts w:ascii="Arial" w:cs="Arial" w:eastAsia="Arial" w:hAnsi="Arial"/>
          <w:color w:val="4A4A4A"/>
          <w:sz w:val="22"/>
          <w:szCs w:val="22"/>
        </w:rPr>
        <w:t xml:space="preserve">Begin August — before the bulk. If celiac panel is positive this becomes permanent. If equivocal, complete the trial and re-test. White rice (already your carb base) means this requires minimal dietary change.</w:t>
      </w:r>
    </w:p>
    <w:p>
      <w:pPr>
        <w:pStyle w:val="ListParagraph"/>
        <w:numPr>
          <w:ilvl w:val="0"/>
          <w:numId w:val="2"/>
        </w:numPr>
        <w:spacing w:after="60" w:before="60"/>
      </w:pPr>
      <w:r>
        <w:rPr>
          <w:rFonts w:ascii="Arial" w:cs="Arial" w:eastAsia="Arial" w:hAnsi="Arial"/>
          <w:b/>
          <w:bCs/>
          <w:color w:val="1A1A1A"/>
          <w:sz w:val="22"/>
          <w:szCs w:val="22"/>
        </w:rPr>
        <w:t xml:space="preserve">Fermented foods daily: </w:t>
      </w:r>
      <w:r>
        <w:rPr>
          <w:rFonts w:ascii="Arial" w:cs="Arial" w:eastAsia="Arial" w:hAnsi="Arial"/>
          <w:color w:val="4A4A4A"/>
          <w:sz w:val="22"/>
          <w:szCs w:val="22"/>
        </w:rPr>
        <w:t xml:space="preserve">Kefir, yogurt, kimchi, sauerkraut. Supports microbiome diversity. Seasonal eating naturally includes more fermented foods in winter — align with this.</w:t>
      </w:r>
    </w:p>
    <w:p>
      <w:pPr>
        <w:pStyle w:val="ListParagraph"/>
        <w:numPr>
          <w:ilvl w:val="0"/>
          <w:numId w:val="2"/>
        </w:numPr>
        <w:spacing w:after="60" w:before="60"/>
      </w:pPr>
      <w:r>
        <w:rPr>
          <w:rFonts w:ascii="Arial" w:cs="Arial" w:eastAsia="Arial" w:hAnsi="Arial"/>
          <w:b/>
          <w:bCs/>
          <w:color w:val="1A1A1A"/>
          <w:sz w:val="22"/>
          <w:szCs w:val="22"/>
        </w:rPr>
        <w:t xml:space="preserve">Bone broth: </w:t>
      </w:r>
      <w:r>
        <w:rPr>
          <w:rFonts w:ascii="Arial" w:cs="Arial" w:eastAsia="Arial" w:hAnsi="Arial"/>
          <w:color w:val="4A4A4A"/>
          <w:sz w:val="22"/>
          <w:szCs w:val="22"/>
        </w:rPr>
        <w:t xml:space="preserve">Glycine, collagen, and glutamine content directly supports gut lining integrity. Winter seasonal eating priority.</w:t>
      </w:r>
    </w:p>
    <w:p>
      <w:pPr>
        <w:pStyle w:val="ListParagraph"/>
        <w:numPr>
          <w:ilvl w:val="0"/>
          <w:numId w:val="2"/>
        </w:numPr>
        <w:spacing w:after="60" w:before="60"/>
      </w:pPr>
      <w:r>
        <w:rPr>
          <w:rFonts w:ascii="Arial" w:cs="Arial" w:eastAsia="Arial" w:hAnsi="Arial"/>
          <w:b/>
          <w:bCs/>
          <w:color w:val="1A1A1A"/>
          <w:sz w:val="22"/>
          <w:szCs w:val="22"/>
        </w:rPr>
        <w:t xml:space="preserve">Food rotation (already in plan): </w:t>
      </w:r>
      <w:r>
        <w:rPr>
          <w:rFonts w:ascii="Arial" w:cs="Arial" w:eastAsia="Arial" w:hAnsi="Arial"/>
          <w:color w:val="4A4A4A"/>
          <w:sz w:val="22"/>
          <w:szCs w:val="22"/>
        </w:rPr>
        <w:t xml:space="preserve">Poliquin's 2-week protein rotation prevents food sensitivity development. Extend this principle to other food categories.</w:t>
      </w:r>
    </w:p>
    <w:p>
      <w:pPr>
        <w:pStyle w:val="ListParagraph"/>
        <w:numPr>
          <w:ilvl w:val="0"/>
          <w:numId w:val="2"/>
        </w:numPr>
        <w:spacing w:after="60" w:before="60"/>
      </w:pPr>
      <w:r>
        <w:rPr>
          <w:rFonts w:ascii="Arial" w:cs="Arial" w:eastAsia="Arial" w:hAnsi="Arial"/>
          <w:b/>
          <w:bCs/>
          <w:color w:val="1A1A1A"/>
          <w:sz w:val="22"/>
          <w:szCs w:val="22"/>
        </w:rPr>
        <w:t xml:space="preserve">Eat slowly, chew thoroughly: </w:t>
      </w:r>
      <w:r>
        <w:rPr>
          <w:rFonts w:ascii="Arial" w:cs="Arial" w:eastAsia="Arial" w:hAnsi="Arial"/>
          <w:color w:val="4A4A4A"/>
          <w:sz w:val="22"/>
          <w:szCs w:val="22"/>
        </w:rPr>
        <w:t xml:space="preserve">Digestive enzyme activity begins in the mouth. Rushed eating is a common cause of subclinical malabsorption.</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Digestive enzymes with every large meal — already in plan</w:t>
      </w:r>
    </w:p>
    <w:p>
      <w:pPr>
        <w:pStyle w:val="ListParagraph"/>
        <w:numPr>
          <w:ilvl w:val="0"/>
          <w:numId w:val="2"/>
        </w:numPr>
        <w:spacing w:after="40" w:before="40"/>
      </w:pPr>
      <w:r>
        <w:rPr>
          <w:rFonts w:ascii="Arial" w:cs="Arial" w:eastAsia="Arial" w:hAnsi="Arial"/>
          <w:color w:val="4A4A4A"/>
          <w:sz w:val="22"/>
          <w:szCs w:val="22"/>
        </w:rPr>
        <w:t xml:space="preserve">Probiotics — multi-strain, 50 billion CFU, morning fasted</w:t>
      </w:r>
    </w:p>
    <w:p>
      <w:pPr>
        <w:pStyle w:val="ListParagraph"/>
        <w:numPr>
          <w:ilvl w:val="0"/>
          <w:numId w:val="2"/>
        </w:numPr>
        <w:spacing w:after="40" w:before="40"/>
      </w:pPr>
      <w:r>
        <w:rPr>
          <w:rFonts w:ascii="Arial" w:cs="Arial" w:eastAsia="Arial" w:hAnsi="Arial"/>
          <w:color w:val="4A4A4A"/>
          <w:sz w:val="22"/>
          <w:szCs w:val="22"/>
        </w:rPr>
        <w:t xml:space="preserve">Colostrum — gut integrity, IGF-1, immune modulation. Take fasted.</w:t>
      </w:r>
    </w:p>
    <w:p>
      <w:pPr>
        <w:pStyle w:val="ListParagraph"/>
        <w:numPr>
          <w:ilvl w:val="0"/>
          <w:numId w:val="2"/>
        </w:numPr>
        <w:spacing w:after="40" w:before="40"/>
      </w:pPr>
      <w:r>
        <w:rPr>
          <w:rFonts w:ascii="Arial" w:cs="Arial" w:eastAsia="Arial" w:hAnsi="Arial"/>
          <w:color w:val="4A4A4A"/>
          <w:sz w:val="22"/>
          <w:szCs w:val="22"/>
        </w:rPr>
        <w:t xml:space="preserve">L-Glutamine 5g — gut lining fuel, take between meals</w:t>
      </w:r>
    </w:p>
    <w:p>
      <w:pPr>
        <w:pStyle w:val="ListParagraph"/>
        <w:numPr>
          <w:ilvl w:val="0"/>
          <w:numId w:val="2"/>
        </w:numPr>
        <w:spacing w:after="40" w:before="40"/>
      </w:pPr>
      <w:r>
        <w:rPr>
          <w:rFonts w:ascii="Arial" w:cs="Arial" w:eastAsia="Arial" w:hAnsi="Arial"/>
          <w:color w:val="4A4A4A"/>
          <w:sz w:val="22"/>
          <w:szCs w:val="22"/>
        </w:rPr>
        <w:t xml:space="preserve">Zinc carnosine 75mg — specific gut mucosal protection, distinct from regular zinc</w:t>
      </w:r>
    </w:p>
    <w:p>
      <w:pPr>
        <w:pStyle w:val="ListParagraph"/>
        <w:numPr>
          <w:ilvl w:val="0"/>
          <w:numId w:val="2"/>
        </w:numPr>
        <w:spacing w:after="40" w:before="40"/>
      </w:pPr>
      <w:r>
        <w:rPr>
          <w:rFonts w:ascii="Arial" w:cs="Arial" w:eastAsia="Arial" w:hAnsi="Arial"/>
          <w:color w:val="4A4A4A"/>
          <w:sz w:val="22"/>
          <w:szCs w:val="22"/>
        </w:rPr>
        <w:t xml:space="preserve">Deglycyrrhizinated Licorice (DGL) — gut lining support, mucus production</w:t>
      </w:r>
    </w:p>
    <w:p>
      <w:pPr>
        <w:pStyle w:val="ListParagraph"/>
        <w:numPr>
          <w:ilvl w:val="0"/>
          <w:numId w:val="2"/>
        </w:numPr>
        <w:spacing w:after="40" w:before="40"/>
      </w:pPr>
      <w:r>
        <w:rPr>
          <w:rFonts w:ascii="Arial" w:cs="Arial" w:eastAsia="Arial" w:hAnsi="Arial"/>
          <w:color w:val="4A4A4A"/>
          <w:sz w:val="22"/>
          <w:szCs w:val="22"/>
        </w:rPr>
        <w:t xml:space="preserve">Butyrate (sodium butyrate) — colonocyte fuel, tight junction integrity, microbiome health</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BPC-157: </w:t>
      </w:r>
      <w:r>
        <w:rPr>
          <w:rFonts w:ascii="Arial" w:cs="Arial" w:eastAsia="Arial" w:hAnsi="Arial"/>
          <w:color w:val="4A4A4A"/>
          <w:sz w:val="22"/>
          <w:szCs w:val="22"/>
        </w:rPr>
        <w:t xml:space="preserve">Primary gut repair peptide. Upregulates growth hormone receptors in gut tissue, promotes angiogenesis in gut lining, repairs intestinal permeability. Structural change. Run throughout Block 1 and any block where training stress is high.</w:t>
      </w:r>
    </w:p>
    <w:p>
      <w:pPr>
        <w:pStyle w:val="ListParagraph"/>
        <w:numPr>
          <w:ilvl w:val="0"/>
          <w:numId w:val="2"/>
        </w:numPr>
        <w:spacing w:after="60" w:before="60"/>
      </w:pPr>
      <w:r>
        <w:rPr>
          <w:rFonts w:ascii="Arial" w:cs="Arial" w:eastAsia="Arial" w:hAnsi="Arial"/>
          <w:b/>
          <w:bCs/>
          <w:color w:val="1A1A1A"/>
          <w:sz w:val="22"/>
          <w:szCs w:val="22"/>
        </w:rPr>
        <w:t xml:space="preserve">BPC-157/KPV blend: </w:t>
      </w:r>
      <w:r>
        <w:rPr>
          <w:rFonts w:ascii="Arial" w:cs="Arial" w:eastAsia="Arial" w:hAnsi="Arial"/>
          <w:color w:val="4A4A4A"/>
          <w:sz w:val="22"/>
          <w:szCs w:val="22"/>
        </w:rPr>
        <w:t xml:space="preserve">KPV adds direct anti-inflammatory action on gut mucosa through melanocortin receptors. More comprehensive than BPC alone for inflammatory gut conditions.</w:t>
      </w:r>
    </w:p>
    <w:p>
      <w:pPr>
        <w:pStyle w:val="ListParagraph"/>
        <w:numPr>
          <w:ilvl w:val="0"/>
          <w:numId w:val="2"/>
        </w:numPr>
        <w:spacing w:after="60" w:before="60"/>
      </w:pPr>
      <w:r>
        <w:rPr>
          <w:rFonts w:ascii="Arial" w:cs="Arial" w:eastAsia="Arial" w:hAnsi="Arial"/>
          <w:b/>
          <w:bCs/>
          <w:color w:val="1A1A1A"/>
          <w:sz w:val="22"/>
          <w:szCs w:val="22"/>
        </w:rPr>
        <w:t xml:space="preserve">Ovagen (Khavinson liver/gut bioregulator): </w:t>
      </w:r>
      <w:r>
        <w:rPr>
          <w:rFonts w:ascii="Arial" w:cs="Arial" w:eastAsia="Arial" w:hAnsi="Arial"/>
          <w:color w:val="4A4A4A"/>
          <w:sz w:val="22"/>
          <w:szCs w:val="22"/>
        </w:rPr>
        <w:t xml:space="preserve">Supports hepatic and gut tissue gene expression. Complements BPC-157 through epigenetic rather than growth factor mechanism.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Block 1: BPC-157 + KPV for gut foundation. Probiotics, colostrum, glutamine throughout all blocks. Ovagen in Block 3. Butyrate from Block 2 onward as calorie intake rises.</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4. LIVER</w:t>
      </w:r>
    </w:p>
    <w:p>
      <w:pPr>
        <w:spacing w:after="160" w:before="40"/>
        <w:ind w:left="200"/>
      </w:pPr>
      <w:r>
        <w:rPr>
          <w:rFonts w:ascii="Arial" w:cs="Arial" w:eastAsia="Arial" w:hAnsi="Arial"/>
          <w:color w:val="3A6BC4"/>
          <w:sz w:val="22"/>
          <w:szCs w:val="22"/>
        </w:rPr>
        <w:t xml:space="preserve">Detoxification, hormone metabolism, protein synthesis, bile production</w:t>
      </w:r>
    </w:p>
    <w:p>
      <w:pPr>
        <w:spacing w:after="60" w:before="60"/>
      </w:pPr>
      <w:r>
        <w:rPr>
          <w:rFonts w:ascii="Arial" w:cs="Arial" w:eastAsia="Arial" w:hAnsi="Arial"/>
          <w:color w:val="4A4A4A"/>
          <w:sz w:val="22"/>
          <w:szCs w:val="22"/>
        </w:rPr>
        <w:t xml:space="preserve">The liver processes every compound you ingest, metabolizes hormones including testosterone and estrogen, synthesizes carrier proteins, produces bile for fat digestion, and manages glucose storage. At high protein intake and with a compound stack running alongside training, hepatic support becomes directly relevant.</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Coffee: </w:t>
      </w:r>
      <w:r>
        <w:rPr>
          <w:rFonts w:ascii="Arial" w:cs="Arial" w:eastAsia="Arial" w:hAnsi="Arial"/>
          <w:color w:val="4A4A4A"/>
          <w:sz w:val="22"/>
          <w:szCs w:val="22"/>
        </w:rPr>
        <w:t xml:space="preserve">One of the most hepatoprotective dietary compounds. 2-3 cups daily reduces liver enzyme elevation and fibrosis risk. Already aligned with your caffeine protocol.</w:t>
      </w:r>
    </w:p>
    <w:p>
      <w:pPr>
        <w:pStyle w:val="ListParagraph"/>
        <w:numPr>
          <w:ilvl w:val="0"/>
          <w:numId w:val="2"/>
        </w:numPr>
        <w:spacing w:after="60" w:before="60"/>
      </w:pPr>
      <w:r>
        <w:rPr>
          <w:rFonts w:ascii="Arial" w:cs="Arial" w:eastAsia="Arial" w:hAnsi="Arial"/>
          <w:b/>
          <w:bCs/>
          <w:color w:val="1A1A1A"/>
          <w:sz w:val="22"/>
          <w:szCs w:val="22"/>
        </w:rPr>
        <w:t xml:space="preserve">Cruciferous vegetables cooked: </w:t>
      </w:r>
      <w:r>
        <w:rPr>
          <w:rFonts w:ascii="Arial" w:cs="Arial" w:eastAsia="Arial" w:hAnsi="Arial"/>
          <w:color w:val="4A4A4A"/>
          <w:sz w:val="22"/>
          <w:szCs w:val="22"/>
        </w:rPr>
        <w:t xml:space="preserve">DIM precursors support phase 2 liver detoxification and estrogen clearance. Broccoli, cauliflower, Brussels sprouts weekly.</w:t>
      </w:r>
    </w:p>
    <w:p>
      <w:pPr>
        <w:pStyle w:val="ListParagraph"/>
        <w:numPr>
          <w:ilvl w:val="0"/>
          <w:numId w:val="2"/>
        </w:numPr>
        <w:spacing w:after="60" w:before="60"/>
      </w:pPr>
      <w:r>
        <w:rPr>
          <w:rFonts w:ascii="Arial" w:cs="Arial" w:eastAsia="Arial" w:hAnsi="Arial"/>
          <w:b/>
          <w:bCs/>
          <w:color w:val="1A1A1A"/>
          <w:sz w:val="22"/>
          <w:szCs w:val="22"/>
        </w:rPr>
        <w:t xml:space="preserve">Minimize alcohol: </w:t>
      </w:r>
      <w:r>
        <w:rPr>
          <w:rFonts w:ascii="Arial" w:cs="Arial" w:eastAsia="Arial" w:hAnsi="Arial"/>
          <w:color w:val="4A4A4A"/>
          <w:sz w:val="22"/>
          <w:szCs w:val="22"/>
        </w:rPr>
        <w:t xml:space="preserve">Already minimal at your stated frequency. Even infrequent alcohol requires 48-72 hours for hepatic recovery — plan accordingly.</w:t>
      </w:r>
    </w:p>
    <w:p>
      <w:pPr>
        <w:pStyle w:val="ListParagraph"/>
        <w:numPr>
          <w:ilvl w:val="0"/>
          <w:numId w:val="2"/>
        </w:numPr>
        <w:spacing w:after="60" w:before="60"/>
      </w:pPr>
      <w:r>
        <w:rPr>
          <w:rFonts w:ascii="Arial" w:cs="Arial" w:eastAsia="Arial" w:hAnsi="Arial"/>
          <w:b/>
          <w:bCs/>
          <w:color w:val="1A1A1A"/>
          <w:sz w:val="22"/>
          <w:szCs w:val="22"/>
        </w:rPr>
        <w:t xml:space="preserve">Adequate hydration: </w:t>
      </w:r>
      <w:r>
        <w:rPr>
          <w:rFonts w:ascii="Arial" w:cs="Arial" w:eastAsia="Arial" w:hAnsi="Arial"/>
          <w:color w:val="4A4A4A"/>
          <w:sz w:val="22"/>
          <w:szCs w:val="22"/>
        </w:rPr>
        <w:t xml:space="preserve">Liver detoxification is water-dependent. 3-4 litres daily minimum at your training volume.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TUDCA 250-500mg — bile acid, hepatoprotective, insulin sensitivity</w:t>
      </w:r>
    </w:p>
    <w:p>
      <w:pPr>
        <w:pStyle w:val="ListParagraph"/>
        <w:numPr>
          <w:ilvl w:val="0"/>
          <w:numId w:val="2"/>
        </w:numPr>
        <w:spacing w:after="40" w:before="40"/>
      </w:pPr>
      <w:r>
        <w:rPr>
          <w:rFonts w:ascii="Arial" w:cs="Arial" w:eastAsia="Arial" w:hAnsi="Arial"/>
          <w:color w:val="4A4A4A"/>
          <w:sz w:val="22"/>
          <w:szCs w:val="22"/>
        </w:rPr>
        <w:t xml:space="preserve">Milk Thistle (Silymarin) 600mg — hepatocyte regeneration, antioxidant</w:t>
      </w:r>
    </w:p>
    <w:p>
      <w:pPr>
        <w:pStyle w:val="ListParagraph"/>
        <w:numPr>
          <w:ilvl w:val="0"/>
          <w:numId w:val="2"/>
        </w:numPr>
        <w:spacing w:after="40" w:before="40"/>
      </w:pPr>
      <w:r>
        <w:rPr>
          <w:rFonts w:ascii="Arial" w:cs="Arial" w:eastAsia="Arial" w:hAnsi="Arial"/>
          <w:color w:val="4A4A4A"/>
          <w:sz w:val="22"/>
          <w:szCs w:val="22"/>
        </w:rPr>
        <w:t xml:space="preserve">NAC (already in stack) — glutathione precursor, phase 2 detox support</w:t>
      </w:r>
    </w:p>
    <w:p>
      <w:pPr>
        <w:pStyle w:val="ListParagraph"/>
        <w:numPr>
          <w:ilvl w:val="0"/>
          <w:numId w:val="2"/>
        </w:numPr>
        <w:spacing w:after="40" w:before="40"/>
      </w:pPr>
      <w:r>
        <w:rPr>
          <w:rFonts w:ascii="Arial" w:cs="Arial" w:eastAsia="Arial" w:hAnsi="Arial"/>
          <w:color w:val="4A4A4A"/>
          <w:sz w:val="22"/>
          <w:szCs w:val="22"/>
        </w:rPr>
        <w:t xml:space="preserve">Alpha Lipoic Acid 300mg — liver antioxidant, glucose partitioning, mercury chelation</w:t>
      </w:r>
    </w:p>
    <w:p>
      <w:pPr>
        <w:pStyle w:val="ListParagraph"/>
        <w:numPr>
          <w:ilvl w:val="0"/>
          <w:numId w:val="2"/>
        </w:numPr>
        <w:spacing w:after="40" w:before="40"/>
      </w:pPr>
      <w:r>
        <w:rPr>
          <w:rFonts w:ascii="Arial" w:cs="Arial" w:eastAsia="Arial" w:hAnsi="Arial"/>
          <w:color w:val="4A4A4A"/>
          <w:sz w:val="22"/>
          <w:szCs w:val="22"/>
        </w:rPr>
        <w:t xml:space="preserve">DIM (Diindolylmethane) — estrogen metabolism, phase 2 detox</w:t>
      </w:r>
    </w:p>
    <w:p>
      <w:pPr>
        <w:pStyle w:val="ListParagraph"/>
        <w:numPr>
          <w:ilvl w:val="0"/>
          <w:numId w:val="2"/>
        </w:numPr>
        <w:spacing w:after="40" w:before="40"/>
      </w:pPr>
      <w:r>
        <w:rPr>
          <w:rFonts w:ascii="Arial" w:cs="Arial" w:eastAsia="Arial" w:hAnsi="Arial"/>
          <w:color w:val="4A4A4A"/>
          <w:sz w:val="22"/>
          <w:szCs w:val="22"/>
        </w:rPr>
        <w:t xml:space="preserve">Taurine (already added) — bile conjugation, hepatoprotective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Ovagen (Khavinson): </w:t>
      </w:r>
      <w:r>
        <w:rPr>
          <w:rFonts w:ascii="Arial" w:cs="Arial" w:eastAsia="Arial" w:hAnsi="Arial"/>
          <w:color w:val="4A4A4A"/>
          <w:sz w:val="22"/>
          <w:szCs w:val="22"/>
        </w:rPr>
        <w:t xml:space="preserve">Liver-specific bioregulator. Epigenetically optimizes hepatocyte gene expression. Structural change. Run in Block 3 when caloric load and compound use is highest.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TUDCA and Milk Thistle throughout the entire year. Ovagen in Block 3. Alpha Lipoic Acid from Block 2 onward. DIM from Block 1 for estrogen management during the bulk.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3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Optimal Range</w:t>
            </w:r>
          </w:p>
        </w:tc>
        <w:tc>
          <w:tcPr>
            <w:tcW w:type="dxa" w:w="386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Concern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25 U/L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40 U/L — hepatic stress</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AST</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&lt; 22 U/L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&gt; 40 U/L — check alongside ALT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 U/L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Sensitive marker of liver load</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ALP</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44-147 U/L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Elevated = bile duct or bone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Bilirubin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0.2-1.0 mg/dL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Elevated = clearance impaired</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5. KIDNEYS</w:t>
      </w:r>
    </w:p>
    <w:p>
      <w:pPr>
        <w:spacing w:after="160" w:before="40"/>
        <w:ind w:left="200"/>
      </w:pPr>
      <w:r>
        <w:rPr>
          <w:rFonts w:ascii="Arial" w:cs="Arial" w:eastAsia="Arial" w:hAnsi="Arial"/>
          <w:color w:val="3A6BC4"/>
          <w:sz w:val="22"/>
          <w:szCs w:val="22"/>
        </w:rPr>
        <w:t xml:space="preserve">Filtration, electrolyte balance, blood pressure, acid-base regulation</w:t>
      </w:r>
    </w:p>
    <w:p>
      <w:pPr>
        <w:spacing w:after="60" w:before="60"/>
      </w:pPr>
      <w:r>
        <w:rPr>
          <w:rFonts w:ascii="Arial" w:cs="Arial" w:eastAsia="Arial" w:hAnsi="Arial"/>
          <w:color w:val="4A4A4A"/>
          <w:sz w:val="22"/>
          <w:szCs w:val="22"/>
        </w:rPr>
        <w:t xml:space="preserve">At high protein intake (185-220g daily during your bulk) renal filtration demand increases. Your paternal insulin resistance history is also relevant — chronic insulin resistance is a leading cause of renal dysfunction over time. Preventive optimization is straightforward and inexpensive.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Hydration: </w:t>
      </w:r>
      <w:r>
        <w:rPr>
          <w:rFonts w:ascii="Arial" w:cs="Arial" w:eastAsia="Arial" w:hAnsi="Arial"/>
          <w:color w:val="4A4A4A"/>
          <w:sz w:val="22"/>
          <w:szCs w:val="22"/>
        </w:rPr>
        <w:t xml:space="preserve">3-4 litres daily minimum. The single most impactful kidney protective behaviour. Dilutes filtrate and reduces crystallization risk.</w:t>
      </w:r>
    </w:p>
    <w:p>
      <w:pPr>
        <w:pStyle w:val="ListParagraph"/>
        <w:numPr>
          <w:ilvl w:val="0"/>
          <w:numId w:val="2"/>
        </w:numPr>
        <w:spacing w:after="60" w:before="60"/>
      </w:pPr>
      <w:r>
        <w:rPr>
          <w:rFonts w:ascii="Arial" w:cs="Arial" w:eastAsia="Arial" w:hAnsi="Arial"/>
          <w:b/>
          <w:bCs/>
          <w:color w:val="1A1A1A"/>
          <w:sz w:val="22"/>
          <w:szCs w:val="22"/>
        </w:rPr>
        <w:t xml:space="preserve">Protein spread across meals: </w:t>
      </w:r>
      <w:r>
        <w:rPr>
          <w:rFonts w:ascii="Arial" w:cs="Arial" w:eastAsia="Arial" w:hAnsi="Arial"/>
          <w:color w:val="4A4A4A"/>
          <w:sz w:val="22"/>
          <w:szCs w:val="22"/>
        </w:rPr>
        <w:t xml:space="preserve">Distributing protein across 4-5 meals reduces peak filtration demand compared to 2 large protein meals. Already built into your meal structure.</w:t>
      </w:r>
    </w:p>
    <w:p>
      <w:pPr>
        <w:pStyle w:val="ListParagraph"/>
        <w:numPr>
          <w:ilvl w:val="0"/>
          <w:numId w:val="2"/>
        </w:numPr>
        <w:spacing w:after="60" w:before="60"/>
      </w:pPr>
      <w:r>
        <w:rPr>
          <w:rFonts w:ascii="Arial" w:cs="Arial" w:eastAsia="Arial" w:hAnsi="Arial"/>
          <w:b/>
          <w:bCs/>
          <w:color w:val="1A1A1A"/>
          <w:sz w:val="22"/>
          <w:szCs w:val="22"/>
        </w:rPr>
        <w:t xml:space="preserve">Potassium-rich foods: </w:t>
      </w:r>
      <w:r>
        <w:rPr>
          <w:rFonts w:ascii="Arial" w:cs="Arial" w:eastAsia="Arial" w:hAnsi="Arial"/>
          <w:color w:val="4A4A4A"/>
          <w:sz w:val="22"/>
          <w:szCs w:val="22"/>
        </w:rPr>
        <w:t xml:space="preserve">Avocados, sweet potatoes, leafy greens. Potassium is renoprotective and blood pressure regulatory. Finnish cardiac genetics make this additionally relevant.</w:t>
      </w:r>
    </w:p>
    <w:p>
      <w:pPr>
        <w:pStyle w:val="ListParagraph"/>
        <w:numPr>
          <w:ilvl w:val="0"/>
          <w:numId w:val="2"/>
        </w:numPr>
        <w:spacing w:after="60" w:before="60"/>
      </w:pPr>
      <w:r>
        <w:rPr>
          <w:rFonts w:ascii="Arial" w:cs="Arial" w:eastAsia="Arial" w:hAnsi="Arial"/>
          <w:b/>
          <w:bCs/>
          <w:color w:val="1A1A1A"/>
          <w:sz w:val="22"/>
          <w:szCs w:val="22"/>
        </w:rPr>
        <w:t xml:space="preserve">Limit NSAIDs: </w:t>
      </w:r>
      <w:r>
        <w:rPr>
          <w:rFonts w:ascii="Arial" w:cs="Arial" w:eastAsia="Arial" w:hAnsi="Arial"/>
          <w:color w:val="4A4A4A"/>
          <w:sz w:val="22"/>
          <w:szCs w:val="22"/>
        </w:rPr>
        <w:t xml:space="preserve">Ibuprofen and similar compounds reduce renal blood flow. Use sparingly, never chronically, always with food and water.</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Astaxanthin 12mg — renal antioxidant, reduces oxidative stress in kidney tissue</w:t>
      </w:r>
    </w:p>
    <w:p>
      <w:pPr>
        <w:pStyle w:val="ListParagraph"/>
        <w:numPr>
          <w:ilvl w:val="0"/>
          <w:numId w:val="2"/>
        </w:numPr>
        <w:spacing w:after="40" w:before="40"/>
      </w:pPr>
      <w:r>
        <w:rPr>
          <w:rFonts w:ascii="Arial" w:cs="Arial" w:eastAsia="Arial" w:hAnsi="Arial"/>
          <w:color w:val="4A4A4A"/>
          <w:sz w:val="22"/>
          <w:szCs w:val="22"/>
        </w:rPr>
        <w:t xml:space="preserve">Magnesium (already in stack) — reduces calcium oxalate crystallization risk</w:t>
      </w:r>
    </w:p>
    <w:p>
      <w:pPr>
        <w:pStyle w:val="ListParagraph"/>
        <w:numPr>
          <w:ilvl w:val="0"/>
          <w:numId w:val="2"/>
        </w:numPr>
        <w:spacing w:after="40" w:before="40"/>
      </w:pPr>
      <w:r>
        <w:rPr>
          <w:rFonts w:ascii="Arial" w:cs="Arial" w:eastAsia="Arial" w:hAnsi="Arial"/>
          <w:color w:val="4A4A4A"/>
          <w:sz w:val="22"/>
          <w:szCs w:val="22"/>
        </w:rPr>
        <w:t xml:space="preserve">Vitamin B6 P5P — reduces oxalate production, renal stone prevention</w:t>
      </w:r>
    </w:p>
    <w:p>
      <w:pPr>
        <w:pStyle w:val="ListParagraph"/>
        <w:numPr>
          <w:ilvl w:val="0"/>
          <w:numId w:val="2"/>
        </w:numPr>
        <w:spacing w:after="40" w:before="40"/>
      </w:pPr>
      <w:r>
        <w:rPr>
          <w:rFonts w:ascii="Arial" w:cs="Arial" w:eastAsia="Arial" w:hAnsi="Arial"/>
          <w:color w:val="4A4A4A"/>
          <w:sz w:val="22"/>
          <w:szCs w:val="22"/>
        </w:rPr>
        <w:t xml:space="preserve">Taurine — renoprotective, reduces diabetic nephropathy markers even in non-diabetics with insulin resistance risk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3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Optimal</w:t>
            </w:r>
          </w:p>
        </w:tc>
        <w:tc>
          <w:tcPr>
            <w:tcW w:type="dxa" w:w="386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Watch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eGFR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90 mL/min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Below 90 = reduced filtration</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Creatinine</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0.7-1.1 mg/dL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Rises with muscle mass — account for this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7-20 mg/dL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at high protein = normal, check ratio</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Uric Acid</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3.5-6.0 mg/dL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Above 6.5 = gout and renal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Cystatin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0.5-1.0 mg/L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More accurate than creatinine for GFR</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6. PANCREAS &amp; INSULIN SYSTEM</w:t>
      </w:r>
    </w:p>
    <w:p>
      <w:pPr>
        <w:spacing w:after="160" w:before="40"/>
        <w:ind w:left="200"/>
      </w:pPr>
      <w:r>
        <w:rPr>
          <w:rFonts w:ascii="Arial" w:cs="Arial" w:eastAsia="Arial" w:hAnsi="Arial"/>
          <w:color w:val="3A6BC4"/>
          <w:sz w:val="22"/>
          <w:szCs w:val="22"/>
        </w:rPr>
        <w:t xml:space="preserve">Glucose regulation, nutrient partitioning, anabolic signaling, fat storage</w:t>
      </w:r>
    </w:p>
    <w:p>
      <w:pPr>
        <w:spacing w:after="60" w:before="60"/>
      </w:pPr>
      <w:r>
        <w:rPr>
          <w:rFonts w:ascii="Arial" w:cs="Arial" w:eastAsia="Arial" w:hAnsi="Arial"/>
          <w:color w:val="4A4A4A"/>
          <w:sz w:val="22"/>
          <w:szCs w:val="22"/>
        </w:rPr>
        <w:t xml:space="preserve">The insulin system is central to your bulk goals — it determines whether surplus calories go to muscle or fat. Your paternal insulin resistance history (likely prediabetes) makes this more than an optimization question. The good news is your training plan and diet structure are already highly insulin-optimizing. We add targeted support on top.</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Current Status Assessment</w:t>
      </w:r>
    </w:p>
    <w:p>
      <w:pPr>
        <w:pStyle w:val="ListParagraph"/>
        <w:numPr>
          <w:ilvl w:val="0"/>
          <w:numId w:val="2"/>
        </w:numPr>
        <w:spacing w:after="60" w:before="60"/>
      </w:pPr>
      <w:r>
        <w:rPr>
          <w:rFonts w:ascii="Arial" w:cs="Arial" w:eastAsia="Arial" w:hAnsi="Arial"/>
          <w:b/>
          <w:bCs/>
          <w:color w:val="1A1A1A"/>
          <w:sz w:val="22"/>
          <w:szCs w:val="22"/>
        </w:rPr>
        <w:t xml:space="preserve">Paternal history: </w:t>
      </w:r>
      <w:r>
        <w:rPr>
          <w:rFonts w:ascii="Arial" w:cs="Arial" w:eastAsia="Arial" w:hAnsi="Arial"/>
          <w:color w:val="4A4A4A"/>
          <w:sz w:val="22"/>
          <w:szCs w:val="22"/>
        </w:rPr>
        <w:t xml:space="preserve">Likely prediabetes and insulin resistance. Genetic predisposition is real but entirely modifiable through lifestyle. Resistance training is the single most powerful intervention for insulin sensitivity.</w:t>
      </w:r>
    </w:p>
    <w:p>
      <w:pPr>
        <w:pStyle w:val="ListParagraph"/>
        <w:numPr>
          <w:ilvl w:val="0"/>
          <w:numId w:val="2"/>
        </w:numPr>
        <w:spacing w:after="60" w:before="60"/>
      </w:pPr>
      <w:r>
        <w:rPr>
          <w:rFonts w:ascii="Arial" w:cs="Arial" w:eastAsia="Arial" w:hAnsi="Arial"/>
          <w:b/>
          <w:bCs/>
          <w:color w:val="1A1A1A"/>
          <w:sz w:val="22"/>
          <w:szCs w:val="22"/>
        </w:rPr>
        <w:t xml:space="preserve">Body composition at 14%: </w:t>
      </w:r>
      <w:r>
        <w:rPr>
          <w:rFonts w:ascii="Arial" w:cs="Arial" w:eastAsia="Arial" w:hAnsi="Arial"/>
          <w:color w:val="4A4A4A"/>
          <w:sz w:val="22"/>
          <w:szCs w:val="22"/>
        </w:rPr>
        <w:t xml:space="preserve">Good. Fat mass above 20% is where insulin resistance typically manifests. Your current leanness is protective.</w:t>
      </w:r>
    </w:p>
    <w:p>
      <w:pPr>
        <w:pStyle w:val="ListParagraph"/>
        <w:numPr>
          <w:ilvl w:val="0"/>
          <w:numId w:val="2"/>
        </w:numPr>
        <w:spacing w:after="60" w:before="60"/>
      </w:pPr>
      <w:r>
        <w:rPr>
          <w:rFonts w:ascii="Arial" w:cs="Arial" w:eastAsia="Arial" w:hAnsi="Arial"/>
          <w:b/>
          <w:bCs/>
          <w:color w:val="1A1A1A"/>
          <w:sz w:val="22"/>
          <w:szCs w:val="22"/>
        </w:rPr>
        <w:t xml:space="preserve">Training plan: </w:t>
      </w:r>
      <w:r>
        <w:rPr>
          <w:rFonts w:ascii="Arial" w:cs="Arial" w:eastAsia="Arial" w:hAnsi="Arial"/>
          <w:color w:val="4A4A4A"/>
          <w:sz w:val="22"/>
          <w:szCs w:val="22"/>
        </w:rPr>
        <w:t xml:space="preserve">Resistance training increases GLUT-4 expression and insulin-independent glucose uptake. Your 6-day Poliquin plan is one of the best insulin sensitizing interventions that exists.</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Carbohydrate timing (already in plan): </w:t>
      </w:r>
      <w:r>
        <w:rPr>
          <w:rFonts w:ascii="Arial" w:cs="Arial" w:eastAsia="Arial" w:hAnsi="Arial"/>
          <w:color w:val="4A4A4A"/>
          <w:sz w:val="22"/>
          <w:szCs w:val="22"/>
        </w:rPr>
        <w:t xml:space="preserve">Post-training carbs when insulin sensitivity is maximally elevated. This is the foundational insulin optimization strategy.</w:t>
      </w:r>
    </w:p>
    <w:p>
      <w:pPr>
        <w:pStyle w:val="ListParagraph"/>
        <w:numPr>
          <w:ilvl w:val="0"/>
          <w:numId w:val="2"/>
        </w:numPr>
        <w:spacing w:after="60" w:before="60"/>
      </w:pPr>
      <w:r>
        <w:rPr>
          <w:rFonts w:ascii="Arial" w:cs="Arial" w:eastAsia="Arial" w:hAnsi="Arial"/>
          <w:b/>
          <w:bCs/>
          <w:color w:val="1A1A1A"/>
          <w:sz w:val="22"/>
          <w:szCs w:val="22"/>
        </w:rPr>
        <w:t xml:space="preserve">Training fasted occasionally: </w:t>
      </w:r>
      <w:r>
        <w:rPr>
          <w:rFonts w:ascii="Arial" w:cs="Arial" w:eastAsia="Arial" w:hAnsi="Arial"/>
          <w:color w:val="4A4A4A"/>
          <w:sz w:val="22"/>
          <w:szCs w:val="22"/>
        </w:rPr>
        <w:t xml:space="preserve">Periodic fasted morning training increases insulin receptor sensitivity. Not for heavy sessions — for light conditioning work.</w:t>
      </w:r>
    </w:p>
    <w:p>
      <w:pPr>
        <w:pStyle w:val="ListParagraph"/>
        <w:numPr>
          <w:ilvl w:val="0"/>
          <w:numId w:val="2"/>
        </w:numPr>
        <w:spacing w:after="60" w:before="60"/>
      </w:pPr>
      <w:r>
        <w:rPr>
          <w:rFonts w:ascii="Arial" w:cs="Arial" w:eastAsia="Arial" w:hAnsi="Arial"/>
          <w:b/>
          <w:bCs/>
          <w:color w:val="1A1A1A"/>
          <w:sz w:val="22"/>
          <w:szCs w:val="22"/>
        </w:rPr>
        <w:t xml:space="preserve">Vinegar with high-carbohydrate meals: </w:t>
      </w:r>
      <w:r>
        <w:rPr>
          <w:rFonts w:ascii="Arial" w:cs="Arial" w:eastAsia="Arial" w:hAnsi="Arial"/>
          <w:color w:val="4A4A4A"/>
          <w:sz w:val="22"/>
          <w:szCs w:val="22"/>
        </w:rPr>
        <w:t xml:space="preserve">ACV already in your stack. Blunts postprandial glucose spike by 20-30%.</w:t>
      </w:r>
    </w:p>
    <w:p>
      <w:pPr>
        <w:pStyle w:val="ListParagraph"/>
        <w:numPr>
          <w:ilvl w:val="0"/>
          <w:numId w:val="2"/>
        </w:numPr>
        <w:spacing w:after="60" w:before="60"/>
      </w:pPr>
      <w:r>
        <w:rPr>
          <w:rFonts w:ascii="Arial" w:cs="Arial" w:eastAsia="Arial" w:hAnsi="Arial"/>
          <w:b/>
          <w:bCs/>
          <w:color w:val="1A1A1A"/>
          <w:sz w:val="22"/>
          <w:szCs w:val="22"/>
        </w:rPr>
        <w:t xml:space="preserve">High fibre with carbohydrate meals: </w:t>
      </w:r>
      <w:r>
        <w:rPr>
          <w:rFonts w:ascii="Arial" w:cs="Arial" w:eastAsia="Arial" w:hAnsi="Arial"/>
          <w:color w:val="4A4A4A"/>
          <w:sz w:val="22"/>
          <w:szCs w:val="22"/>
        </w:rPr>
        <w:t xml:space="preserve">Slows glucose absorption, reduces insulin spike amplitude.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Berberine Phytosome 500mg — AMPK activation, insulin sensitizer, glucose partitioning. Take before carbohydrate-heavy meals.</w:t>
      </w:r>
    </w:p>
    <w:p>
      <w:pPr>
        <w:pStyle w:val="ListParagraph"/>
        <w:numPr>
          <w:ilvl w:val="0"/>
          <w:numId w:val="2"/>
        </w:numPr>
        <w:spacing w:after="40" w:before="40"/>
      </w:pPr>
      <w:r>
        <w:rPr>
          <w:rFonts w:ascii="Arial" w:cs="Arial" w:eastAsia="Arial" w:hAnsi="Arial"/>
          <w:color w:val="4A4A4A"/>
          <w:sz w:val="22"/>
          <w:szCs w:val="22"/>
        </w:rPr>
        <w:t xml:space="preserve">Alpha Lipoic Acid 300mg — insulin mimetic, glucose transporter upregulation</w:t>
      </w:r>
    </w:p>
    <w:p>
      <w:pPr>
        <w:pStyle w:val="ListParagraph"/>
        <w:numPr>
          <w:ilvl w:val="0"/>
          <w:numId w:val="2"/>
        </w:numPr>
        <w:spacing w:after="40" w:before="40"/>
      </w:pPr>
      <w:r>
        <w:rPr>
          <w:rFonts w:ascii="Arial" w:cs="Arial" w:eastAsia="Arial" w:hAnsi="Arial"/>
          <w:color w:val="4A4A4A"/>
          <w:sz w:val="22"/>
          <w:szCs w:val="22"/>
        </w:rPr>
        <w:t xml:space="preserve">Chromium Picolinate 200mcg — insulin receptor sensitivity cofactor</w:t>
      </w:r>
    </w:p>
    <w:p>
      <w:pPr>
        <w:pStyle w:val="ListParagraph"/>
        <w:numPr>
          <w:ilvl w:val="0"/>
          <w:numId w:val="2"/>
        </w:numPr>
        <w:spacing w:after="40" w:before="40"/>
      </w:pPr>
      <w:r>
        <w:rPr>
          <w:rFonts w:ascii="Arial" w:cs="Arial" w:eastAsia="Arial" w:hAnsi="Arial"/>
          <w:color w:val="4A4A4A"/>
          <w:sz w:val="22"/>
          <w:szCs w:val="22"/>
        </w:rPr>
        <w:t xml:space="preserve">Maitake mushroom — beta-glucan content improves insulin sensitivity</w:t>
      </w:r>
    </w:p>
    <w:p>
      <w:pPr>
        <w:pStyle w:val="ListParagraph"/>
        <w:numPr>
          <w:ilvl w:val="0"/>
          <w:numId w:val="2"/>
        </w:numPr>
        <w:spacing w:after="40" w:before="40"/>
      </w:pPr>
      <w:r>
        <w:rPr>
          <w:rFonts w:ascii="Arial" w:cs="Arial" w:eastAsia="Arial" w:hAnsi="Arial"/>
          <w:color w:val="4A4A4A"/>
          <w:sz w:val="22"/>
          <w:szCs w:val="22"/>
        </w:rPr>
        <w:t xml:space="preserve">Inositol 2-4g — insulin signaling second messenger, particularly effective combined with Berberine</w:t>
      </w:r>
    </w:p>
    <w:p>
      <w:pPr>
        <w:pStyle w:val="ListParagraph"/>
        <w:numPr>
          <w:ilvl w:val="0"/>
          <w:numId w:val="2"/>
        </w:numPr>
        <w:spacing w:after="40" w:before="40"/>
      </w:pPr>
      <w:r>
        <w:rPr>
          <w:rFonts w:ascii="Arial" w:cs="Arial" w:eastAsia="Arial" w:hAnsi="Arial"/>
          <w:color w:val="4A4A4A"/>
          <w:sz w:val="22"/>
          <w:szCs w:val="22"/>
        </w:rPr>
        <w:t xml:space="preserve">Cinnamon extract — insulin sensitizer, modest but additive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Pancragen (Khavinson): </w:t>
      </w:r>
      <w:r>
        <w:rPr>
          <w:rFonts w:ascii="Arial" w:cs="Arial" w:eastAsia="Arial" w:hAnsi="Arial"/>
          <w:color w:val="4A4A4A"/>
          <w:sz w:val="22"/>
          <w:szCs w:val="22"/>
        </w:rPr>
        <w:t xml:space="preserve">Pancreatic tissue bioregulator. Optimizes beta cell gene expression and insulin secretion quality. Structural change to pancreatic function. Run in Block 3 when carbohydrate intake is highest.</w:t>
      </w:r>
    </w:p>
    <w:p>
      <w:pPr>
        <w:pStyle w:val="ListParagraph"/>
        <w:numPr>
          <w:ilvl w:val="0"/>
          <w:numId w:val="2"/>
        </w:numPr>
        <w:spacing w:after="60" w:before="60"/>
      </w:pPr>
      <w:r>
        <w:rPr>
          <w:rFonts w:ascii="Arial" w:cs="Arial" w:eastAsia="Arial" w:hAnsi="Arial"/>
          <w:b/>
          <w:bCs/>
          <w:color w:val="1A1A1A"/>
          <w:sz w:val="22"/>
          <w:szCs w:val="22"/>
        </w:rPr>
        <w:t xml:space="preserve">MOTS-c: </w:t>
      </w:r>
      <w:r>
        <w:rPr>
          <w:rFonts w:ascii="Arial" w:cs="Arial" w:eastAsia="Arial" w:hAnsi="Arial"/>
          <w:color w:val="4A4A4A"/>
          <w:sz w:val="22"/>
          <w:szCs w:val="22"/>
        </w:rPr>
        <w:t xml:space="preserve">Mitochondrially-derived peptide that dramatically improves insulin sensitivity through AMPK. Structural metabolic change. Block 3 mitochondrial focus block.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Berberine and ACV throughout all blocks with carbohydrate meals. Alpha Lipoic Acid from Block 2. Pancragen in Block 3. MOTS-c in Block 3 mitochondrial block.</w:t>
            </w:r>
          </w:p>
        </w:tc>
      </w:tr>
    </w:tbl>
    <w:p>
      <w:pPr>
        <w:spacing w:after="0" w:before="120"/>
      </w:pPr>
      <w:r>
        <w:t xml:space="preserve"/>
      </w:r>
    </w:p>
    <w:p>
      <w:r>
        <w:br w:type="page"/>
      </w:r>
    </w:p>
    <w:p>
      <w:pPr>
        <w:pBdr>
          <w:bottom w:val="single" w:color="C9A84C" w:sz="6" w:space="4"/>
          <w:left w:val="single" w:color="7B1F2E" w:sz="24" w:space="4"/>
        </w:pBdr>
        <w:spacing w:after="60" w:before="480"/>
        <w:ind w:left="200"/>
      </w:pPr>
      <w:r>
        <w:rPr>
          <w:rFonts w:ascii="Arial" w:cs="Arial" w:eastAsia="Arial" w:hAnsi="Arial"/>
          <w:b/>
          <w:bCs/>
          <w:color w:val="7B1F2E"/>
          <w:sz w:val="40"/>
          <w:szCs w:val="40"/>
        </w:rPr>
        <w:t xml:space="preserve">7. CARDIOVASCULAR SYSTEM</w:t>
      </w:r>
    </w:p>
    <w:p>
      <w:pPr>
        <w:spacing w:after="160" w:before="40"/>
        <w:ind w:left="200"/>
      </w:pPr>
      <w:r>
        <w:rPr>
          <w:rFonts w:ascii="Arial" w:cs="Arial" w:eastAsia="Arial" w:hAnsi="Arial"/>
          <w:color w:val="7B1F2E"/>
          <w:sz w:val="22"/>
          <w:szCs w:val="22"/>
        </w:rPr>
        <w:t xml:space="preserve">Cardiac function, vascular integrity, lipid management, Finnish genetic risk</w:t>
      </w:r>
    </w:p>
    <w:p>
      <w:pPr>
        <w:spacing w:after="60" w:before="60"/>
      </w:pPr>
      <w:r>
        <w:rPr>
          <w:rFonts w:ascii="Arial" w:cs="Arial" w:eastAsia="Arial" w:hAnsi="Arial"/>
          <w:color w:val="4A4A4A"/>
          <w:sz w:val="22"/>
          <w:szCs w:val="22"/>
        </w:rPr>
        <w:t xml:space="preserve">This is your second highest priority system after thyroid given your family history. Finnish genetic predisposition to cardiovascular disease is one of the most documented ethnic cardiac risk patterns in medicine. Your aunt's heart replacement and Finnish grandparent history make preventive cardiovascular optimization genuinely important rather than speculative.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1F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URGENT</w:t>
            </w:r>
          </w:p>
        </w:tc>
        <w:tc>
          <w:tcPr>
            <w:tcW w:type="dxa" w:w="8160"/>
            <w:tcBorders>
              <w:top w:val="none" w:color="FFFFFF" w:sz="0"/>
              <w:left w:val="none" w:color="FFFFFF" w:sz="0"/>
              <w:bottom w:val="none" w:color="FFFFFF" w:sz="0"/>
              <w:right w:val="none" w:color="FFFFFF" w:sz="0"/>
            </w:tcBorders>
            <w:shd w:fill="FCE8EB" w:val="clear"/>
            <w:tcMar>
              <w:top w:type="dxa" w:w="120"/>
              <w:left w:type="dxa" w:w="160"/>
              <w:bottom w:type="dxa" w:w="120"/>
              <w:right w:type="dxa" w:w="160"/>
            </w:tcMar>
          </w:tcPr>
          <w:p>
            <w:r>
              <w:rPr>
                <w:rFonts w:ascii="Arial" w:cs="Arial" w:eastAsia="Arial" w:hAnsi="Arial"/>
                <w:color w:val="1A1A1A"/>
                <w:sz w:val="22"/>
                <w:szCs w:val="22"/>
              </w:rPr>
              <w:t xml:space="preserve">Get ApoB, Lp(a), and hs-CRP tested at baseline. ApoB is a better predictor of cardiovascular risk than LDL cholesterol. Lp(a) is largely genetic and elevated in Finnish populations — knowing your number before your 20s matters for long-term planning.</w:t>
            </w:r>
          </w:p>
        </w:tc>
      </w:tr>
    </w:tbl>
    <w:p>
      <w:pPr>
        <w:spacing w:after="0" w:before="120"/>
      </w:pPr>
      <w:r>
        <w:t xml:space="preserve"/>
      </w:r>
    </w:p>
    <w:p>
      <w:pPr>
        <w:pStyle w:val="Heading3"/>
        <w:spacing w:after="80" w:before="240"/>
      </w:pPr>
      <w:r>
        <w:rPr>
          <w:rFonts w:ascii="Arial" w:cs="Arial" w:eastAsia="Arial" w:hAnsi="Arial"/>
          <w:b/>
          <w:bCs/>
          <w:color w:val="3A6BC4"/>
          <w:sz w:val="24"/>
          <w:szCs w:val="24"/>
        </w:rPr>
        <w:t xml:space="preserve">Current Status Assessment</w:t>
      </w:r>
    </w:p>
    <w:p>
      <w:pPr>
        <w:pStyle w:val="ListParagraph"/>
        <w:numPr>
          <w:ilvl w:val="0"/>
          <w:numId w:val="2"/>
        </w:numPr>
        <w:spacing w:after="60" w:before="60"/>
      </w:pPr>
      <w:r>
        <w:rPr>
          <w:rFonts w:ascii="Arial" w:cs="Arial" w:eastAsia="Arial" w:hAnsi="Arial"/>
          <w:b/>
          <w:bCs/>
          <w:color w:val="1A1A1A"/>
          <w:sz w:val="22"/>
          <w:szCs w:val="22"/>
        </w:rPr>
        <w:t xml:space="preserve">Resting HR 44-60bpm: </w:t>
      </w:r>
      <w:r>
        <w:rPr>
          <w:rFonts w:ascii="Arial" w:cs="Arial" w:eastAsia="Arial" w:hAnsi="Arial"/>
          <w:color w:val="4A4A4A"/>
          <w:sz w:val="22"/>
          <w:szCs w:val="22"/>
        </w:rPr>
        <w:t xml:space="preserve">Excellent cardiac efficiency. Low resting HR reflects high stroke volume and strong parasympathetic tone.</w:t>
      </w:r>
    </w:p>
    <w:p>
      <w:pPr>
        <w:pStyle w:val="ListParagraph"/>
        <w:numPr>
          <w:ilvl w:val="0"/>
          <w:numId w:val="2"/>
        </w:numPr>
        <w:spacing w:after="60" w:before="60"/>
      </w:pPr>
      <w:r>
        <w:rPr>
          <w:rFonts w:ascii="Arial" w:cs="Arial" w:eastAsia="Arial" w:hAnsi="Arial"/>
          <w:b/>
          <w:bCs/>
          <w:color w:val="1A1A1A"/>
          <w:sz w:val="22"/>
          <w:szCs w:val="22"/>
        </w:rPr>
        <w:t xml:space="preserve">HRV 90ms: </w:t>
      </w:r>
      <w:r>
        <w:rPr>
          <w:rFonts w:ascii="Arial" w:cs="Arial" w:eastAsia="Arial" w:hAnsi="Arial"/>
          <w:color w:val="4A4A4A"/>
          <w:sz w:val="22"/>
          <w:szCs w:val="22"/>
        </w:rPr>
        <w:t xml:space="preserve">Very good autonomic balance. Cardiovascular autonomic health is strong.</w:t>
      </w:r>
    </w:p>
    <w:p>
      <w:pPr>
        <w:pStyle w:val="ListParagraph"/>
        <w:numPr>
          <w:ilvl w:val="0"/>
          <w:numId w:val="2"/>
        </w:numPr>
        <w:spacing w:after="60" w:before="60"/>
      </w:pPr>
      <w:r>
        <w:rPr>
          <w:rFonts w:ascii="Arial" w:cs="Arial" w:eastAsia="Arial" w:hAnsi="Arial"/>
          <w:b/>
          <w:bCs/>
          <w:color w:val="1A1A1A"/>
          <w:sz w:val="22"/>
          <w:szCs w:val="22"/>
        </w:rPr>
        <w:t xml:space="preserve">Finnish genetics: </w:t>
      </w:r>
      <w:r>
        <w:rPr>
          <w:rFonts w:ascii="Arial" w:cs="Arial" w:eastAsia="Arial" w:hAnsi="Arial"/>
          <w:color w:val="4A4A4A"/>
          <w:sz w:val="22"/>
          <w:szCs w:val="22"/>
        </w:rPr>
        <w:t xml:space="preserve">Higher baseline risk for atherosclerosis, hypertension, and cardiac events. Early prevention is far more effective than late treatment.</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Zone 2 cardio 2x weekly: </w:t>
      </w:r>
      <w:r>
        <w:rPr>
          <w:rFonts w:ascii="Arial" w:cs="Arial" w:eastAsia="Arial" w:hAnsi="Arial"/>
          <w:color w:val="4A4A4A"/>
          <w:sz w:val="22"/>
          <w:szCs w:val="22"/>
        </w:rPr>
        <w:t xml:space="preserve">Already in your plan from Block 3. Builds mitochondrial density in cardiac muscle. The single most evidence-based cardiovascular intervention available.</w:t>
      </w:r>
    </w:p>
    <w:p>
      <w:pPr>
        <w:pStyle w:val="ListParagraph"/>
        <w:numPr>
          <w:ilvl w:val="0"/>
          <w:numId w:val="2"/>
        </w:numPr>
        <w:spacing w:after="60" w:before="60"/>
      </w:pPr>
      <w:r>
        <w:rPr>
          <w:rFonts w:ascii="Arial" w:cs="Arial" w:eastAsia="Arial" w:hAnsi="Arial"/>
          <w:b/>
          <w:bCs/>
          <w:color w:val="1A1A1A"/>
          <w:sz w:val="22"/>
          <w:szCs w:val="22"/>
        </w:rPr>
        <w:t xml:space="preserve">Sauna 2-3x weekly from September: </w:t>
      </w:r>
      <w:r>
        <w:rPr>
          <w:rFonts w:ascii="Arial" w:cs="Arial" w:eastAsia="Arial" w:hAnsi="Arial"/>
          <w:color w:val="4A4A4A"/>
          <w:sz w:val="22"/>
          <w:szCs w:val="22"/>
        </w:rPr>
        <w:t xml:space="preserve">Finnish sauna use (ironic given your heritage) has the strongest cardiovascular evidence of any passive intervention. Reduces all-cause cardiovascular mortality significantly in the long-term Kuopio study.</w:t>
      </w:r>
    </w:p>
    <w:p>
      <w:pPr>
        <w:pStyle w:val="ListParagraph"/>
        <w:numPr>
          <w:ilvl w:val="0"/>
          <w:numId w:val="2"/>
        </w:numPr>
        <w:spacing w:after="60" w:before="60"/>
      </w:pPr>
      <w:r>
        <w:rPr>
          <w:rFonts w:ascii="Arial" w:cs="Arial" w:eastAsia="Arial" w:hAnsi="Arial"/>
          <w:b/>
          <w:bCs/>
          <w:color w:val="1A1A1A"/>
          <w:sz w:val="22"/>
          <w:szCs w:val="22"/>
        </w:rPr>
        <w:t xml:space="preserve">Omega-3 fatty acids: </w:t>
      </w:r>
      <w:r>
        <w:rPr>
          <w:rFonts w:ascii="Arial" w:cs="Arial" w:eastAsia="Arial" w:hAnsi="Arial"/>
          <w:color w:val="4A4A4A"/>
          <w:sz w:val="22"/>
          <w:szCs w:val="22"/>
        </w:rPr>
        <w:t xml:space="preserve">EPA and DHA reduce triglycerides, reduce inflammation, and have direct anti-arrhythmic effects on cardiac tissue. Already in your stack.</w:t>
      </w:r>
    </w:p>
    <w:p>
      <w:pPr>
        <w:pStyle w:val="ListParagraph"/>
        <w:numPr>
          <w:ilvl w:val="0"/>
          <w:numId w:val="2"/>
        </w:numPr>
        <w:spacing w:after="60" w:before="60"/>
      </w:pPr>
      <w:r>
        <w:rPr>
          <w:rFonts w:ascii="Arial" w:cs="Arial" w:eastAsia="Arial" w:hAnsi="Arial"/>
          <w:b/>
          <w:bCs/>
          <w:color w:val="1A1A1A"/>
          <w:sz w:val="22"/>
          <w:szCs w:val="22"/>
        </w:rPr>
        <w:t xml:space="preserve">Minimize processed food sodium: </w:t>
      </w:r>
      <w:r>
        <w:rPr>
          <w:rFonts w:ascii="Arial" w:cs="Arial" w:eastAsia="Arial" w:hAnsi="Arial"/>
          <w:color w:val="4A4A4A"/>
          <w:sz w:val="22"/>
          <w:szCs w:val="22"/>
        </w:rPr>
        <w:t xml:space="preserve">Relevant given hypertension family history. Whole food sodium from salt is fine — processed food sodium is the risk.</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Fish oil/Krill oil 3-5g EPA/DHA daily — anti-arrhythmic, triglyceride reduction, vascular anti-inflammatory</w:t>
      </w:r>
    </w:p>
    <w:p>
      <w:pPr>
        <w:pStyle w:val="ListParagraph"/>
        <w:numPr>
          <w:ilvl w:val="0"/>
          <w:numId w:val="2"/>
        </w:numPr>
        <w:spacing w:after="40" w:before="40"/>
      </w:pPr>
      <w:r>
        <w:rPr>
          <w:rFonts w:ascii="Arial" w:cs="Arial" w:eastAsia="Arial" w:hAnsi="Arial"/>
          <w:color w:val="4A4A4A"/>
          <w:sz w:val="22"/>
          <w:szCs w:val="22"/>
        </w:rPr>
        <w:t xml:space="preserve">CoQ10 ubiquinol 200mg — cardiac mitochondrial function, ATP synthesis in cardiomyocytes</w:t>
      </w:r>
    </w:p>
    <w:p>
      <w:pPr>
        <w:pStyle w:val="ListParagraph"/>
        <w:numPr>
          <w:ilvl w:val="0"/>
          <w:numId w:val="2"/>
        </w:numPr>
        <w:spacing w:after="40" w:before="40"/>
      </w:pPr>
      <w:r>
        <w:rPr>
          <w:rFonts w:ascii="Arial" w:cs="Arial" w:eastAsia="Arial" w:hAnsi="Arial"/>
          <w:color w:val="4A4A4A"/>
          <w:sz w:val="22"/>
          <w:szCs w:val="22"/>
        </w:rPr>
        <w:t xml:space="preserve">Magnesium glycinate (already in stack) — cardiac rhythm regulation, reduces arrhythmia risk</w:t>
      </w:r>
    </w:p>
    <w:p>
      <w:pPr>
        <w:pStyle w:val="ListParagraph"/>
        <w:numPr>
          <w:ilvl w:val="0"/>
          <w:numId w:val="2"/>
        </w:numPr>
        <w:spacing w:after="40" w:before="40"/>
      </w:pPr>
      <w:r>
        <w:rPr>
          <w:rFonts w:ascii="Arial" w:cs="Arial" w:eastAsia="Arial" w:hAnsi="Arial"/>
          <w:color w:val="4A4A4A"/>
          <w:sz w:val="22"/>
          <w:szCs w:val="22"/>
        </w:rPr>
        <w:t xml:space="preserve">Vitamin K2 MK-7 (with D3 already in stack) — directs calcium to bone not arteries, anti-calcification</w:t>
      </w:r>
    </w:p>
    <w:p>
      <w:pPr>
        <w:pStyle w:val="ListParagraph"/>
        <w:numPr>
          <w:ilvl w:val="0"/>
          <w:numId w:val="2"/>
        </w:numPr>
        <w:spacing w:after="40" w:before="40"/>
      </w:pPr>
      <w:r>
        <w:rPr>
          <w:rFonts w:ascii="Arial" w:cs="Arial" w:eastAsia="Arial" w:hAnsi="Arial"/>
          <w:color w:val="4A4A4A"/>
          <w:sz w:val="22"/>
          <w:szCs w:val="22"/>
        </w:rPr>
        <w:t xml:space="preserve">Berberine (already listed) — lipid lowering, cardiac protective, AMPK activation</w:t>
      </w:r>
    </w:p>
    <w:p>
      <w:pPr>
        <w:pStyle w:val="ListParagraph"/>
        <w:numPr>
          <w:ilvl w:val="0"/>
          <w:numId w:val="2"/>
        </w:numPr>
        <w:spacing w:after="40" w:before="40"/>
      </w:pPr>
      <w:r>
        <w:rPr>
          <w:rFonts w:ascii="Arial" w:cs="Arial" w:eastAsia="Arial" w:hAnsi="Arial"/>
          <w:color w:val="4A4A4A"/>
          <w:sz w:val="22"/>
          <w:szCs w:val="22"/>
        </w:rPr>
        <w:t xml:space="preserve">Nattokinase 2000 FU — fibrinolytic enzyme, reduces fibrin accumulation, supports vascular patency</w:t>
      </w:r>
    </w:p>
    <w:p>
      <w:pPr>
        <w:pStyle w:val="ListParagraph"/>
        <w:numPr>
          <w:ilvl w:val="0"/>
          <w:numId w:val="2"/>
        </w:numPr>
        <w:spacing w:after="40" w:before="40"/>
      </w:pPr>
      <w:r>
        <w:rPr>
          <w:rFonts w:ascii="Arial" w:cs="Arial" w:eastAsia="Arial" w:hAnsi="Arial"/>
          <w:color w:val="4A4A4A"/>
          <w:sz w:val="22"/>
          <w:szCs w:val="22"/>
        </w:rPr>
        <w:t xml:space="preserve">Resveratrol 500mg — SIRT1 activation, endothelial protection, anti-oxidant</w:t>
      </w:r>
    </w:p>
    <w:p>
      <w:pPr>
        <w:pStyle w:val="ListParagraph"/>
        <w:numPr>
          <w:ilvl w:val="0"/>
          <w:numId w:val="2"/>
        </w:numPr>
        <w:spacing w:after="40" w:before="40"/>
      </w:pPr>
      <w:r>
        <w:rPr>
          <w:rFonts w:ascii="Arial" w:cs="Arial" w:eastAsia="Arial" w:hAnsi="Arial"/>
          <w:color w:val="4A4A4A"/>
          <w:sz w:val="22"/>
          <w:szCs w:val="22"/>
        </w:rPr>
        <w:t xml:space="preserve">Aged Garlic Extract — blood pressure, platelet aggregation, endothelial function</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and Bioregulator Layer</w:t>
      </w:r>
    </w:p>
    <w:p>
      <w:pPr>
        <w:pStyle w:val="ListParagraph"/>
        <w:numPr>
          <w:ilvl w:val="0"/>
          <w:numId w:val="2"/>
        </w:numPr>
        <w:spacing w:after="60" w:before="60"/>
      </w:pPr>
      <w:r>
        <w:rPr>
          <w:rFonts w:ascii="Arial" w:cs="Arial" w:eastAsia="Arial" w:hAnsi="Arial"/>
          <w:b/>
          <w:bCs/>
          <w:color w:val="1A1A1A"/>
          <w:sz w:val="22"/>
          <w:szCs w:val="22"/>
        </w:rPr>
        <w:t xml:space="preserve">Cardiogen (Khavinson): </w:t>
      </w:r>
      <w:r>
        <w:rPr>
          <w:rFonts w:ascii="Arial" w:cs="Arial" w:eastAsia="Arial" w:hAnsi="Arial"/>
          <w:color w:val="4A4A4A"/>
          <w:sz w:val="22"/>
          <w:szCs w:val="22"/>
        </w:rPr>
        <w:t xml:space="preserve">Cardiac tissue specific bioregulator. Optimizes cardiomyocyte gene expression, reduces fibrosis, supports contractility. Structural change. Your April cardiovascular block.</w:t>
      </w:r>
    </w:p>
    <w:p>
      <w:pPr>
        <w:pStyle w:val="ListParagraph"/>
        <w:numPr>
          <w:ilvl w:val="0"/>
          <w:numId w:val="2"/>
        </w:numPr>
        <w:spacing w:after="60" w:before="60"/>
      </w:pPr>
      <w:r>
        <w:rPr>
          <w:rFonts w:ascii="Arial" w:cs="Arial" w:eastAsia="Arial" w:hAnsi="Arial"/>
          <w:b/>
          <w:bCs/>
          <w:color w:val="1A1A1A"/>
          <w:sz w:val="22"/>
          <w:szCs w:val="22"/>
        </w:rPr>
        <w:t xml:space="preserve">Vesugen (Khavinson): </w:t>
      </w:r>
      <w:r>
        <w:rPr>
          <w:rFonts w:ascii="Arial" w:cs="Arial" w:eastAsia="Arial" w:hAnsi="Arial"/>
          <w:color w:val="4A4A4A"/>
          <w:sz w:val="22"/>
          <w:szCs w:val="22"/>
        </w:rPr>
        <w:t xml:space="preserve">Vascular tissue bioregulator. Endothelial function, blood vessel wall integrity, microcirculation. Run alongside Cardiogen in April.</w:t>
      </w:r>
    </w:p>
    <w:p>
      <w:pPr>
        <w:pStyle w:val="ListParagraph"/>
        <w:numPr>
          <w:ilvl w:val="0"/>
          <w:numId w:val="2"/>
        </w:numPr>
        <w:spacing w:after="60" w:before="60"/>
      </w:pPr>
      <w:r>
        <w:rPr>
          <w:rFonts w:ascii="Arial" w:cs="Arial" w:eastAsia="Arial" w:hAnsi="Arial"/>
          <w:b/>
          <w:bCs/>
          <w:color w:val="1A1A1A"/>
          <w:sz w:val="22"/>
          <w:szCs w:val="22"/>
        </w:rPr>
        <w:t xml:space="preserve">SS-31: </w:t>
      </w:r>
      <w:r>
        <w:rPr>
          <w:rFonts w:ascii="Arial" w:cs="Arial" w:eastAsia="Arial" w:hAnsi="Arial"/>
          <w:color w:val="4A4A4A"/>
          <w:sz w:val="22"/>
          <w:szCs w:val="22"/>
        </w:rPr>
        <w:t xml:space="preserve">Protects inner mitochondrial membrane in cardiac tissue specifically. Reduces cardiac oxidative stress. Block 3 mitochondrial block and April cardiovascular block.</w:t>
      </w:r>
    </w:p>
    <w:p>
      <w:pPr>
        <w:pStyle w:val="ListParagraph"/>
        <w:numPr>
          <w:ilvl w:val="0"/>
          <w:numId w:val="2"/>
        </w:numPr>
        <w:spacing w:after="60" w:before="60"/>
      </w:pPr>
      <w:r>
        <w:rPr>
          <w:rFonts w:ascii="Arial" w:cs="Arial" w:eastAsia="Arial" w:hAnsi="Arial"/>
          <w:b/>
          <w:bCs/>
          <w:color w:val="1A1A1A"/>
          <w:sz w:val="22"/>
          <w:szCs w:val="22"/>
        </w:rPr>
        <w:t xml:space="preserve">Telmisartan: </w:t>
      </w:r>
      <w:r>
        <w:rPr>
          <w:rFonts w:ascii="Arial" w:cs="Arial" w:eastAsia="Arial" w:hAnsi="Arial"/>
          <w:color w:val="4A4A4A"/>
          <w:sz w:val="22"/>
          <w:szCs w:val="22"/>
        </w:rPr>
        <w:t xml:space="preserve">ARB with PPAR-delta agonism. Vascular remodeling, anti-fibrotic in cardiac tissue, mitochondrial biogenesis. April cardiovascular block.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Fish oil, CoQ10, K2, Magnesium throughout all blocks. Nattokinase from Block 2. April block: Cardiogen + Vesugen + Telmisartan + SS-31 as dedicated cardiovascular optimization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3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Optimal</w:t>
            </w:r>
          </w:p>
        </w:tc>
        <w:tc>
          <w:tcPr>
            <w:tcW w:type="dxa" w:w="386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Finnish Risk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ApoB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70 mg/dL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100 mg/dL — Finnish elevation common</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Lp(a)</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&lt; 30 mg/dL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Above 50 = independent risk factor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hs-CRP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0.5 mg/L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1.0 = elevated vascular inflammation</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Homocysteine</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&lt; 8 umol/L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&gt; 12 = Finnish MTHFR variant common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Cholesterol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180 mg/dL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Less important than ApoB</w:t>
            </w:r>
          </w:p>
        </w:tc>
      </w:tr>
      <w:tr>
        <w:tc>
          <w:tcPr>
            <w:tcW w:type="dxa" w:w="2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Triglycerides</w:t>
            </w:r>
          </w:p>
        </w:tc>
        <w:tc>
          <w:tcPr>
            <w:tcW w:type="dxa" w:w="3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&lt; 80 mg/dL</w:t>
            </w:r>
          </w:p>
        </w:tc>
        <w:tc>
          <w:tcPr>
            <w:tcW w:type="dxa" w:w="38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&gt; 150 = metabolic dysfunction</w:t>
            </w:r>
          </w:p>
        </w:tc>
      </w:tr>
    </w:tbl>
    <w:p>
      <w:pPr>
        <w:spacing w:after="0" w:before="120"/>
      </w:pPr>
      <w:r>
        <w:t xml:space="preserve"/>
      </w:r>
    </w:p>
    <w:p>
      <w:r>
        <w:br w:type="page"/>
      </w:r>
    </w:p>
    <w:p>
      <w:pPr>
        <w:pBdr>
          <w:bottom w:val="single" w:color="C9A84C" w:sz="6" w:space="4"/>
          <w:left w:val="single" w:color="2E6B4F" w:sz="24" w:space="4"/>
        </w:pBdr>
        <w:spacing w:after="60" w:before="480"/>
        <w:ind w:left="200"/>
      </w:pPr>
      <w:r>
        <w:rPr>
          <w:rFonts w:ascii="Arial" w:cs="Arial" w:eastAsia="Arial" w:hAnsi="Arial"/>
          <w:b/>
          <w:bCs/>
          <w:color w:val="2E6B4F"/>
          <w:sz w:val="40"/>
          <w:szCs w:val="40"/>
        </w:rPr>
        <w:t xml:space="preserve">8. LUNGS &amp; RESPIRATORY SYSTEM</w:t>
      </w:r>
    </w:p>
    <w:p>
      <w:pPr>
        <w:spacing w:after="160" w:before="40"/>
        <w:ind w:left="200"/>
      </w:pPr>
      <w:r>
        <w:rPr>
          <w:rFonts w:ascii="Arial" w:cs="Arial" w:eastAsia="Arial" w:hAnsi="Arial"/>
          <w:color w:val="3A9E6F"/>
          <w:sz w:val="22"/>
          <w:szCs w:val="22"/>
        </w:rPr>
        <w:t xml:space="preserve">Oxygen extraction, CO2 tolerance, breathing mechanics, aerobic ceiling</w:t>
      </w:r>
    </w:p>
    <w:p>
      <w:pPr>
        <w:spacing w:after="60" w:before="60"/>
      </w:pPr>
      <w:r>
        <w:rPr>
          <w:rFonts w:ascii="Arial" w:cs="Arial" w:eastAsia="Arial" w:hAnsi="Arial"/>
          <w:color w:val="4A4A4A"/>
          <w:sz w:val="22"/>
          <w:szCs w:val="22"/>
        </w:rPr>
        <w:t xml:space="preserve">Your respiratory rate of 14.5 breaths per minute is slightly above optimal (12-14). This suggests mild respiratory inefficiency — you're moving air more frequently than necessary rather than extracting maximum oxygen per breath. Improving this raises your aerobic ceiling directly, which serves both the conditioning work in your bulk and the summer martial arts block.</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 — Breathing Practice</w:t>
      </w:r>
    </w:p>
    <w:p>
      <w:pPr>
        <w:pStyle w:val="ListParagraph"/>
        <w:numPr>
          <w:ilvl w:val="0"/>
          <w:numId w:val="2"/>
        </w:numPr>
        <w:spacing w:after="60" w:before="60"/>
      </w:pPr>
      <w:r>
        <w:rPr>
          <w:rFonts w:ascii="Arial" w:cs="Arial" w:eastAsia="Arial" w:hAnsi="Arial"/>
          <w:b/>
          <w:bCs/>
          <w:color w:val="1A1A1A"/>
          <w:sz w:val="22"/>
          <w:szCs w:val="22"/>
        </w:rPr>
        <w:t xml:space="preserve">Nasal breathing exclusively: </w:t>
      </w:r>
      <w:r>
        <w:rPr>
          <w:rFonts w:ascii="Arial" w:cs="Arial" w:eastAsia="Arial" w:hAnsi="Arial"/>
          <w:color w:val="4A4A4A"/>
          <w:sz w:val="22"/>
          <w:szCs w:val="22"/>
        </w:rPr>
        <w:t xml:space="preserve">You confirmed nasal breathing predominantly. The nasal passage warms, humidifies, and filters air, and produces nitric oxide which vasodilates the airways. Commit to nasal breathing during all training up to 70% effort. This is uncomfortable initially and becomes natural within weeks.</w:t>
      </w:r>
    </w:p>
    <w:p>
      <w:pPr>
        <w:pStyle w:val="ListParagraph"/>
        <w:numPr>
          <w:ilvl w:val="0"/>
          <w:numId w:val="2"/>
        </w:numPr>
        <w:spacing w:after="60" w:before="60"/>
      </w:pPr>
      <w:r>
        <w:rPr>
          <w:rFonts w:ascii="Arial" w:cs="Arial" w:eastAsia="Arial" w:hAnsi="Arial"/>
          <w:b/>
          <w:bCs/>
          <w:color w:val="1A1A1A"/>
          <w:sz w:val="22"/>
          <w:szCs w:val="22"/>
        </w:rPr>
        <w:t xml:space="preserve">Box breathing protocol daily: </w:t>
      </w:r>
      <w:r>
        <w:rPr>
          <w:rFonts w:ascii="Arial" w:cs="Arial" w:eastAsia="Arial" w:hAnsi="Arial"/>
          <w:color w:val="4A4A4A"/>
          <w:sz w:val="22"/>
          <w:szCs w:val="22"/>
        </w:rPr>
        <w:t xml:space="preserve">4 seconds inhale, 4 hold, 4 exhale, 4 hold. 5 minutes daily. Extends CO2 tolerance, reduces respiratory rate, activates parasympathetic nervous system. Do during NSDR sessions.</w:t>
      </w:r>
    </w:p>
    <w:p>
      <w:pPr>
        <w:pStyle w:val="ListParagraph"/>
        <w:numPr>
          <w:ilvl w:val="0"/>
          <w:numId w:val="2"/>
        </w:numPr>
        <w:spacing w:after="60" w:before="60"/>
      </w:pPr>
      <w:r>
        <w:rPr>
          <w:rFonts w:ascii="Arial" w:cs="Arial" w:eastAsia="Arial" w:hAnsi="Arial"/>
          <w:b/>
          <w:bCs/>
          <w:color w:val="1A1A1A"/>
          <w:sz w:val="22"/>
          <w:szCs w:val="22"/>
        </w:rPr>
        <w:t xml:space="preserve">Physiological sigh (Huberman): </w:t>
      </w:r>
      <w:r>
        <w:rPr>
          <w:rFonts w:ascii="Arial" w:cs="Arial" w:eastAsia="Arial" w:hAnsi="Arial"/>
          <w:color w:val="4A4A4A"/>
          <w:sz w:val="22"/>
          <w:szCs w:val="22"/>
        </w:rPr>
        <w:t xml:space="preserve">Double inhale through nose then slow extended exhale. The fastest way to reduce acute physiological stress. Use between heavy sets.</w:t>
      </w:r>
    </w:p>
    <w:p>
      <w:pPr>
        <w:pStyle w:val="ListParagraph"/>
        <w:numPr>
          <w:ilvl w:val="0"/>
          <w:numId w:val="2"/>
        </w:numPr>
        <w:spacing w:after="60" w:before="60"/>
      </w:pPr>
      <w:r>
        <w:rPr>
          <w:rFonts w:ascii="Arial" w:cs="Arial" w:eastAsia="Arial" w:hAnsi="Arial"/>
          <w:b/>
          <w:bCs/>
          <w:color w:val="1A1A1A"/>
          <w:sz w:val="22"/>
          <w:szCs w:val="22"/>
        </w:rPr>
        <w:t xml:space="preserve">Breath hold training: </w:t>
      </w:r>
      <w:r>
        <w:rPr>
          <w:rFonts w:ascii="Arial" w:cs="Arial" w:eastAsia="Arial" w:hAnsi="Arial"/>
          <w:color w:val="4A4A4A"/>
          <w:sz w:val="22"/>
          <w:szCs w:val="22"/>
        </w:rPr>
        <w:t xml:space="preserve">Wim Hof or Oxygen Advantage protocol 3x weekly. Increases CO2 tolerance which is the primary limiter of breath during high-intensity exercise, not O2.</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N-Acetyl Cysteine (already in stack) — mucolytic, thins bronchial secretions, antioxidant for lung tissue</w:t>
      </w:r>
    </w:p>
    <w:p>
      <w:pPr>
        <w:pStyle w:val="ListParagraph"/>
        <w:numPr>
          <w:ilvl w:val="0"/>
          <w:numId w:val="2"/>
        </w:numPr>
        <w:spacing w:after="40" w:before="40"/>
      </w:pPr>
      <w:r>
        <w:rPr>
          <w:rFonts w:ascii="Arial" w:cs="Arial" w:eastAsia="Arial" w:hAnsi="Arial"/>
          <w:color w:val="4A4A4A"/>
          <w:sz w:val="22"/>
          <w:szCs w:val="22"/>
        </w:rPr>
        <w:t xml:space="preserve">Vitamin C (already in stack) — lung tissue antioxidant, reduces exercise-induced bronchoconstriction</w:t>
      </w:r>
    </w:p>
    <w:p>
      <w:pPr>
        <w:pStyle w:val="ListParagraph"/>
        <w:numPr>
          <w:ilvl w:val="0"/>
          <w:numId w:val="2"/>
        </w:numPr>
        <w:spacing w:after="40" w:before="40"/>
      </w:pPr>
      <w:r>
        <w:rPr>
          <w:rFonts w:ascii="Arial" w:cs="Arial" w:eastAsia="Arial" w:hAnsi="Arial"/>
          <w:color w:val="4A4A4A"/>
          <w:sz w:val="22"/>
          <w:szCs w:val="22"/>
        </w:rPr>
        <w:t xml:space="preserve">Magnesium (already in stack) — bronchodilator at physiological doses</w:t>
      </w:r>
    </w:p>
    <w:p>
      <w:pPr>
        <w:pStyle w:val="ListParagraph"/>
        <w:numPr>
          <w:ilvl w:val="0"/>
          <w:numId w:val="2"/>
        </w:numPr>
        <w:spacing w:after="40" w:before="40"/>
      </w:pPr>
      <w:r>
        <w:rPr>
          <w:rFonts w:ascii="Arial" w:cs="Arial" w:eastAsia="Arial" w:hAnsi="Arial"/>
          <w:color w:val="4A4A4A"/>
          <w:sz w:val="22"/>
          <w:szCs w:val="22"/>
        </w:rPr>
        <w:t xml:space="preserve">Cordyceps Militaris pre-training — increases oxygen utilization, VO2 max, ATP synthesis in lung tissue</w:t>
      </w:r>
    </w:p>
    <w:p>
      <w:pPr>
        <w:pStyle w:val="ListParagraph"/>
        <w:numPr>
          <w:ilvl w:val="0"/>
          <w:numId w:val="2"/>
        </w:numPr>
        <w:spacing w:after="40" w:before="40"/>
      </w:pPr>
      <w:r>
        <w:rPr>
          <w:rFonts w:ascii="Arial" w:cs="Arial" w:eastAsia="Arial" w:hAnsi="Arial"/>
          <w:color w:val="4A4A4A"/>
          <w:sz w:val="22"/>
          <w:szCs w:val="22"/>
        </w:rPr>
        <w:t xml:space="preserve">Quercetin — mast cell stabilizer, reduces airway inflammation</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Chonluten (Khavinson): </w:t>
      </w:r>
      <w:r>
        <w:rPr>
          <w:rFonts w:ascii="Arial" w:cs="Arial" w:eastAsia="Arial" w:hAnsi="Arial"/>
          <w:color w:val="4A4A4A"/>
          <w:sz w:val="22"/>
          <w:szCs w:val="22"/>
        </w:rPr>
        <w:t xml:space="preserve">Bronchial epithelium bioregulator. Improves gas exchange efficiency at the cellular level through epigenetic upregulation of respiratory cell function. Structural change. April cardiovascular/pulmonary block.</w:t>
      </w:r>
    </w:p>
    <w:p>
      <w:pPr>
        <w:pStyle w:val="ListParagraph"/>
        <w:numPr>
          <w:ilvl w:val="0"/>
          <w:numId w:val="2"/>
        </w:numPr>
        <w:spacing w:after="60" w:before="60"/>
      </w:pPr>
      <w:r>
        <w:rPr>
          <w:rFonts w:ascii="Arial" w:cs="Arial" w:eastAsia="Arial" w:hAnsi="Arial"/>
          <w:b/>
          <w:bCs/>
          <w:color w:val="1A1A1A"/>
          <w:sz w:val="22"/>
          <w:szCs w:val="22"/>
        </w:rPr>
        <w:t xml:space="preserve">Bronchogen (Khavinson): </w:t>
      </w:r>
      <w:r>
        <w:rPr>
          <w:rFonts w:ascii="Arial" w:cs="Arial" w:eastAsia="Arial" w:hAnsi="Arial"/>
          <w:color w:val="4A4A4A"/>
          <w:sz w:val="22"/>
          <w:szCs w:val="22"/>
        </w:rPr>
        <w:t xml:space="preserve">Bronchial mucosa regeneration. More targeted at mucosal tissue than Chonluten. Run one or the other in April — Chonluten if primary goal is gas exchange, Bronchogen if any respiratory history or mucosa quality concern.</w:t>
      </w:r>
    </w:p>
    <w:p>
      <w:pPr>
        <w:pStyle w:val="ListParagraph"/>
        <w:numPr>
          <w:ilvl w:val="0"/>
          <w:numId w:val="2"/>
        </w:numPr>
        <w:spacing w:after="60" w:before="60"/>
      </w:pPr>
      <w:r>
        <w:rPr>
          <w:rFonts w:ascii="Arial" w:cs="Arial" w:eastAsia="Arial" w:hAnsi="Arial"/>
          <w:b/>
          <w:bCs/>
          <w:color w:val="1A1A1A"/>
          <w:sz w:val="22"/>
          <w:szCs w:val="22"/>
        </w:rPr>
        <w:t xml:space="preserve">ARA-290: </w:t>
      </w:r>
      <w:r>
        <w:rPr>
          <w:rFonts w:ascii="Arial" w:cs="Arial" w:eastAsia="Arial" w:hAnsi="Arial"/>
          <w:color w:val="4A4A4A"/>
          <w:sz w:val="22"/>
          <w:szCs w:val="22"/>
        </w:rPr>
        <w:t xml:space="preserve">Erythropoietin peptide fragment. Anti-inflammatory in respiratory tissue, improves tissue oxygenation. Can be run in Block 5 for peak training performance.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Cordyceps pre-training throughout all blocks. Box breathing daily from Day 1. April: Chonluten or Bronchogen alongside Cardiogen for full cardiopulmonary optimization month.</w:t>
            </w:r>
          </w:p>
        </w:tc>
      </w:tr>
    </w:tbl>
    <w:p>
      <w:pPr>
        <w:spacing w:after="0" w:before="120"/>
      </w:pPr>
      <w:r>
        <w:t xml:space="preserve"/>
      </w:r>
    </w:p>
    <w:p>
      <w:r>
        <w:br w:type="page"/>
      </w:r>
    </w:p>
    <w:p>
      <w:pPr>
        <w:pBdr>
          <w:bottom w:val="single" w:color="C9A84C" w:sz="6" w:space="4"/>
          <w:left w:val="single" w:color="4A2E7B" w:sz="24" w:space="4"/>
        </w:pBdr>
        <w:spacing w:after="60" w:before="480"/>
        <w:ind w:left="200"/>
      </w:pPr>
      <w:r>
        <w:rPr>
          <w:rFonts w:ascii="Arial" w:cs="Arial" w:eastAsia="Arial" w:hAnsi="Arial"/>
          <w:b/>
          <w:bCs/>
          <w:color w:val="4A2E7B"/>
          <w:sz w:val="40"/>
          <w:szCs w:val="40"/>
        </w:rPr>
        <w:t xml:space="preserve">9. BRAIN &amp; NEUROLOGICAL SYSTEM</w:t>
      </w:r>
    </w:p>
    <w:p>
      <w:pPr>
        <w:spacing w:after="160" w:before="40"/>
        <w:ind w:left="200"/>
      </w:pPr>
      <w:r>
        <w:rPr>
          <w:rFonts w:ascii="Arial" w:cs="Arial" w:eastAsia="Arial" w:hAnsi="Arial"/>
          <w:color w:val="4A2E7B"/>
          <w:sz w:val="22"/>
          <w:szCs w:val="22"/>
        </w:rPr>
        <w:t xml:space="preserve">Post-concussion recovery, cognitive optimization, BDNF, neuroplasticity</w:t>
      </w:r>
    </w:p>
    <w:p>
      <w:pPr>
        <w:spacing w:after="60" w:before="60"/>
      </w:pPr>
      <w:r>
        <w:rPr>
          <w:rFonts w:ascii="Arial" w:cs="Arial" w:eastAsia="Arial" w:hAnsi="Arial"/>
          <w:color w:val="4A4A4A"/>
          <w:sz w:val="22"/>
          <w:szCs w:val="22"/>
        </w:rPr>
        <w:t xml:space="preserve">Five concussions before age 10 is the most clinically significant aspect of your health history. The developing brain is substantially more vulnerable to traumatic injury than the adult brain. Cumulative pediatric concussive injury can affect white matter integrity, neuroinflammatory baseline, and neurotransmitter regulation in ways that are often subtle but measurable. The neurological optimization plan has two parallel tracks: recovery from historical damage, and elevation of cognitive ceiling.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1F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URGENT</w:t>
            </w:r>
          </w:p>
        </w:tc>
        <w:tc>
          <w:tcPr>
            <w:tcW w:type="dxa" w:w="8160"/>
            <w:tcBorders>
              <w:top w:val="none" w:color="FFFFFF" w:sz="0"/>
              <w:left w:val="none" w:color="FFFFFF" w:sz="0"/>
              <w:bottom w:val="none" w:color="FFFFFF" w:sz="0"/>
              <w:right w:val="none" w:color="FFFFFF" w:sz="0"/>
            </w:tcBorders>
            <w:shd w:fill="FCE8EB" w:val="clear"/>
            <w:tcMar>
              <w:top w:type="dxa" w:w="120"/>
              <w:left w:type="dxa" w:w="160"/>
              <w:bottom w:type="dxa" w:w="120"/>
              <w:right w:type="dxa" w:w="160"/>
            </w:tcMar>
          </w:tcPr>
          <w:p>
            <w:r>
              <w:rPr>
                <w:rFonts w:ascii="Arial" w:cs="Arial" w:eastAsia="Arial" w:hAnsi="Arial"/>
                <w:color w:val="1A1A1A"/>
                <w:sz w:val="22"/>
                <w:szCs w:val="22"/>
              </w:rPr>
              <w:t xml:space="preserve">Get a neuropsychological baseline assessment before beginning any neurological compound stack. WSU student health or the neuroscience department can facilitate this. Your Lion's Mane irritability response indicates neurological sensitivity to NGF stimulation — this makes the baseline assessment more important, not less.</w:t>
            </w:r>
          </w:p>
        </w:tc>
      </w:tr>
    </w:tbl>
    <w:p>
      <w:pPr>
        <w:spacing w:after="0" w:before="120"/>
      </w:pPr>
      <w:r>
        <w:t xml:space="preserve"/>
      </w:r>
    </w:p>
    <w:p>
      <w:pPr>
        <w:pStyle w:val="Heading3"/>
        <w:spacing w:after="80" w:before="240"/>
      </w:pPr>
      <w:r>
        <w:rPr>
          <w:rFonts w:ascii="Arial" w:cs="Arial" w:eastAsia="Arial" w:hAnsi="Arial"/>
          <w:b/>
          <w:bCs/>
          <w:color w:val="3A6BC4"/>
          <w:sz w:val="24"/>
          <w:szCs w:val="24"/>
        </w:rPr>
        <w:t xml:space="preserve">Current Status Assessment</w:t>
      </w:r>
    </w:p>
    <w:p>
      <w:pPr>
        <w:pStyle w:val="ListParagraph"/>
        <w:numPr>
          <w:ilvl w:val="0"/>
          <w:numId w:val="2"/>
        </w:numPr>
        <w:spacing w:after="60" w:before="60"/>
      </w:pPr>
      <w:r>
        <w:rPr>
          <w:rFonts w:ascii="Arial" w:cs="Arial" w:eastAsia="Arial" w:hAnsi="Arial"/>
          <w:b/>
          <w:bCs/>
          <w:color w:val="1A1A1A"/>
          <w:sz w:val="22"/>
          <w:szCs w:val="22"/>
        </w:rPr>
        <w:t xml:space="preserve">HRV 90ms, max 192ms: </w:t>
      </w:r>
      <w:r>
        <w:rPr>
          <w:rFonts w:ascii="Arial" w:cs="Arial" w:eastAsia="Arial" w:hAnsi="Arial"/>
          <w:color w:val="4A4A4A"/>
          <w:sz w:val="22"/>
          <w:szCs w:val="22"/>
        </w:rPr>
        <w:t xml:space="preserve">Strong autonomic nervous system function. A good proxy for overall neurological health.</w:t>
      </w:r>
    </w:p>
    <w:p>
      <w:pPr>
        <w:pStyle w:val="ListParagraph"/>
        <w:numPr>
          <w:ilvl w:val="0"/>
          <w:numId w:val="2"/>
        </w:numPr>
        <w:spacing w:after="60" w:before="60"/>
      </w:pPr>
      <w:r>
        <w:rPr>
          <w:rFonts w:ascii="Arial" w:cs="Arial" w:eastAsia="Arial" w:hAnsi="Arial"/>
          <w:b/>
          <w:bCs/>
          <w:color w:val="1A1A1A"/>
          <w:sz w:val="22"/>
          <w:szCs w:val="22"/>
        </w:rPr>
        <w:t xml:space="preserve">Lion's Mane irritability response: </w:t>
      </w:r>
      <w:r>
        <w:rPr>
          <w:rFonts w:ascii="Arial" w:cs="Arial" w:eastAsia="Arial" w:hAnsi="Arial"/>
          <w:color w:val="4A4A4A"/>
          <w:sz w:val="22"/>
          <w:szCs w:val="22"/>
        </w:rPr>
        <w:t xml:space="preserve">NGF-driven remodeling in a brain with existing inflammatory or structural irregularities can produce this pattern. Meaningful signal. Approach neurological compounds that upregulate growth factors carefully and sequentially rather than simultaneously.</w:t>
      </w:r>
    </w:p>
    <w:p>
      <w:pPr>
        <w:pStyle w:val="ListParagraph"/>
        <w:numPr>
          <w:ilvl w:val="0"/>
          <w:numId w:val="2"/>
        </w:numPr>
        <w:spacing w:after="60" w:before="60"/>
      </w:pPr>
      <w:r>
        <w:rPr>
          <w:rFonts w:ascii="Arial" w:cs="Arial" w:eastAsia="Arial" w:hAnsi="Arial"/>
          <w:b/>
          <w:bCs/>
          <w:color w:val="1A1A1A"/>
          <w:sz w:val="22"/>
          <w:szCs w:val="22"/>
        </w:rPr>
        <w:t xml:space="preserve">Occasional brain fog: </w:t>
      </w:r>
      <w:r>
        <w:rPr>
          <w:rFonts w:ascii="Arial" w:cs="Arial" w:eastAsia="Arial" w:hAnsi="Arial"/>
          <w:color w:val="4A4A4A"/>
          <w:sz w:val="22"/>
          <w:szCs w:val="22"/>
        </w:rPr>
        <w:t xml:space="preserve">Multiple possible causes — subclinical thyroid, mild gluten sensitivity, sleep quality variability, or post-concussion white matter effects. The thyroid and gut interventions may resolve this without direct neurological intervention.</w:t>
      </w:r>
    </w:p>
    <w:p>
      <w:pPr>
        <w:pStyle w:val="ListParagraph"/>
        <w:numPr>
          <w:ilvl w:val="0"/>
          <w:numId w:val="2"/>
        </w:numPr>
        <w:spacing w:after="60" w:before="60"/>
      </w:pPr>
      <w:r>
        <w:rPr>
          <w:rFonts w:ascii="Arial" w:cs="Arial" w:eastAsia="Arial" w:hAnsi="Arial"/>
          <w:b/>
          <w:bCs/>
          <w:color w:val="1A1A1A"/>
          <w:sz w:val="22"/>
          <w:szCs w:val="22"/>
        </w:rPr>
        <w:t xml:space="preserve">WSU neuroscience access: </w:t>
      </w:r>
      <w:r>
        <w:rPr>
          <w:rFonts w:ascii="Arial" w:cs="Arial" w:eastAsia="Arial" w:hAnsi="Arial"/>
          <w:color w:val="4A4A4A"/>
          <w:sz w:val="22"/>
          <w:szCs w:val="22"/>
        </w:rPr>
        <w:t xml:space="preserve">Pursue the neuropsychological assessment and Harding lab contact as discussed. Genuine institutional advantage.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Sleep 8-9 hours: </w:t>
      </w:r>
      <w:r>
        <w:rPr>
          <w:rFonts w:ascii="Arial" w:cs="Arial" w:eastAsia="Arial" w:hAnsi="Arial"/>
          <w:color w:val="4A4A4A"/>
          <w:sz w:val="22"/>
          <w:szCs w:val="22"/>
        </w:rPr>
        <w:t xml:space="preserve">BDNF is synthesized primarily during sleep. Non-negotiable neurological intervention.</w:t>
      </w:r>
    </w:p>
    <w:p>
      <w:pPr>
        <w:pStyle w:val="ListParagraph"/>
        <w:numPr>
          <w:ilvl w:val="0"/>
          <w:numId w:val="2"/>
        </w:numPr>
        <w:spacing w:after="60" w:before="60"/>
      </w:pPr>
      <w:r>
        <w:rPr>
          <w:rFonts w:ascii="Arial" w:cs="Arial" w:eastAsia="Arial" w:hAnsi="Arial"/>
          <w:b/>
          <w:bCs/>
          <w:color w:val="1A1A1A"/>
          <w:sz w:val="22"/>
          <w:szCs w:val="22"/>
        </w:rPr>
        <w:t xml:space="preserve">Zone 2 cardio: </w:t>
      </w:r>
      <w:r>
        <w:rPr>
          <w:rFonts w:ascii="Arial" w:cs="Arial" w:eastAsia="Arial" w:hAnsi="Arial"/>
          <w:color w:val="4A4A4A"/>
          <w:sz w:val="22"/>
          <w:szCs w:val="22"/>
        </w:rPr>
        <w:t xml:space="preserve">Most powerful non-pharmacological BDNF upregulator. Already in your plan from Block 3.</w:t>
      </w:r>
    </w:p>
    <w:p>
      <w:pPr>
        <w:pStyle w:val="ListParagraph"/>
        <w:numPr>
          <w:ilvl w:val="0"/>
          <w:numId w:val="2"/>
        </w:numPr>
        <w:spacing w:after="60" w:before="60"/>
      </w:pPr>
      <w:r>
        <w:rPr>
          <w:rFonts w:ascii="Arial" w:cs="Arial" w:eastAsia="Arial" w:hAnsi="Arial"/>
          <w:b/>
          <w:bCs/>
          <w:color w:val="1A1A1A"/>
          <w:sz w:val="22"/>
          <w:szCs w:val="22"/>
        </w:rPr>
        <w:t xml:space="preserve">Learning new skills: </w:t>
      </w:r>
      <w:r>
        <w:rPr>
          <w:rFonts w:ascii="Arial" w:cs="Arial" w:eastAsia="Arial" w:hAnsi="Arial"/>
          <w:color w:val="4A4A4A"/>
          <w:sz w:val="22"/>
          <w:szCs w:val="22"/>
        </w:rPr>
        <w:t xml:space="preserve">BJJ and MT technique acquisition drives synaptogenesis actively. The neurological demand of two complex martial arts simultaneously is genuinely therapeutic for a post-concussion brain.</w:t>
      </w:r>
    </w:p>
    <w:p>
      <w:pPr>
        <w:pStyle w:val="ListParagraph"/>
        <w:numPr>
          <w:ilvl w:val="0"/>
          <w:numId w:val="2"/>
        </w:numPr>
        <w:spacing w:after="60" w:before="60"/>
      </w:pPr>
      <w:r>
        <w:rPr>
          <w:rFonts w:ascii="Arial" w:cs="Arial" w:eastAsia="Arial" w:hAnsi="Arial"/>
          <w:b/>
          <w:bCs/>
          <w:color w:val="1A1A1A"/>
          <w:sz w:val="22"/>
          <w:szCs w:val="22"/>
        </w:rPr>
        <w:t xml:space="preserve">Cold exposure: </w:t>
      </w:r>
      <w:r>
        <w:rPr>
          <w:rFonts w:ascii="Arial" w:cs="Arial" w:eastAsia="Arial" w:hAnsi="Arial"/>
          <w:color w:val="4A4A4A"/>
          <w:sz w:val="22"/>
          <w:szCs w:val="22"/>
        </w:rPr>
        <w:t xml:space="preserve">Norepinephrine spike from cold increases BDNF and promotes neural plasticity.</w:t>
      </w:r>
    </w:p>
    <w:p>
      <w:pPr>
        <w:pStyle w:val="ListParagraph"/>
        <w:numPr>
          <w:ilvl w:val="0"/>
          <w:numId w:val="2"/>
        </w:numPr>
        <w:spacing w:after="60" w:before="60"/>
      </w:pPr>
      <w:r>
        <w:rPr>
          <w:rFonts w:ascii="Arial" w:cs="Arial" w:eastAsia="Arial" w:hAnsi="Arial"/>
          <w:b/>
          <w:bCs/>
          <w:color w:val="1A1A1A"/>
          <w:sz w:val="22"/>
          <w:szCs w:val="22"/>
        </w:rPr>
        <w:t xml:space="preserve">Omega-3 (already in stack): </w:t>
      </w:r>
      <w:r>
        <w:rPr>
          <w:rFonts w:ascii="Arial" w:cs="Arial" w:eastAsia="Arial" w:hAnsi="Arial"/>
          <w:color w:val="4A4A4A"/>
          <w:sz w:val="22"/>
          <w:szCs w:val="22"/>
        </w:rPr>
        <w:t xml:space="preserve">DHA is structurally incorporated into neuronal membranes. Critical for post-concussion repair.</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 — Sequential Introduction</w:t>
      </w:r>
    </w:p>
    <w:p>
      <w:pPr>
        <w:pStyle w:val="ListParagraph"/>
        <w:numPr>
          <w:ilvl w:val="0"/>
          <w:numId w:val="2"/>
        </w:numPr>
        <w:spacing w:after="40" w:before="40"/>
      </w:pPr>
      <w:r>
        <w:rPr>
          <w:rFonts w:ascii="Arial" w:cs="Arial" w:eastAsia="Arial" w:hAnsi="Arial"/>
          <w:color w:val="4A4A4A"/>
          <w:sz w:val="22"/>
          <w:szCs w:val="22"/>
        </w:rPr>
        <w:t xml:space="preserve">Bacopa Monnieri (Synapsa) — memory consolidation, synaptic communication. 8-12 weeks for full effect. Start immediately, run all year.</w:t>
      </w:r>
    </w:p>
    <w:p>
      <w:pPr>
        <w:pStyle w:val="ListParagraph"/>
        <w:numPr>
          <w:ilvl w:val="0"/>
          <w:numId w:val="2"/>
        </w:numPr>
        <w:spacing w:after="40" w:before="40"/>
      </w:pPr>
      <w:r>
        <w:rPr>
          <w:rFonts w:ascii="Arial" w:cs="Arial" w:eastAsia="Arial" w:hAnsi="Arial"/>
          <w:color w:val="4A4A4A"/>
          <w:sz w:val="22"/>
          <w:szCs w:val="22"/>
        </w:rPr>
        <w:t xml:space="preserve">Alpha-GPC 300mg pre-training — acetylcholine precursor, GH release, cognitive focus</w:t>
      </w:r>
    </w:p>
    <w:p>
      <w:pPr>
        <w:pStyle w:val="ListParagraph"/>
        <w:numPr>
          <w:ilvl w:val="0"/>
          <w:numId w:val="2"/>
        </w:numPr>
        <w:spacing w:after="40" w:before="40"/>
      </w:pPr>
      <w:r>
        <w:rPr>
          <w:rFonts w:ascii="Arial" w:cs="Arial" w:eastAsia="Arial" w:hAnsi="Arial"/>
          <w:color w:val="4A4A4A"/>
          <w:sz w:val="22"/>
          <w:szCs w:val="22"/>
        </w:rPr>
        <w:t xml:space="preserve">Lion's Mane 1:1 extract (lower potency) — retry at lower dose after neurological baseline, not 8:1</w:t>
      </w:r>
    </w:p>
    <w:p>
      <w:pPr>
        <w:pStyle w:val="ListParagraph"/>
        <w:numPr>
          <w:ilvl w:val="0"/>
          <w:numId w:val="2"/>
        </w:numPr>
        <w:spacing w:after="40" w:before="40"/>
      </w:pPr>
      <w:r>
        <w:rPr>
          <w:rFonts w:ascii="Arial" w:cs="Arial" w:eastAsia="Arial" w:hAnsi="Arial"/>
          <w:color w:val="4A4A4A"/>
          <w:sz w:val="22"/>
          <w:szCs w:val="22"/>
        </w:rPr>
        <w:t xml:space="preserve">Noopept — BDNF and NGF upregulation, more targeted than racetams</w:t>
      </w:r>
    </w:p>
    <w:p>
      <w:pPr>
        <w:pStyle w:val="ListParagraph"/>
        <w:numPr>
          <w:ilvl w:val="0"/>
          <w:numId w:val="2"/>
        </w:numPr>
        <w:spacing w:after="40" w:before="40"/>
      </w:pPr>
      <w:r>
        <w:rPr>
          <w:rFonts w:ascii="Arial" w:cs="Arial" w:eastAsia="Arial" w:hAnsi="Arial"/>
          <w:color w:val="4A4A4A"/>
          <w:sz w:val="22"/>
          <w:szCs w:val="22"/>
        </w:rPr>
        <w:t xml:space="preserve">Phosphatidylserine (already listed) — neuroprotective, cortisol blunting</w:t>
      </w:r>
    </w:p>
    <w:p>
      <w:pPr>
        <w:pStyle w:val="ListParagraph"/>
        <w:numPr>
          <w:ilvl w:val="0"/>
          <w:numId w:val="2"/>
        </w:numPr>
        <w:spacing w:after="40" w:before="40"/>
      </w:pPr>
      <w:r>
        <w:rPr>
          <w:rFonts w:ascii="Arial" w:cs="Arial" w:eastAsia="Arial" w:hAnsi="Arial"/>
          <w:color w:val="4A4A4A"/>
          <w:sz w:val="22"/>
          <w:szCs w:val="22"/>
        </w:rPr>
        <w:t xml:space="preserve">Magnesium L-Threonate (Magtein) — brain-penetrant magnesium, synaptic density</w:t>
      </w:r>
    </w:p>
    <w:p>
      <w:pPr>
        <w:pStyle w:val="ListParagraph"/>
        <w:numPr>
          <w:ilvl w:val="0"/>
          <w:numId w:val="2"/>
        </w:numPr>
        <w:spacing w:after="40" w:before="40"/>
      </w:pPr>
      <w:r>
        <w:rPr>
          <w:rFonts w:ascii="Arial" w:cs="Arial" w:eastAsia="Arial" w:hAnsi="Arial"/>
          <w:color w:val="4A4A4A"/>
          <w:sz w:val="22"/>
          <w:szCs w:val="22"/>
        </w:rPr>
        <w:t xml:space="preserve">Omega-3 DHA emphasis — neuronal membrane integrity</w:t>
      </w:r>
    </w:p>
    <w:p>
      <w:pPr>
        <w:pStyle w:val="ListParagraph"/>
        <w:numPr>
          <w:ilvl w:val="0"/>
          <w:numId w:val="2"/>
        </w:numPr>
        <w:spacing w:after="40" w:before="40"/>
      </w:pPr>
      <w:r>
        <w:rPr>
          <w:rFonts w:ascii="Arial" w:cs="Arial" w:eastAsia="Arial" w:hAnsi="Arial"/>
          <w:color w:val="4A4A4A"/>
          <w:sz w:val="22"/>
          <w:szCs w:val="22"/>
        </w:rPr>
        <w:t xml:space="preserve">B12 Methylcobalamin — myelin integrity, neurological repair</w:t>
      </w:r>
    </w:p>
    <w:p>
      <w:pPr>
        <w:pStyle w:val="ListParagraph"/>
        <w:numPr>
          <w:ilvl w:val="0"/>
          <w:numId w:val="2"/>
        </w:numPr>
        <w:spacing w:after="40" w:before="40"/>
      </w:pPr>
      <w:r>
        <w:rPr>
          <w:rFonts w:ascii="Arial" w:cs="Arial" w:eastAsia="Arial" w:hAnsi="Arial"/>
          <w:color w:val="4A4A4A"/>
          <w:sz w:val="22"/>
          <w:szCs w:val="22"/>
        </w:rPr>
        <w:t xml:space="preserve">Zinc (already in stack) — BDNF receptor function</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and Bioregulator Layer</w:t>
      </w:r>
    </w:p>
    <w:p>
      <w:pPr>
        <w:pStyle w:val="ListParagraph"/>
        <w:numPr>
          <w:ilvl w:val="0"/>
          <w:numId w:val="2"/>
        </w:numPr>
        <w:spacing w:after="60" w:before="60"/>
      </w:pPr>
      <w:r>
        <w:rPr>
          <w:rFonts w:ascii="Arial" w:cs="Arial" w:eastAsia="Arial" w:hAnsi="Arial"/>
          <w:b/>
          <w:bCs/>
          <w:color w:val="1A1A1A"/>
          <w:sz w:val="22"/>
          <w:szCs w:val="22"/>
        </w:rPr>
        <w:t xml:space="preserve">Cerebrolysin: </w:t>
      </w:r>
      <w:r>
        <w:rPr>
          <w:rFonts w:ascii="Arial" w:cs="Arial" w:eastAsia="Arial" w:hAnsi="Arial"/>
          <w:color w:val="4A4A4A"/>
          <w:sz w:val="22"/>
          <w:szCs w:val="22"/>
        </w:rPr>
        <w:t xml:space="preserve">Most established compound for TBI recovery. Contains BDNF, NGF, CNTF, and multiple neurotrophic factors. Clinical evidence in TBI, stroke, neurodegeneration. Your primary post-concussion intervention. Block 1 and Block 5 courses.</w:t>
      </w:r>
    </w:p>
    <w:p>
      <w:pPr>
        <w:pStyle w:val="ListParagraph"/>
        <w:numPr>
          <w:ilvl w:val="0"/>
          <w:numId w:val="2"/>
        </w:numPr>
        <w:spacing w:after="60" w:before="60"/>
      </w:pPr>
      <w:r>
        <w:rPr>
          <w:rFonts w:ascii="Arial" w:cs="Arial" w:eastAsia="Arial" w:hAnsi="Arial"/>
          <w:b/>
          <w:bCs/>
          <w:color w:val="1A1A1A"/>
          <w:sz w:val="22"/>
          <w:szCs w:val="22"/>
        </w:rPr>
        <w:t xml:space="preserve">Semax: </w:t>
      </w:r>
      <w:r>
        <w:rPr>
          <w:rFonts w:ascii="Arial" w:cs="Arial" w:eastAsia="Arial" w:hAnsi="Arial"/>
          <w:color w:val="4A4A4A"/>
          <w:sz w:val="22"/>
          <w:szCs w:val="22"/>
        </w:rPr>
        <w:t xml:space="preserve">BDNF upregulation through ACTH pathway. Clean mechanism, better tolerability than Lion's Mane for your neurological profile. Block 5 neurological optimization block.</w:t>
      </w:r>
    </w:p>
    <w:p>
      <w:pPr>
        <w:pStyle w:val="ListParagraph"/>
        <w:numPr>
          <w:ilvl w:val="0"/>
          <w:numId w:val="2"/>
        </w:numPr>
        <w:spacing w:after="60" w:before="60"/>
      </w:pPr>
      <w:r>
        <w:rPr>
          <w:rFonts w:ascii="Arial" w:cs="Arial" w:eastAsia="Arial" w:hAnsi="Arial"/>
          <w:b/>
          <w:bCs/>
          <w:color w:val="1A1A1A"/>
          <w:sz w:val="22"/>
          <w:szCs w:val="22"/>
        </w:rPr>
        <w:t xml:space="preserve">Selank: </w:t>
      </w:r>
      <w:r>
        <w:rPr>
          <w:rFonts w:ascii="Arial" w:cs="Arial" w:eastAsia="Arial" w:hAnsi="Arial"/>
          <w:color w:val="4A4A4A"/>
          <w:sz w:val="22"/>
          <w:szCs w:val="22"/>
        </w:rPr>
        <w:t xml:space="preserve">GABAergic stabilization. Post-concussion GABAergic disruption contributes to irritability, anxiety sensitivity, stress reactivity. Directly therapeutic for your history.</w:t>
      </w:r>
    </w:p>
    <w:p>
      <w:pPr>
        <w:pStyle w:val="ListParagraph"/>
        <w:numPr>
          <w:ilvl w:val="0"/>
          <w:numId w:val="2"/>
        </w:numPr>
        <w:spacing w:after="60" w:before="60"/>
      </w:pPr>
      <w:r>
        <w:rPr>
          <w:rFonts w:ascii="Arial" w:cs="Arial" w:eastAsia="Arial" w:hAnsi="Arial"/>
          <w:b/>
          <w:bCs/>
          <w:color w:val="1A1A1A"/>
          <w:sz w:val="22"/>
          <w:szCs w:val="22"/>
        </w:rPr>
        <w:t xml:space="preserve">PE-22-28: </w:t>
      </w:r>
      <w:r>
        <w:rPr>
          <w:rFonts w:ascii="Arial" w:cs="Arial" w:eastAsia="Arial" w:hAnsi="Arial"/>
          <w:color w:val="4A4A4A"/>
          <w:sz w:val="22"/>
          <w:szCs w:val="22"/>
        </w:rPr>
        <w:t xml:space="preserve">BDNF mimetic targeting TrkB receptors. Synaptic plasticity, mood stability. Complements Semax through different receptor.</w:t>
      </w:r>
    </w:p>
    <w:p>
      <w:pPr>
        <w:pStyle w:val="ListParagraph"/>
        <w:numPr>
          <w:ilvl w:val="0"/>
          <w:numId w:val="2"/>
        </w:numPr>
        <w:spacing w:after="60" w:before="60"/>
      </w:pPr>
      <w:r>
        <w:rPr>
          <w:rFonts w:ascii="Arial" w:cs="Arial" w:eastAsia="Arial" w:hAnsi="Arial"/>
          <w:b/>
          <w:bCs/>
          <w:color w:val="1A1A1A"/>
          <w:sz w:val="22"/>
          <w:szCs w:val="22"/>
        </w:rPr>
        <w:t xml:space="preserve">Pinealon (Khavinson): </w:t>
      </w:r>
      <w:r>
        <w:rPr>
          <w:rFonts w:ascii="Arial" w:cs="Arial" w:eastAsia="Arial" w:hAnsi="Arial"/>
          <w:color w:val="4A4A4A"/>
          <w:sz w:val="22"/>
          <w:szCs w:val="22"/>
        </w:rPr>
        <w:t xml:space="preserve">Brain tissue bioregulator. Neuroprotective, antioxidant, neurotransmitter synthesis support. Structural epigenetic change. Block 1 foundation alongside Epithalon.</w:t>
      </w:r>
    </w:p>
    <w:p>
      <w:pPr>
        <w:pStyle w:val="ListParagraph"/>
        <w:numPr>
          <w:ilvl w:val="0"/>
          <w:numId w:val="2"/>
        </w:numPr>
        <w:spacing w:after="60" w:before="60"/>
      </w:pPr>
      <w:r>
        <w:rPr>
          <w:rFonts w:ascii="Arial" w:cs="Arial" w:eastAsia="Arial" w:hAnsi="Arial"/>
          <w:b/>
          <w:bCs/>
          <w:color w:val="1A1A1A"/>
          <w:sz w:val="22"/>
          <w:szCs w:val="22"/>
        </w:rPr>
        <w:t xml:space="preserve">Cerluten (Khavinson): </w:t>
      </w:r>
      <w:r>
        <w:rPr>
          <w:rFonts w:ascii="Arial" w:cs="Arial" w:eastAsia="Arial" w:hAnsi="Arial"/>
          <w:color w:val="4A4A4A"/>
          <w:sz w:val="22"/>
          <w:szCs w:val="22"/>
        </w:rPr>
        <w:t xml:space="preserve">Brain and nervous system bioregulator from Khavinson series. Most directly neurological of the bioregulators. Block 5 neurological block.</w:t>
      </w:r>
    </w:p>
    <w:p>
      <w:pPr>
        <w:pStyle w:val="ListParagraph"/>
        <w:numPr>
          <w:ilvl w:val="0"/>
          <w:numId w:val="2"/>
        </w:numPr>
        <w:spacing w:after="60" w:before="60"/>
      </w:pPr>
      <w:r>
        <w:rPr>
          <w:rFonts w:ascii="Arial" w:cs="Arial" w:eastAsia="Arial" w:hAnsi="Arial"/>
          <w:b/>
          <w:bCs/>
          <w:color w:val="1A1A1A"/>
          <w:sz w:val="22"/>
          <w:szCs w:val="22"/>
        </w:rPr>
        <w:t xml:space="preserve">Cortagen (Khavinson): </w:t>
      </w:r>
      <w:r>
        <w:rPr>
          <w:rFonts w:ascii="Arial" w:cs="Arial" w:eastAsia="Arial" w:hAnsi="Arial"/>
          <w:color w:val="4A4A4A"/>
          <w:sz w:val="22"/>
          <w:szCs w:val="22"/>
        </w:rPr>
        <w:t xml:space="preserve">Spinal cord and peripheral nerve bioregulator. Proprioception and nerve conduction quality — relevant for martial arts motor precision.</w:t>
      </w:r>
    </w:p>
    <w:p>
      <w:pPr>
        <w:pStyle w:val="ListParagraph"/>
        <w:numPr>
          <w:ilvl w:val="0"/>
          <w:numId w:val="2"/>
        </w:numPr>
        <w:spacing w:after="60" w:before="60"/>
      </w:pPr>
      <w:r>
        <w:rPr>
          <w:rFonts w:ascii="Arial" w:cs="Arial" w:eastAsia="Arial" w:hAnsi="Arial"/>
          <w:b/>
          <w:bCs/>
          <w:color w:val="1A1A1A"/>
          <w:sz w:val="22"/>
          <w:szCs w:val="22"/>
        </w:rPr>
        <w:t xml:space="preserve">P21: </w:t>
      </w:r>
      <w:r>
        <w:rPr>
          <w:rFonts w:ascii="Arial" w:cs="Arial" w:eastAsia="Arial" w:hAnsi="Arial"/>
          <w:color w:val="4A4A4A"/>
          <w:sz w:val="22"/>
          <w:szCs w:val="22"/>
        </w:rPr>
        <w:t xml:space="preserve">CNTF-derived peptide. Neurogenesis, synaptic plasticity through different pathway than Cerebrolysin. Block 5 alongside Semax for comprehensive neurological peak.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Block 1: Cerebrolysin course + Pinealon + Cerluten for neurological foundation and post-concussion repair. Block 5: Semax + Selank + PE-22-28 + P21 comprehensive neurological optimization stack at peak academic and learning demand.</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10. CONNECTIVE TISSUE &amp; FASCIA</w:t>
      </w:r>
    </w:p>
    <w:p>
      <w:pPr>
        <w:spacing w:after="160" w:before="40"/>
        <w:ind w:left="200"/>
      </w:pPr>
      <w:r>
        <w:rPr>
          <w:rFonts w:ascii="Arial" w:cs="Arial" w:eastAsia="Arial" w:hAnsi="Arial"/>
          <w:color w:val="3A6BC4"/>
          <w:sz w:val="22"/>
          <w:szCs w:val="22"/>
        </w:rPr>
        <w:t xml:space="preserve">Tendons, ligaments, cartilage, fascia, joint integrity</w:t>
      </w:r>
    </w:p>
    <w:p>
      <w:pPr>
        <w:spacing w:after="60" w:before="60"/>
      </w:pPr>
      <w:r>
        <w:rPr>
          <w:rFonts w:ascii="Arial" w:cs="Arial" w:eastAsia="Arial" w:hAnsi="Arial"/>
          <w:color w:val="4A4A4A"/>
          <w:sz w:val="22"/>
          <w:szCs w:val="22"/>
        </w:rPr>
        <w:t xml:space="preserve">Connective tissue adaptation lags muscular adaptation by 8-12 weeks. This gap is the primary source of training injuries in athletes who progress load faster than their tendons and ligaments can adapt. Your plan has the highest injury risk in Block 2 and Block 4 intensification — this section is specifically designed to close that gap.</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Specific Joint Issues — Your Profile</w:t>
      </w:r>
    </w:p>
    <w:p>
      <w:pPr>
        <w:pStyle w:val="ListParagraph"/>
        <w:numPr>
          <w:ilvl w:val="0"/>
          <w:numId w:val="2"/>
        </w:numPr>
        <w:spacing w:after="60" w:before="60"/>
      </w:pPr>
      <w:r>
        <w:rPr>
          <w:rFonts w:ascii="Arial" w:cs="Arial" w:eastAsia="Arial" w:hAnsi="Arial"/>
          <w:b/>
          <w:bCs/>
          <w:color w:val="1A1A1A"/>
          <w:sz w:val="22"/>
          <w:szCs w:val="22"/>
        </w:rPr>
        <w:t xml:space="preserve">Knee (patellar tracking): </w:t>
      </w:r>
      <w:r>
        <w:rPr>
          <w:rFonts w:ascii="Arial" w:cs="Arial" w:eastAsia="Arial" w:hAnsi="Arial"/>
          <w:color w:val="4A4A4A"/>
          <w:sz w:val="22"/>
          <w:szCs w:val="22"/>
        </w:rPr>
        <w:t xml:space="preserve">VMO/lateral imbalance. Full protocol in Poliquin bulk document. Milestone progression to Bulgarians by Block 3.</w:t>
      </w:r>
    </w:p>
    <w:p>
      <w:pPr>
        <w:pStyle w:val="ListParagraph"/>
        <w:numPr>
          <w:ilvl w:val="0"/>
          <w:numId w:val="2"/>
        </w:numPr>
        <w:spacing w:after="60" w:before="60"/>
      </w:pPr>
      <w:r>
        <w:rPr>
          <w:rFonts w:ascii="Arial" w:cs="Arial" w:eastAsia="Arial" w:hAnsi="Arial"/>
          <w:b/>
          <w:bCs/>
          <w:color w:val="1A1A1A"/>
          <w:sz w:val="22"/>
          <w:szCs w:val="22"/>
        </w:rPr>
        <w:t xml:space="preserve">Lower back (sacroiliac/thoracolumbar fascia): </w:t>
      </w:r>
      <w:r>
        <w:rPr>
          <w:rFonts w:ascii="Arial" w:cs="Arial" w:eastAsia="Arial" w:hAnsi="Arial"/>
          <w:color w:val="4A4A4A"/>
          <w:sz w:val="22"/>
          <w:szCs w:val="22"/>
        </w:rPr>
        <w:t xml:space="preserve">The crack pattern from crossed ankle hip lift is classic SI joint. Associated with ankle instability and hip clicking — posterior myofascial line dysfunction rather than isolated back issue.</w:t>
      </w:r>
    </w:p>
    <w:p>
      <w:pPr>
        <w:pStyle w:val="ListParagraph"/>
        <w:numPr>
          <w:ilvl w:val="0"/>
          <w:numId w:val="2"/>
        </w:numPr>
        <w:spacing w:after="60" w:before="60"/>
      </w:pPr>
      <w:r>
        <w:rPr>
          <w:rFonts w:ascii="Arial" w:cs="Arial" w:eastAsia="Arial" w:hAnsi="Arial"/>
          <w:b/>
          <w:bCs/>
          <w:color w:val="1A1A1A"/>
          <w:sz w:val="22"/>
          <w:szCs w:val="22"/>
        </w:rPr>
        <w:t xml:space="preserve">Ankles (clicking, mild instability): </w:t>
      </w:r>
      <w:r>
        <w:rPr>
          <w:rFonts w:ascii="Arial" w:cs="Arial" w:eastAsia="Arial" w:hAnsi="Arial"/>
          <w:color w:val="4A4A4A"/>
          <w:sz w:val="22"/>
          <w:szCs w:val="22"/>
        </w:rPr>
        <w:t xml:space="preserve">Air bubble cavitation is benign. Mild instability requires peroneal and tibialis strengthening and proprioceptive work.</w:t>
      </w:r>
    </w:p>
    <w:p>
      <w:pPr>
        <w:pStyle w:val="ListParagraph"/>
        <w:numPr>
          <w:ilvl w:val="0"/>
          <w:numId w:val="2"/>
        </w:numPr>
        <w:spacing w:after="60" w:before="60"/>
      </w:pPr>
      <w:r>
        <w:rPr>
          <w:rFonts w:ascii="Arial" w:cs="Arial" w:eastAsia="Arial" w:hAnsi="Arial"/>
          <w:b/>
          <w:bCs/>
          <w:color w:val="1A1A1A"/>
          <w:sz w:val="22"/>
          <w:szCs w:val="22"/>
        </w:rPr>
        <w:t xml:space="preserve">Shoulders (clicking from MT impact): </w:t>
      </w:r>
      <w:r>
        <w:rPr>
          <w:rFonts w:ascii="Arial" w:cs="Arial" w:eastAsia="Arial" w:hAnsi="Arial"/>
          <w:color w:val="4A4A4A"/>
          <w:sz w:val="22"/>
          <w:szCs w:val="22"/>
        </w:rPr>
        <w:t xml:space="preserve">Absorbed impact history rather than structural damage given pain-free OHP with warmup. Rotator cuff prehab maintains this.</w:t>
      </w:r>
    </w:p>
    <w:p>
      <w:pPr>
        <w:pStyle w:val="ListParagraph"/>
        <w:numPr>
          <w:ilvl w:val="0"/>
          <w:numId w:val="2"/>
        </w:numPr>
        <w:spacing w:after="60" w:before="60"/>
      </w:pPr>
      <w:r>
        <w:rPr>
          <w:rFonts w:ascii="Arial" w:cs="Arial" w:eastAsia="Arial" w:hAnsi="Arial"/>
          <w:b/>
          <w:bCs/>
          <w:color w:val="1A1A1A"/>
          <w:sz w:val="22"/>
          <w:szCs w:val="22"/>
        </w:rPr>
        <w:t xml:space="preserve">Hips (clicking with poor flexibility): </w:t>
      </w:r>
      <w:r>
        <w:rPr>
          <w:rFonts w:ascii="Arial" w:cs="Arial" w:eastAsia="Arial" w:hAnsi="Arial"/>
          <w:color w:val="4A4A4A"/>
          <w:sz w:val="22"/>
          <w:szCs w:val="22"/>
        </w:rPr>
        <w:t xml:space="preserve">Hip flexor tightness from prolonged sitting. Daily stretching protocol resolves this.</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Posterior myofascial line work: </w:t>
      </w:r>
      <w:r>
        <w:rPr>
          <w:rFonts w:ascii="Arial" w:cs="Arial" w:eastAsia="Arial" w:hAnsi="Arial"/>
          <w:color w:val="4A4A4A"/>
          <w:sz w:val="22"/>
          <w:szCs w:val="22"/>
        </w:rPr>
        <w:t xml:space="preserve">The ankle, hamstring, thoracolumbar fascia, and lower back are one continuous tensional system. Address all simultaneously. Calf stretching directly affects lower back tension through the posterior line.</w:t>
      </w:r>
    </w:p>
    <w:p>
      <w:pPr>
        <w:pStyle w:val="ListParagraph"/>
        <w:numPr>
          <w:ilvl w:val="0"/>
          <w:numId w:val="2"/>
        </w:numPr>
        <w:spacing w:after="60" w:before="60"/>
      </w:pPr>
      <w:r>
        <w:rPr>
          <w:rFonts w:ascii="Arial" w:cs="Arial" w:eastAsia="Arial" w:hAnsi="Arial"/>
          <w:b/>
          <w:bCs/>
          <w:color w:val="1A1A1A"/>
          <w:sz w:val="22"/>
          <w:szCs w:val="22"/>
        </w:rPr>
        <w:t xml:space="preserve">Terminal knee extensions daily: </w:t>
      </w:r>
      <w:r>
        <w:rPr>
          <w:rFonts w:ascii="Arial" w:cs="Arial" w:eastAsia="Arial" w:hAnsi="Arial"/>
          <w:color w:val="4A4A4A"/>
          <w:sz w:val="22"/>
          <w:szCs w:val="22"/>
        </w:rPr>
        <w:t xml:space="preserve">VMO activation. Non-negotiable from now through the entire bulk year.</w:t>
      </w:r>
    </w:p>
    <w:p>
      <w:pPr>
        <w:pStyle w:val="ListParagraph"/>
        <w:numPr>
          <w:ilvl w:val="0"/>
          <w:numId w:val="2"/>
        </w:numPr>
        <w:spacing w:after="60" w:before="60"/>
      </w:pPr>
      <w:r>
        <w:rPr>
          <w:rFonts w:ascii="Arial" w:cs="Arial" w:eastAsia="Arial" w:hAnsi="Arial"/>
          <w:b/>
          <w:bCs/>
          <w:color w:val="1A1A1A"/>
          <w:sz w:val="22"/>
          <w:szCs w:val="22"/>
        </w:rPr>
        <w:t xml:space="preserve">Hip 90/90 and flexor stretching daily: </w:t>
      </w:r>
      <w:r>
        <w:rPr>
          <w:rFonts w:ascii="Arial" w:cs="Arial" w:eastAsia="Arial" w:hAnsi="Arial"/>
          <w:color w:val="4A4A4A"/>
          <w:sz w:val="22"/>
          <w:szCs w:val="22"/>
        </w:rPr>
        <w:t xml:space="preserve">Addresses hip clicking and lower back tension simultaneously.</w:t>
      </w:r>
    </w:p>
    <w:p>
      <w:pPr>
        <w:pStyle w:val="ListParagraph"/>
        <w:numPr>
          <w:ilvl w:val="0"/>
          <w:numId w:val="2"/>
        </w:numPr>
        <w:spacing w:after="60" w:before="60"/>
      </w:pPr>
      <w:r>
        <w:rPr>
          <w:rFonts w:ascii="Arial" w:cs="Arial" w:eastAsia="Arial" w:hAnsi="Arial"/>
          <w:b/>
          <w:bCs/>
          <w:color w:val="1A1A1A"/>
          <w:sz w:val="22"/>
          <w:szCs w:val="22"/>
        </w:rPr>
        <w:t xml:space="preserve">Ankle alphabet and single-leg balance: </w:t>
      </w:r>
      <w:r>
        <w:rPr>
          <w:rFonts w:ascii="Arial" w:cs="Arial" w:eastAsia="Arial" w:hAnsi="Arial"/>
          <w:color w:val="4A4A4A"/>
          <w:sz w:val="22"/>
          <w:szCs w:val="22"/>
        </w:rPr>
        <w:t xml:space="preserve">3 minutes daily. Proprioceptive retraining for ankle stability.</w:t>
      </w:r>
    </w:p>
    <w:p>
      <w:pPr>
        <w:pStyle w:val="ListParagraph"/>
        <w:numPr>
          <w:ilvl w:val="0"/>
          <w:numId w:val="2"/>
        </w:numPr>
        <w:spacing w:after="60" w:before="60"/>
      </w:pPr>
      <w:r>
        <w:rPr>
          <w:rFonts w:ascii="Arial" w:cs="Arial" w:eastAsia="Arial" w:hAnsi="Arial"/>
          <w:b/>
          <w:bCs/>
          <w:color w:val="1A1A1A"/>
          <w:sz w:val="22"/>
          <w:szCs w:val="22"/>
        </w:rPr>
        <w:t xml:space="preserve">Face pulls and external rotation (already in plan): </w:t>
      </w:r>
      <w:r>
        <w:rPr>
          <w:rFonts w:ascii="Arial" w:cs="Arial" w:eastAsia="Arial" w:hAnsi="Arial"/>
          <w:color w:val="4A4A4A"/>
          <w:sz w:val="22"/>
          <w:szCs w:val="22"/>
        </w:rPr>
        <w:t xml:space="preserve">Shoulder structural balance. Every session.</w:t>
      </w:r>
    </w:p>
    <w:p>
      <w:pPr>
        <w:pStyle w:val="ListParagraph"/>
        <w:numPr>
          <w:ilvl w:val="0"/>
          <w:numId w:val="2"/>
        </w:numPr>
        <w:spacing w:after="60" w:before="60"/>
      </w:pPr>
      <w:r>
        <w:rPr>
          <w:rFonts w:ascii="Arial" w:cs="Arial" w:eastAsia="Arial" w:hAnsi="Arial"/>
          <w:b/>
          <w:bCs/>
          <w:color w:val="1A1A1A"/>
          <w:sz w:val="22"/>
          <w:szCs w:val="22"/>
        </w:rPr>
        <w:t xml:space="preserve">Back extensions: </w:t>
      </w:r>
      <w:r>
        <w:rPr>
          <w:rFonts w:ascii="Arial" w:cs="Arial" w:eastAsia="Arial" w:hAnsi="Arial"/>
          <w:color w:val="4A4A4A"/>
          <w:sz w:val="22"/>
          <w:szCs w:val="22"/>
        </w:rPr>
        <w:t xml:space="preserve">Already implementing. Progress to weighted when pain-free.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Dietary — Collagen Synthesis Priority</w:t>
      </w:r>
    </w:p>
    <w:p>
      <w:pPr>
        <w:pStyle w:val="ListParagraph"/>
        <w:numPr>
          <w:ilvl w:val="0"/>
          <w:numId w:val="2"/>
        </w:numPr>
        <w:spacing w:after="60" w:before="60"/>
      </w:pPr>
      <w:r>
        <w:rPr>
          <w:rFonts w:ascii="Arial" w:cs="Arial" w:eastAsia="Arial" w:hAnsi="Arial"/>
          <w:b/>
          <w:bCs/>
          <w:color w:val="1A1A1A"/>
          <w:sz w:val="22"/>
          <w:szCs w:val="22"/>
        </w:rPr>
        <w:t xml:space="preserve">Vitamin C before collagen-rich foods: </w:t>
      </w:r>
      <w:r>
        <w:rPr>
          <w:rFonts w:ascii="Arial" w:cs="Arial" w:eastAsia="Arial" w:hAnsi="Arial"/>
          <w:color w:val="4A4A4A"/>
          <w:sz w:val="22"/>
          <w:szCs w:val="22"/>
        </w:rPr>
        <w:t xml:space="preserve">Vitamin C is required for collagen crosslinking. Take 1g Vitamin C 30-60 minutes before bone broth, collagen peptides, or organ meats.</w:t>
      </w:r>
    </w:p>
    <w:p>
      <w:pPr>
        <w:pStyle w:val="ListParagraph"/>
        <w:numPr>
          <w:ilvl w:val="0"/>
          <w:numId w:val="2"/>
        </w:numPr>
        <w:spacing w:after="60" w:before="60"/>
      </w:pPr>
      <w:r>
        <w:rPr>
          <w:rFonts w:ascii="Arial" w:cs="Arial" w:eastAsia="Arial" w:hAnsi="Arial"/>
          <w:b/>
          <w:bCs/>
          <w:color w:val="1A1A1A"/>
          <w:sz w:val="22"/>
          <w:szCs w:val="22"/>
        </w:rPr>
        <w:t xml:space="preserve">Bone broth: </w:t>
      </w:r>
      <w:r>
        <w:rPr>
          <w:rFonts w:ascii="Arial" w:cs="Arial" w:eastAsia="Arial" w:hAnsi="Arial"/>
          <w:color w:val="4A4A4A"/>
          <w:sz w:val="22"/>
          <w:szCs w:val="22"/>
        </w:rPr>
        <w:t xml:space="preserve">Glycine, proline, hydroxyproline — direct collagen precursors. Winter seasonal eating priority.</w:t>
      </w:r>
    </w:p>
    <w:p>
      <w:pPr>
        <w:pStyle w:val="ListParagraph"/>
        <w:numPr>
          <w:ilvl w:val="0"/>
          <w:numId w:val="2"/>
        </w:numPr>
        <w:spacing w:after="60" w:before="60"/>
      </w:pPr>
      <w:r>
        <w:rPr>
          <w:rFonts w:ascii="Arial" w:cs="Arial" w:eastAsia="Arial" w:hAnsi="Arial"/>
          <w:b/>
          <w:bCs/>
          <w:color w:val="1A1A1A"/>
          <w:sz w:val="22"/>
          <w:szCs w:val="22"/>
        </w:rPr>
        <w:t xml:space="preserve">Organ meats monthly: </w:t>
      </w:r>
      <w:r>
        <w:rPr>
          <w:rFonts w:ascii="Arial" w:cs="Arial" w:eastAsia="Arial" w:hAnsi="Arial"/>
          <w:color w:val="4A4A4A"/>
          <w:sz w:val="22"/>
          <w:szCs w:val="22"/>
        </w:rPr>
        <w:t xml:space="preserve">Dense connective tissue precursors and fat-soluble vitamins for connective tissue synthesis.</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Collagen peptides 15g — with Vitamin C, away from main protein meals (competes for absorption)</w:t>
      </w:r>
    </w:p>
    <w:p>
      <w:pPr>
        <w:pStyle w:val="ListParagraph"/>
        <w:numPr>
          <w:ilvl w:val="0"/>
          <w:numId w:val="2"/>
        </w:numPr>
        <w:spacing w:after="40" w:before="40"/>
      </w:pPr>
      <w:r>
        <w:rPr>
          <w:rFonts w:ascii="Arial" w:cs="Arial" w:eastAsia="Arial" w:hAnsi="Arial"/>
          <w:color w:val="4A4A4A"/>
          <w:sz w:val="22"/>
          <w:szCs w:val="22"/>
        </w:rPr>
        <w:t xml:space="preserve">Vitamin C 1g 30 min before collagen — collagen synthesis cofactor</w:t>
      </w:r>
    </w:p>
    <w:p>
      <w:pPr>
        <w:pStyle w:val="ListParagraph"/>
        <w:numPr>
          <w:ilvl w:val="0"/>
          <w:numId w:val="2"/>
        </w:numPr>
        <w:spacing w:after="40" w:before="40"/>
      </w:pPr>
      <w:r>
        <w:rPr>
          <w:rFonts w:ascii="Arial" w:cs="Arial" w:eastAsia="Arial" w:hAnsi="Arial"/>
          <w:color w:val="4A4A4A"/>
          <w:sz w:val="22"/>
          <w:szCs w:val="22"/>
        </w:rPr>
        <w:t xml:space="preserve">Glycine 3-5g pre-bed — collagen precursor, sleep quality, gut lining</w:t>
      </w:r>
    </w:p>
    <w:p>
      <w:pPr>
        <w:pStyle w:val="ListParagraph"/>
        <w:numPr>
          <w:ilvl w:val="0"/>
          <w:numId w:val="2"/>
        </w:numPr>
        <w:spacing w:after="40" w:before="40"/>
      </w:pPr>
      <w:r>
        <w:rPr>
          <w:rFonts w:ascii="Arial" w:cs="Arial" w:eastAsia="Arial" w:hAnsi="Arial"/>
          <w:color w:val="4A4A4A"/>
          <w:sz w:val="22"/>
          <w:szCs w:val="22"/>
        </w:rPr>
        <w:t xml:space="preserve">Boron Glycinate 10mg — bone density, collagen synthesis, hormone metabolism</w:t>
      </w:r>
    </w:p>
    <w:p>
      <w:pPr>
        <w:pStyle w:val="ListParagraph"/>
        <w:numPr>
          <w:ilvl w:val="0"/>
          <w:numId w:val="2"/>
        </w:numPr>
        <w:spacing w:after="40" w:before="40"/>
      </w:pPr>
      <w:r>
        <w:rPr>
          <w:rFonts w:ascii="Arial" w:cs="Arial" w:eastAsia="Arial" w:hAnsi="Arial"/>
          <w:color w:val="4A4A4A"/>
          <w:sz w:val="22"/>
          <w:szCs w:val="22"/>
        </w:rPr>
        <w:t xml:space="preserve">Silica (bamboo extract) — collagen cross-linking, connective tissue quality</w:t>
      </w:r>
    </w:p>
    <w:p>
      <w:pPr>
        <w:pStyle w:val="ListParagraph"/>
        <w:numPr>
          <w:ilvl w:val="0"/>
          <w:numId w:val="2"/>
        </w:numPr>
        <w:spacing w:after="40" w:before="40"/>
      </w:pPr>
      <w:r>
        <w:rPr>
          <w:rFonts w:ascii="Arial" w:cs="Arial" w:eastAsia="Arial" w:hAnsi="Arial"/>
          <w:color w:val="4A4A4A"/>
          <w:sz w:val="22"/>
          <w:szCs w:val="22"/>
        </w:rPr>
        <w:t xml:space="preserve">Manganese — connective tissue synthesis enzyme cofactor</w:t>
      </w:r>
    </w:p>
    <w:p>
      <w:pPr>
        <w:pStyle w:val="ListParagraph"/>
        <w:numPr>
          <w:ilvl w:val="0"/>
          <w:numId w:val="2"/>
        </w:numPr>
        <w:spacing w:after="40" w:before="40"/>
      </w:pPr>
      <w:r>
        <w:rPr>
          <w:rFonts w:ascii="Arial" w:cs="Arial" w:eastAsia="Arial" w:hAnsi="Arial"/>
          <w:color w:val="4A4A4A"/>
          <w:sz w:val="22"/>
          <w:szCs w:val="22"/>
        </w:rPr>
        <w:t xml:space="preserve">Pentosan Polysulfate — cartilage protection, anti-inflammatory in joint tissue</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BPC-157: </w:t>
      </w:r>
      <w:r>
        <w:rPr>
          <w:rFonts w:ascii="Arial" w:cs="Arial" w:eastAsia="Arial" w:hAnsi="Arial"/>
          <w:color w:val="4A4A4A"/>
          <w:sz w:val="22"/>
          <w:szCs w:val="22"/>
        </w:rPr>
        <w:t xml:space="preserve">Tendon and ligament repair, angiogenesis in connective tissue, gut integrity. Foundational. Run Block 1 through Block 2 continuously.</w:t>
      </w:r>
    </w:p>
    <w:p>
      <w:pPr>
        <w:pStyle w:val="ListParagraph"/>
        <w:numPr>
          <w:ilvl w:val="0"/>
          <w:numId w:val="2"/>
        </w:numPr>
        <w:spacing w:after="60" w:before="60"/>
      </w:pPr>
      <w:r>
        <w:rPr>
          <w:rFonts w:ascii="Arial" w:cs="Arial" w:eastAsia="Arial" w:hAnsi="Arial"/>
          <w:b/>
          <w:bCs/>
          <w:color w:val="1A1A1A"/>
          <w:sz w:val="22"/>
          <w:szCs w:val="22"/>
        </w:rPr>
        <w:t xml:space="preserve">TB-500 (Thymosin Beta-4): </w:t>
      </w:r>
      <w:r>
        <w:rPr>
          <w:rFonts w:ascii="Arial" w:cs="Arial" w:eastAsia="Arial" w:hAnsi="Arial"/>
          <w:color w:val="4A4A4A"/>
          <w:sz w:val="22"/>
          <w:szCs w:val="22"/>
        </w:rPr>
        <w:t xml:space="preserve">Systemic repair signaling, actin regulation, inflammation resolution. Synergistic with BPC-157.</w:t>
      </w:r>
    </w:p>
    <w:p>
      <w:pPr>
        <w:pStyle w:val="ListParagraph"/>
        <w:numPr>
          <w:ilvl w:val="0"/>
          <w:numId w:val="2"/>
        </w:numPr>
        <w:spacing w:after="60" w:before="60"/>
      </w:pPr>
      <w:r>
        <w:rPr>
          <w:rFonts w:ascii="Arial" w:cs="Arial" w:eastAsia="Arial" w:hAnsi="Arial"/>
          <w:b/>
          <w:bCs/>
          <w:color w:val="1A1A1A"/>
          <w:sz w:val="22"/>
          <w:szCs w:val="22"/>
        </w:rPr>
        <w:t xml:space="preserve">BPC-157/TB-500/Cartalax combination: </w:t>
      </w:r>
      <w:r>
        <w:rPr>
          <w:rFonts w:ascii="Arial" w:cs="Arial" w:eastAsia="Arial" w:hAnsi="Arial"/>
          <w:color w:val="4A4A4A"/>
          <w:sz w:val="22"/>
          <w:szCs w:val="22"/>
        </w:rPr>
        <w:t xml:space="preserve">Adds Khavinson cartilage bioregulator for epigenetic cartilage optimization. Most comprehensive connective tissue stack for your knee and joint history.</w:t>
      </w:r>
    </w:p>
    <w:p>
      <w:pPr>
        <w:pStyle w:val="ListParagraph"/>
        <w:numPr>
          <w:ilvl w:val="0"/>
          <w:numId w:val="2"/>
        </w:numPr>
        <w:spacing w:after="60" w:before="60"/>
      </w:pPr>
      <w:r>
        <w:rPr>
          <w:rFonts w:ascii="Arial" w:cs="Arial" w:eastAsia="Arial" w:hAnsi="Arial"/>
          <w:b/>
          <w:bCs/>
          <w:color w:val="1A1A1A"/>
          <w:sz w:val="22"/>
          <w:szCs w:val="22"/>
        </w:rPr>
        <w:t xml:space="preserve">GHK-Cu: </w:t>
      </w:r>
      <w:r>
        <w:rPr>
          <w:rFonts w:ascii="Arial" w:cs="Arial" w:eastAsia="Arial" w:hAnsi="Arial"/>
          <w:color w:val="4A4A4A"/>
          <w:sz w:val="22"/>
          <w:szCs w:val="22"/>
        </w:rPr>
        <w:t xml:space="preserve">Collagen synthesis upregulation, anti-inflammatory, gene expression remodeling toward younger tissue phenotype. Skin, tendon, and connective tissue quality.</w:t>
      </w:r>
    </w:p>
    <w:p>
      <w:pPr>
        <w:pStyle w:val="ListParagraph"/>
        <w:numPr>
          <w:ilvl w:val="0"/>
          <w:numId w:val="2"/>
        </w:numPr>
        <w:spacing w:after="60" w:before="60"/>
      </w:pPr>
      <w:r>
        <w:rPr>
          <w:rFonts w:ascii="Arial" w:cs="Arial" w:eastAsia="Arial" w:hAnsi="Arial"/>
          <w:b/>
          <w:bCs/>
          <w:color w:val="1A1A1A"/>
          <w:sz w:val="22"/>
          <w:szCs w:val="22"/>
        </w:rPr>
        <w:t xml:space="preserve">Cartalax (Khavinson): </w:t>
      </w:r>
      <w:r>
        <w:rPr>
          <w:rFonts w:ascii="Arial" w:cs="Arial" w:eastAsia="Arial" w:hAnsi="Arial"/>
          <w:color w:val="4A4A4A"/>
          <w:sz w:val="22"/>
          <w:szCs w:val="22"/>
        </w:rPr>
        <w:t xml:space="preserve">Cartilage tissue epigenetic optimization. Structural change. Run in Block 2 when joint loading peaks.</w:t>
      </w:r>
    </w:p>
    <w:p>
      <w:pPr>
        <w:pStyle w:val="ListParagraph"/>
        <w:numPr>
          <w:ilvl w:val="0"/>
          <w:numId w:val="2"/>
        </w:numPr>
        <w:spacing w:after="60" w:before="60"/>
      </w:pPr>
      <w:r>
        <w:rPr>
          <w:rFonts w:ascii="Arial" w:cs="Arial" w:eastAsia="Arial" w:hAnsi="Arial"/>
          <w:b/>
          <w:bCs/>
          <w:color w:val="1A1A1A"/>
          <w:sz w:val="22"/>
          <w:szCs w:val="22"/>
        </w:rPr>
        <w:t xml:space="preserve">Sigumir (Khavinson): </w:t>
      </w:r>
      <w:r>
        <w:rPr>
          <w:rFonts w:ascii="Arial" w:cs="Arial" w:eastAsia="Arial" w:hAnsi="Arial"/>
          <w:color w:val="4A4A4A"/>
          <w:sz w:val="22"/>
          <w:szCs w:val="22"/>
        </w:rPr>
        <w:t xml:space="preserve">Bone and cartilage bioregulator. Supports extracellular matrix and bone mineral density. Relevant given heavy loading and ankle instability.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Block 1: BPC-157/TB-500/Cartalax for connective tissue foundation before heavy loading begins. Block 2: Continue through peak intensification loading. Block 4: Sigumir addition at heaviest loads of the cycle. GHK-Cu throughout Blocks 3-6.</w:t>
            </w:r>
          </w:p>
        </w:tc>
      </w:tr>
    </w:tbl>
    <w:p>
      <w:pPr>
        <w:spacing w:after="0" w:before="120"/>
      </w:pPr>
      <w:r>
        <w:t xml:space="preserve"/>
      </w:r>
    </w:p>
    <w:p>
      <w:r>
        <w:br w:type="page"/>
      </w:r>
    </w:p>
    <w:p>
      <w:pPr>
        <w:pBdr>
          <w:bottom w:val="single" w:color="C9A84C" w:sz="6" w:space="4"/>
          <w:left w:val="single" w:color="1A3C2E" w:sz="24" w:space="4"/>
        </w:pBdr>
        <w:spacing w:after="60" w:before="480"/>
        <w:ind w:left="200"/>
      </w:pPr>
      <w:r>
        <w:rPr>
          <w:rFonts w:ascii="Arial" w:cs="Arial" w:eastAsia="Arial" w:hAnsi="Arial"/>
          <w:b/>
          <w:bCs/>
          <w:color w:val="1A3C2E"/>
          <w:sz w:val="40"/>
          <w:szCs w:val="40"/>
        </w:rPr>
        <w:t xml:space="preserve">11. MITOCHONDRIAL SYSTEM</w:t>
      </w:r>
    </w:p>
    <w:p>
      <w:pPr>
        <w:spacing w:after="160" w:before="40"/>
        <w:ind w:left="200"/>
      </w:pPr>
      <w:r>
        <w:rPr>
          <w:rFonts w:ascii="Arial" w:cs="Arial" w:eastAsia="Arial" w:hAnsi="Arial"/>
          <w:color w:val="3A9E6F"/>
          <w:sz w:val="22"/>
          <w:szCs w:val="22"/>
        </w:rPr>
        <w:t xml:space="preserve">Energy production, ATP synthesis, metabolic efficiency, cellular aging</w:t>
      </w:r>
    </w:p>
    <w:p>
      <w:pPr>
        <w:spacing w:after="60" w:before="60"/>
      </w:pPr>
      <w:r>
        <w:rPr>
          <w:rFonts w:ascii="Arial" w:cs="Arial" w:eastAsia="Arial" w:hAnsi="Arial"/>
          <w:color w:val="4A4A4A"/>
          <w:sz w:val="22"/>
          <w:szCs w:val="22"/>
        </w:rPr>
        <w:t xml:space="preserve">Mitochondria are the power plants of every cell. More mitochondria, better-functioning mitochondria, and more metabolically flexible mitochondria mean more energy available per unit of substrate, faster recovery between sets, greater fat oxidation during training, and slower cellular aging. This is the energy system optimization block.</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Zone 2 cardio (already in plan): </w:t>
      </w:r>
      <w:r>
        <w:rPr>
          <w:rFonts w:ascii="Arial" w:cs="Arial" w:eastAsia="Arial" w:hAnsi="Arial"/>
          <w:color w:val="4A4A4A"/>
          <w:sz w:val="22"/>
          <w:szCs w:val="22"/>
        </w:rPr>
        <w:t xml:space="preserve">The most powerful mitochondrial biogenesis stimulus available. 30-45 minutes at conversational pace 2x weekly drives meaningful mitochondrial density increase over 12+ weeks.</w:t>
      </w:r>
    </w:p>
    <w:p>
      <w:pPr>
        <w:pStyle w:val="ListParagraph"/>
        <w:numPr>
          <w:ilvl w:val="0"/>
          <w:numId w:val="2"/>
        </w:numPr>
        <w:spacing w:after="60" w:before="60"/>
      </w:pPr>
      <w:r>
        <w:rPr>
          <w:rFonts w:ascii="Arial" w:cs="Arial" w:eastAsia="Arial" w:hAnsi="Arial"/>
          <w:b/>
          <w:bCs/>
          <w:color w:val="1A1A1A"/>
          <w:sz w:val="22"/>
          <w:szCs w:val="22"/>
        </w:rPr>
        <w:t xml:space="preserve">Heat exposure (sauna): </w:t>
      </w:r>
      <w:r>
        <w:rPr>
          <w:rFonts w:ascii="Arial" w:cs="Arial" w:eastAsia="Arial" w:hAnsi="Arial"/>
          <w:color w:val="4A4A4A"/>
          <w:sz w:val="22"/>
          <w:szCs w:val="22"/>
        </w:rPr>
        <w:t xml:space="preserve">Heat shock proteins triggered by sauna protect mitochondrial membranes and drive biogenesis. 20 minutes 2-3x weekly from September.</w:t>
      </w:r>
    </w:p>
    <w:p>
      <w:pPr>
        <w:pStyle w:val="ListParagraph"/>
        <w:numPr>
          <w:ilvl w:val="0"/>
          <w:numId w:val="2"/>
        </w:numPr>
        <w:spacing w:after="60" w:before="60"/>
      </w:pPr>
      <w:r>
        <w:rPr>
          <w:rFonts w:ascii="Arial" w:cs="Arial" w:eastAsia="Arial" w:hAnsi="Arial"/>
          <w:b/>
          <w:bCs/>
          <w:color w:val="1A1A1A"/>
          <w:sz w:val="22"/>
          <w:szCs w:val="22"/>
        </w:rPr>
        <w:t xml:space="preserve">Cold exposure: </w:t>
      </w:r>
      <w:r>
        <w:rPr>
          <w:rFonts w:ascii="Arial" w:cs="Arial" w:eastAsia="Arial" w:hAnsi="Arial"/>
          <w:color w:val="4A4A4A"/>
          <w:sz w:val="22"/>
          <w:szCs w:val="22"/>
        </w:rPr>
        <w:t xml:space="preserve">Activates PGC-1alpha, the master regulator of mitochondrial biogenesis. Morning cold showers already in your protocol.</w:t>
      </w:r>
    </w:p>
    <w:p>
      <w:pPr>
        <w:pStyle w:val="ListParagraph"/>
        <w:numPr>
          <w:ilvl w:val="0"/>
          <w:numId w:val="2"/>
        </w:numPr>
        <w:spacing w:after="60" w:before="60"/>
      </w:pPr>
      <w:r>
        <w:rPr>
          <w:rFonts w:ascii="Arial" w:cs="Arial" w:eastAsia="Arial" w:hAnsi="Arial"/>
          <w:b/>
          <w:bCs/>
          <w:color w:val="1A1A1A"/>
          <w:sz w:val="22"/>
          <w:szCs w:val="22"/>
        </w:rPr>
        <w:t xml:space="preserve">Periodic fasting (12-16 hours): </w:t>
      </w:r>
      <w:r>
        <w:rPr>
          <w:rFonts w:ascii="Arial" w:cs="Arial" w:eastAsia="Arial" w:hAnsi="Arial"/>
          <w:color w:val="4A4A4A"/>
          <w:sz w:val="22"/>
          <w:szCs w:val="22"/>
        </w:rPr>
        <w:t xml:space="preserve">Activates AMPK and mitophagy — clearance of dysfunctional mitochondria. Occasional overnight fast (last meal 8pm, break at noon) 1x per week. Not on training days.</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CoQ10 Ubiquinol 200mg — electron transport chain cofactor, mitochondrial membrane antioxidant</w:t>
      </w:r>
    </w:p>
    <w:p>
      <w:pPr>
        <w:pStyle w:val="ListParagraph"/>
        <w:numPr>
          <w:ilvl w:val="0"/>
          <w:numId w:val="2"/>
        </w:numPr>
        <w:spacing w:after="40" w:before="40"/>
      </w:pPr>
      <w:r>
        <w:rPr>
          <w:rFonts w:ascii="Arial" w:cs="Arial" w:eastAsia="Arial" w:hAnsi="Arial"/>
          <w:color w:val="4A4A4A"/>
          <w:sz w:val="22"/>
          <w:szCs w:val="22"/>
        </w:rPr>
        <w:t xml:space="preserve">NMN (enteric coated) 500mg + Resveratrol 500mg — NAD+ precursor + sirtuin activator. Synergistic combination.</w:t>
      </w:r>
    </w:p>
    <w:p>
      <w:pPr>
        <w:pStyle w:val="ListParagraph"/>
        <w:numPr>
          <w:ilvl w:val="0"/>
          <w:numId w:val="2"/>
        </w:numPr>
        <w:spacing w:after="40" w:before="40"/>
      </w:pPr>
      <w:r>
        <w:rPr>
          <w:rFonts w:ascii="Arial" w:cs="Arial" w:eastAsia="Arial" w:hAnsi="Arial"/>
          <w:color w:val="4A4A4A"/>
          <w:sz w:val="22"/>
          <w:szCs w:val="22"/>
        </w:rPr>
        <w:t xml:space="preserve">5-Amino-1MQ — NNMT inhibitor, preserves NAD+ from degradation. Complements NMN.</w:t>
      </w:r>
    </w:p>
    <w:p>
      <w:pPr>
        <w:pStyle w:val="ListParagraph"/>
        <w:numPr>
          <w:ilvl w:val="0"/>
          <w:numId w:val="2"/>
        </w:numPr>
        <w:spacing w:after="40" w:before="40"/>
      </w:pPr>
      <w:r>
        <w:rPr>
          <w:rFonts w:ascii="Arial" w:cs="Arial" w:eastAsia="Arial" w:hAnsi="Arial"/>
          <w:color w:val="4A4A4A"/>
          <w:sz w:val="22"/>
          <w:szCs w:val="22"/>
        </w:rPr>
        <w:t xml:space="preserve">Alpha Lipoic Acid 300mg — mitochondrial antioxidant, regenerates other antioxidants</w:t>
      </w:r>
    </w:p>
    <w:p>
      <w:pPr>
        <w:pStyle w:val="ListParagraph"/>
        <w:numPr>
          <w:ilvl w:val="0"/>
          <w:numId w:val="2"/>
        </w:numPr>
        <w:spacing w:after="40" w:before="40"/>
      </w:pPr>
      <w:r>
        <w:rPr>
          <w:rFonts w:ascii="Arial" w:cs="Arial" w:eastAsia="Arial" w:hAnsi="Arial"/>
          <w:color w:val="4A4A4A"/>
          <w:sz w:val="22"/>
          <w:szCs w:val="22"/>
        </w:rPr>
        <w:t xml:space="preserve">PQQ 20mg — mitochondrial biogenesis signal, new mitochondria formation</w:t>
      </w:r>
    </w:p>
    <w:p>
      <w:pPr>
        <w:pStyle w:val="ListParagraph"/>
        <w:numPr>
          <w:ilvl w:val="0"/>
          <w:numId w:val="2"/>
        </w:numPr>
        <w:spacing w:after="40" w:before="40"/>
      </w:pPr>
      <w:r>
        <w:rPr>
          <w:rFonts w:ascii="Arial" w:cs="Arial" w:eastAsia="Arial" w:hAnsi="Arial"/>
          <w:color w:val="4A4A4A"/>
          <w:sz w:val="22"/>
          <w:szCs w:val="22"/>
        </w:rPr>
        <w:t xml:space="preserve">Acetyl-L-Carnitine 1g — mitochondrial fatty acid transport, cognitive function</w:t>
      </w:r>
    </w:p>
    <w:p>
      <w:pPr>
        <w:pStyle w:val="ListParagraph"/>
        <w:numPr>
          <w:ilvl w:val="0"/>
          <w:numId w:val="2"/>
        </w:numPr>
        <w:spacing w:after="40" w:before="40"/>
      </w:pPr>
      <w:r>
        <w:rPr>
          <w:rFonts w:ascii="Arial" w:cs="Arial" w:eastAsia="Arial" w:hAnsi="Arial"/>
          <w:color w:val="4A4A4A"/>
          <w:sz w:val="22"/>
          <w:szCs w:val="22"/>
        </w:rPr>
        <w:t xml:space="preserve">Cordyceps Militaris pre-training — ATP synthesis enhancement, oxygen utilization</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SS-31 (Elamipretide): </w:t>
      </w:r>
      <w:r>
        <w:rPr>
          <w:rFonts w:ascii="Arial" w:cs="Arial" w:eastAsia="Arial" w:hAnsi="Arial"/>
          <w:color w:val="4A4A4A"/>
          <w:sz w:val="22"/>
          <w:szCs w:val="22"/>
        </w:rPr>
        <w:t xml:space="preserve">Targets inner mitochondrial membrane directly. Reduces ROS at source, improves ATP synthesis efficiency. Most targeted mitochondrial membrane intervention available.</w:t>
      </w:r>
    </w:p>
    <w:p>
      <w:pPr>
        <w:pStyle w:val="ListParagraph"/>
        <w:numPr>
          <w:ilvl w:val="0"/>
          <w:numId w:val="2"/>
        </w:numPr>
        <w:spacing w:after="60" w:before="60"/>
      </w:pPr>
      <w:r>
        <w:rPr>
          <w:rFonts w:ascii="Arial" w:cs="Arial" w:eastAsia="Arial" w:hAnsi="Arial"/>
          <w:b/>
          <w:bCs/>
          <w:color w:val="1A1A1A"/>
          <w:sz w:val="22"/>
          <w:szCs w:val="22"/>
        </w:rPr>
        <w:t xml:space="preserve">MOTS-c: </w:t>
      </w:r>
      <w:r>
        <w:rPr>
          <w:rFonts w:ascii="Arial" w:cs="Arial" w:eastAsia="Arial" w:hAnsi="Arial"/>
          <w:color w:val="4A4A4A"/>
          <w:sz w:val="22"/>
          <w:szCs w:val="22"/>
        </w:rPr>
        <w:t xml:space="preserve">Mitochondrially-encoded peptide. AMPK activation, insulin sensitivity, metabolic flexibility, muscle stress resistance. Structural metabolic change.</w:t>
      </w:r>
    </w:p>
    <w:p>
      <w:pPr>
        <w:pStyle w:val="ListParagraph"/>
        <w:numPr>
          <w:ilvl w:val="0"/>
          <w:numId w:val="2"/>
        </w:numPr>
        <w:spacing w:after="60" w:before="60"/>
      </w:pPr>
      <w:r>
        <w:rPr>
          <w:rFonts w:ascii="Arial" w:cs="Arial" w:eastAsia="Arial" w:hAnsi="Arial"/>
          <w:b/>
          <w:bCs/>
          <w:color w:val="1A1A1A"/>
          <w:sz w:val="22"/>
          <w:szCs w:val="22"/>
        </w:rPr>
        <w:t xml:space="preserve">SLU-PP-332: </w:t>
      </w:r>
      <w:r>
        <w:rPr>
          <w:rFonts w:ascii="Arial" w:cs="Arial" w:eastAsia="Arial" w:hAnsi="Arial"/>
          <w:color w:val="4A4A4A"/>
          <w:sz w:val="22"/>
          <w:szCs w:val="22"/>
        </w:rPr>
        <w:t xml:space="preserve">ERR agonist. Programs gene expression toward oxidative metabolism. Shifts muscle fiber phenotype. Structural change.</w:t>
      </w:r>
    </w:p>
    <w:p>
      <w:pPr>
        <w:pStyle w:val="ListParagraph"/>
        <w:numPr>
          <w:ilvl w:val="0"/>
          <w:numId w:val="2"/>
        </w:numPr>
        <w:spacing w:after="60" w:before="60"/>
      </w:pPr>
      <w:r>
        <w:rPr>
          <w:rFonts w:ascii="Arial" w:cs="Arial" w:eastAsia="Arial" w:hAnsi="Arial"/>
          <w:b/>
          <w:bCs/>
          <w:color w:val="1A1A1A"/>
          <w:sz w:val="22"/>
          <w:szCs w:val="22"/>
        </w:rPr>
        <w:t xml:space="preserve">AICAR: </w:t>
      </w:r>
      <w:r>
        <w:rPr>
          <w:rFonts w:ascii="Arial" w:cs="Arial" w:eastAsia="Arial" w:hAnsi="Arial"/>
          <w:color w:val="4A4A4A"/>
          <w:sz w:val="22"/>
          <w:szCs w:val="22"/>
        </w:rPr>
        <w:t xml:space="preserve">AMPK activator, mitochondrial biogenesis. Works synergistically with exercise-induced AMPK activation.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Block 3 is your dedicated mitochondrial optimization block. SS-31 + MOTS-c blend, SLU-PP-332, NMN + Resveratrol, PQQ. Zone 2 cardio begins Block 3. CoQ10 and Acetyl-L-Carnitine throughout all blocks.</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12. IMMUNE SYSTEM</w:t>
      </w:r>
    </w:p>
    <w:p>
      <w:pPr>
        <w:spacing w:after="160" w:before="40"/>
        <w:ind w:left="200"/>
      </w:pPr>
      <w:r>
        <w:rPr>
          <w:rFonts w:ascii="Arial" w:cs="Arial" w:eastAsia="Arial" w:hAnsi="Arial"/>
          <w:color w:val="3A6BC4"/>
          <w:sz w:val="22"/>
          <w:szCs w:val="22"/>
        </w:rPr>
        <w:t xml:space="preserve">Training immunity, autoimmune risk management, infection resistance</w:t>
      </w:r>
    </w:p>
    <w:p>
      <w:pPr>
        <w:spacing w:after="60" w:before="60"/>
      </w:pPr>
      <w:r>
        <w:rPr>
          <w:rFonts w:ascii="Arial" w:cs="Arial" w:eastAsia="Arial" w:hAnsi="Arial"/>
          <w:color w:val="4A4A4A"/>
          <w:sz w:val="22"/>
          <w:szCs w:val="22"/>
        </w:rPr>
        <w:t xml:space="preserve">Heavy training is immunosuppressive. The open window theory describes a period of 3-72 hours post-intense exercise where immune function is transiently reduced. At 6 days per week training, this window is almost continuous. Given your maternal autoimmune history (Hashimoto's, celiac), immune system balance rather than just immune suppression prevention is the goal.</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Sleep: </w:t>
      </w:r>
      <w:r>
        <w:rPr>
          <w:rFonts w:ascii="Arial" w:cs="Arial" w:eastAsia="Arial" w:hAnsi="Arial"/>
          <w:color w:val="4A4A4A"/>
          <w:sz w:val="22"/>
          <w:szCs w:val="22"/>
        </w:rPr>
        <w:t xml:space="preserve">Immune function drops measurably on less than 7 hours. Non-negotiable.</w:t>
      </w:r>
    </w:p>
    <w:p>
      <w:pPr>
        <w:pStyle w:val="ListParagraph"/>
        <w:numPr>
          <w:ilvl w:val="0"/>
          <w:numId w:val="2"/>
        </w:numPr>
        <w:spacing w:after="60" w:before="60"/>
      </w:pPr>
      <w:r>
        <w:rPr>
          <w:rFonts w:ascii="Arial" w:cs="Arial" w:eastAsia="Arial" w:hAnsi="Arial"/>
          <w:b/>
          <w:bCs/>
          <w:color w:val="1A1A1A"/>
          <w:sz w:val="22"/>
          <w:szCs w:val="22"/>
        </w:rPr>
        <w:t xml:space="preserve">Vitamin D3 optimization: </w:t>
      </w:r>
      <w:r>
        <w:rPr>
          <w:rFonts w:ascii="Arial" w:cs="Arial" w:eastAsia="Arial" w:hAnsi="Arial"/>
          <w:color w:val="4A4A4A"/>
          <w:sz w:val="22"/>
          <w:szCs w:val="22"/>
        </w:rPr>
        <w:t xml:space="preserve">Immune regulatory hormone, not just bone vitamin. Directly reduces autoimmune antibody production.</w:t>
      </w:r>
    </w:p>
    <w:p>
      <w:pPr>
        <w:pStyle w:val="ListParagraph"/>
        <w:numPr>
          <w:ilvl w:val="0"/>
          <w:numId w:val="2"/>
        </w:numPr>
        <w:spacing w:after="60" w:before="60"/>
      </w:pPr>
      <w:r>
        <w:rPr>
          <w:rFonts w:ascii="Arial" w:cs="Arial" w:eastAsia="Arial" w:hAnsi="Arial"/>
          <w:b/>
          <w:bCs/>
          <w:color w:val="1A1A1A"/>
          <w:sz w:val="22"/>
          <w:szCs w:val="22"/>
        </w:rPr>
        <w:t xml:space="preserve">Gut integrity (already covered): </w:t>
      </w:r>
      <w:r>
        <w:rPr>
          <w:rFonts w:ascii="Arial" w:cs="Arial" w:eastAsia="Arial" w:hAnsi="Arial"/>
          <w:color w:val="4A4A4A"/>
          <w:sz w:val="22"/>
          <w:szCs w:val="22"/>
        </w:rPr>
        <w:t xml:space="preserve">Gut permeability is the primary driver of systemic immune activation. BPC-157 and gut protocol serve immunity directly.</w:t>
      </w:r>
    </w:p>
    <w:p>
      <w:pPr>
        <w:pStyle w:val="ListParagraph"/>
        <w:numPr>
          <w:ilvl w:val="0"/>
          <w:numId w:val="2"/>
        </w:numPr>
        <w:spacing w:after="60" w:before="60"/>
      </w:pPr>
      <w:r>
        <w:rPr>
          <w:rFonts w:ascii="Arial" w:cs="Arial" w:eastAsia="Arial" w:hAnsi="Arial"/>
          <w:b/>
          <w:bCs/>
          <w:color w:val="1A1A1A"/>
          <w:sz w:val="22"/>
          <w:szCs w:val="22"/>
        </w:rPr>
        <w:t xml:space="preserve">Stress management (already covered): </w:t>
      </w:r>
      <w:r>
        <w:rPr>
          <w:rFonts w:ascii="Arial" w:cs="Arial" w:eastAsia="Arial" w:hAnsi="Arial"/>
          <w:color w:val="4A4A4A"/>
          <w:sz w:val="22"/>
          <w:szCs w:val="22"/>
        </w:rPr>
        <w:t xml:space="preserve">Chronic cortisol is immunosuppressive. Every cortisol-reducing intervention is an immune intervention.</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Vitamin D3 5000 IU + K2 (already in stack)</w:t>
      </w:r>
    </w:p>
    <w:p>
      <w:pPr>
        <w:pStyle w:val="ListParagraph"/>
        <w:numPr>
          <w:ilvl w:val="0"/>
          <w:numId w:val="2"/>
        </w:numPr>
        <w:spacing w:after="40" w:before="40"/>
      </w:pPr>
      <w:r>
        <w:rPr>
          <w:rFonts w:ascii="Arial" w:cs="Arial" w:eastAsia="Arial" w:hAnsi="Arial"/>
          <w:color w:val="4A4A4A"/>
          <w:sz w:val="22"/>
          <w:szCs w:val="22"/>
        </w:rPr>
        <w:t xml:space="preserve">Zinc 25-30mg (already in stack)</w:t>
      </w:r>
    </w:p>
    <w:p>
      <w:pPr>
        <w:pStyle w:val="ListParagraph"/>
        <w:numPr>
          <w:ilvl w:val="0"/>
          <w:numId w:val="2"/>
        </w:numPr>
        <w:spacing w:after="40" w:before="40"/>
      </w:pPr>
      <w:r>
        <w:rPr>
          <w:rFonts w:ascii="Arial" w:cs="Arial" w:eastAsia="Arial" w:hAnsi="Arial"/>
          <w:color w:val="4A4A4A"/>
          <w:sz w:val="22"/>
          <w:szCs w:val="22"/>
        </w:rPr>
        <w:t xml:space="preserve">Colostrum — immune regulation, immunoglobulin content</w:t>
      </w:r>
    </w:p>
    <w:p>
      <w:pPr>
        <w:pStyle w:val="ListParagraph"/>
        <w:numPr>
          <w:ilvl w:val="0"/>
          <w:numId w:val="2"/>
        </w:numPr>
        <w:spacing w:after="40" w:before="40"/>
      </w:pPr>
      <w:r>
        <w:rPr>
          <w:rFonts w:ascii="Arial" w:cs="Arial" w:eastAsia="Arial" w:hAnsi="Arial"/>
          <w:color w:val="4A4A4A"/>
          <w:sz w:val="22"/>
          <w:szCs w:val="22"/>
        </w:rPr>
        <w:t xml:space="preserve">Turkey Tail mushroom — PSK and PSP for immune modulation and microbiome support</w:t>
      </w:r>
    </w:p>
    <w:p>
      <w:pPr>
        <w:pStyle w:val="ListParagraph"/>
        <w:numPr>
          <w:ilvl w:val="0"/>
          <w:numId w:val="2"/>
        </w:numPr>
        <w:spacing w:after="40" w:before="40"/>
      </w:pPr>
      <w:r>
        <w:rPr>
          <w:rFonts w:ascii="Arial" w:cs="Arial" w:eastAsia="Arial" w:hAnsi="Arial"/>
          <w:color w:val="4A4A4A"/>
          <w:sz w:val="22"/>
          <w:szCs w:val="22"/>
        </w:rPr>
        <w:t xml:space="preserve">Reishi (Lucidimax) — immunomodulatory, cortisol reduction, anti-inflammatory</w:t>
      </w:r>
    </w:p>
    <w:p>
      <w:pPr>
        <w:pStyle w:val="ListParagraph"/>
        <w:numPr>
          <w:ilvl w:val="0"/>
          <w:numId w:val="2"/>
        </w:numPr>
        <w:spacing w:after="40" w:before="40"/>
      </w:pPr>
      <w:r>
        <w:rPr>
          <w:rFonts w:ascii="Arial" w:cs="Arial" w:eastAsia="Arial" w:hAnsi="Arial"/>
          <w:color w:val="4A4A4A"/>
          <w:sz w:val="22"/>
          <w:szCs w:val="22"/>
        </w:rPr>
        <w:t xml:space="preserve">Quercetin Phytosome — mast cell stabilization, antiviral, anti-inflammatory</w:t>
      </w:r>
    </w:p>
    <w:p>
      <w:pPr>
        <w:pStyle w:val="ListParagraph"/>
        <w:numPr>
          <w:ilvl w:val="0"/>
          <w:numId w:val="2"/>
        </w:numPr>
        <w:spacing w:after="40" w:before="40"/>
      </w:pPr>
      <w:r>
        <w:rPr>
          <w:rFonts w:ascii="Arial" w:cs="Arial" w:eastAsia="Arial" w:hAnsi="Arial"/>
          <w:color w:val="4A4A4A"/>
          <w:sz w:val="22"/>
          <w:szCs w:val="22"/>
        </w:rPr>
        <w:t xml:space="preserve">Vitamin C 1g (already in stack)</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Crystagen (Khavinson): </w:t>
      </w:r>
      <w:r>
        <w:rPr>
          <w:rFonts w:ascii="Arial" w:cs="Arial" w:eastAsia="Arial" w:hAnsi="Arial"/>
          <w:color w:val="4A4A4A"/>
          <w:sz w:val="22"/>
          <w:szCs w:val="22"/>
        </w:rPr>
        <w:t xml:space="preserve">Thymus bioregulator. The thymus atrophies with age and stress, degrading immune surveillance. Crystagen restores thymic function epigenetically. Run in Block 1 alongside the foundation bioregulators.</w:t>
      </w:r>
    </w:p>
    <w:p>
      <w:pPr>
        <w:pStyle w:val="ListParagraph"/>
        <w:numPr>
          <w:ilvl w:val="0"/>
          <w:numId w:val="2"/>
        </w:numPr>
        <w:spacing w:after="60" w:before="60"/>
      </w:pPr>
      <w:r>
        <w:rPr>
          <w:rFonts w:ascii="Arial" w:cs="Arial" w:eastAsia="Arial" w:hAnsi="Arial"/>
          <w:b/>
          <w:bCs/>
          <w:color w:val="1A1A1A"/>
          <w:sz w:val="22"/>
          <w:szCs w:val="22"/>
        </w:rPr>
        <w:t xml:space="preserve">Vladonix (Khavinson): </w:t>
      </w:r>
      <w:r>
        <w:rPr>
          <w:rFonts w:ascii="Arial" w:cs="Arial" w:eastAsia="Arial" w:hAnsi="Arial"/>
          <w:color w:val="4A4A4A"/>
          <w:sz w:val="22"/>
          <w:szCs w:val="22"/>
        </w:rPr>
        <w:t xml:space="preserve">Immune system bioregulator. Broader immune optimization than thymus-specific Crystagen.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Crystagen in Block 1. Turkey Tail, Reishi, and Colostrum throughout all blocks. Quercetin from Block 2 onward.</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13. HORMONAL AXIS</w:t>
      </w:r>
    </w:p>
    <w:p>
      <w:pPr>
        <w:spacing w:after="160" w:before="40"/>
        <w:ind w:left="200"/>
      </w:pPr>
      <w:r>
        <w:rPr>
          <w:rFonts w:ascii="Arial" w:cs="Arial" w:eastAsia="Arial" w:hAnsi="Arial"/>
          <w:color w:val="3A6BC4"/>
          <w:sz w:val="22"/>
          <w:szCs w:val="22"/>
        </w:rPr>
        <w:t xml:space="preserve">Testosterone, GH, estrogen balance, DHEA, optimization framework</w:t>
      </w:r>
    </w:p>
    <w:p>
      <w:pPr>
        <w:spacing w:after="60" w:before="60"/>
      </w:pPr>
      <w:r>
        <w:rPr>
          <w:rFonts w:ascii="Arial" w:cs="Arial" w:eastAsia="Arial" w:hAnsi="Arial"/>
          <w:color w:val="4A4A4A"/>
          <w:sz w:val="22"/>
          <w:szCs w:val="22"/>
        </w:rPr>
        <w:t xml:space="preserve">Hormonal optimization is the system where your training, sleep, diet, and targeted supplementation intersect most directly with your bulk goals. The goal is not supraphysiological hormone levels — it is optimal expression of your natural hormonal capacity through removal of the factors that suppress it.</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Testosterone Optimization Foundation</w:t>
      </w:r>
    </w:p>
    <w:p>
      <w:pPr>
        <w:pStyle w:val="ListParagraph"/>
        <w:numPr>
          <w:ilvl w:val="0"/>
          <w:numId w:val="2"/>
        </w:numPr>
        <w:spacing w:after="60" w:before="60"/>
      </w:pPr>
      <w:r>
        <w:rPr>
          <w:rFonts w:ascii="Arial" w:cs="Arial" w:eastAsia="Arial" w:hAnsi="Arial"/>
          <w:b/>
          <w:bCs/>
          <w:color w:val="1A1A1A"/>
          <w:sz w:val="22"/>
          <w:szCs w:val="22"/>
        </w:rPr>
        <w:t xml:space="preserve">Sleep (primary): </w:t>
      </w:r>
      <w:r>
        <w:rPr>
          <w:rFonts w:ascii="Arial" w:cs="Arial" w:eastAsia="Arial" w:hAnsi="Arial"/>
          <w:color w:val="4A4A4A"/>
          <w:sz w:val="22"/>
          <w:szCs w:val="22"/>
        </w:rPr>
        <w:t xml:space="preserve">Testosterone is produced predominantly during sleep. Every hour below 7 reduces production measurably.</w:t>
      </w:r>
    </w:p>
    <w:p>
      <w:pPr>
        <w:pStyle w:val="ListParagraph"/>
        <w:numPr>
          <w:ilvl w:val="0"/>
          <w:numId w:val="2"/>
        </w:numPr>
        <w:spacing w:after="60" w:before="60"/>
      </w:pPr>
      <w:r>
        <w:rPr>
          <w:rFonts w:ascii="Arial" w:cs="Arial" w:eastAsia="Arial" w:hAnsi="Arial"/>
          <w:b/>
          <w:bCs/>
          <w:color w:val="1A1A1A"/>
          <w:sz w:val="22"/>
          <w:szCs w:val="22"/>
        </w:rPr>
        <w:t xml:space="preserve">Heavy compound training: </w:t>
      </w:r>
      <w:r>
        <w:rPr>
          <w:rFonts w:ascii="Arial" w:cs="Arial" w:eastAsia="Arial" w:hAnsi="Arial"/>
          <w:color w:val="4A4A4A"/>
          <w:sz w:val="22"/>
          <w:szCs w:val="22"/>
        </w:rPr>
        <w:t xml:space="preserve">The most powerful natural testosterone stimulus. Your Poliquin plan is already optimizing this.</w:t>
      </w:r>
    </w:p>
    <w:p>
      <w:pPr>
        <w:pStyle w:val="ListParagraph"/>
        <w:numPr>
          <w:ilvl w:val="0"/>
          <w:numId w:val="2"/>
        </w:numPr>
        <w:spacing w:after="60" w:before="60"/>
      </w:pPr>
      <w:r>
        <w:rPr>
          <w:rFonts w:ascii="Arial" w:cs="Arial" w:eastAsia="Arial" w:hAnsi="Arial"/>
          <w:b/>
          <w:bCs/>
          <w:color w:val="1A1A1A"/>
          <w:sz w:val="22"/>
          <w:szCs w:val="22"/>
        </w:rPr>
        <w:t xml:space="preserve">Body fat management: </w:t>
      </w:r>
      <w:r>
        <w:rPr>
          <w:rFonts w:ascii="Arial" w:cs="Arial" w:eastAsia="Arial" w:hAnsi="Arial"/>
          <w:color w:val="4A4A4A"/>
          <w:sz w:val="22"/>
          <w:szCs w:val="22"/>
        </w:rPr>
        <w:t xml:space="preserve">Aromatase enzyme converts testosterone to estrogen in adipose tissue. Staying lean during the bulk protects testosterone.</w:t>
      </w:r>
    </w:p>
    <w:p>
      <w:pPr>
        <w:pStyle w:val="ListParagraph"/>
        <w:numPr>
          <w:ilvl w:val="0"/>
          <w:numId w:val="2"/>
        </w:numPr>
        <w:spacing w:after="60" w:before="60"/>
      </w:pPr>
      <w:r>
        <w:rPr>
          <w:rFonts w:ascii="Arial" w:cs="Arial" w:eastAsia="Arial" w:hAnsi="Arial"/>
          <w:b/>
          <w:bCs/>
          <w:color w:val="1A1A1A"/>
          <w:sz w:val="22"/>
          <w:szCs w:val="22"/>
        </w:rPr>
        <w:t xml:space="preserve">Zinc, Magnesium, D3 (already in stack): </w:t>
      </w:r>
      <w:r>
        <w:rPr>
          <w:rFonts w:ascii="Arial" w:cs="Arial" w:eastAsia="Arial" w:hAnsi="Arial"/>
          <w:color w:val="4A4A4A"/>
          <w:sz w:val="22"/>
          <w:szCs w:val="22"/>
        </w:rPr>
        <w:t xml:space="preserve">The three most critical testosterone cofactors.</w:t>
      </w:r>
    </w:p>
    <w:p>
      <w:pPr>
        <w:pStyle w:val="ListParagraph"/>
        <w:numPr>
          <w:ilvl w:val="0"/>
          <w:numId w:val="2"/>
        </w:numPr>
        <w:spacing w:after="60" w:before="60"/>
      </w:pPr>
      <w:r>
        <w:rPr>
          <w:rFonts w:ascii="Arial" w:cs="Arial" w:eastAsia="Arial" w:hAnsi="Arial"/>
          <w:b/>
          <w:bCs/>
          <w:color w:val="1A1A1A"/>
          <w:sz w:val="22"/>
          <w:szCs w:val="22"/>
        </w:rPr>
        <w:t xml:space="preserve">Minimize chronic stress: </w:t>
      </w:r>
      <w:r>
        <w:rPr>
          <w:rFonts w:ascii="Arial" w:cs="Arial" w:eastAsia="Arial" w:hAnsi="Arial"/>
          <w:color w:val="4A4A4A"/>
          <w:sz w:val="22"/>
          <w:szCs w:val="22"/>
        </w:rPr>
        <w:t xml:space="preserve">Cortisol and testosterone compete for the same pregnenolone precursor.</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 — Hormonal</w:t>
      </w:r>
    </w:p>
    <w:p>
      <w:pPr>
        <w:pStyle w:val="ListParagraph"/>
        <w:numPr>
          <w:ilvl w:val="0"/>
          <w:numId w:val="2"/>
        </w:numPr>
        <w:spacing w:after="40" w:before="40"/>
      </w:pPr>
      <w:r>
        <w:rPr>
          <w:rFonts w:ascii="Arial" w:cs="Arial" w:eastAsia="Arial" w:hAnsi="Arial"/>
          <w:color w:val="4A4A4A"/>
          <w:sz w:val="22"/>
          <w:szCs w:val="22"/>
        </w:rPr>
        <w:t xml:space="preserve">Eurycoma/Eurycomax (already in stack) — SHBG reduction, free testosterone increase</w:t>
      </w:r>
    </w:p>
    <w:p>
      <w:pPr>
        <w:pStyle w:val="ListParagraph"/>
        <w:numPr>
          <w:ilvl w:val="0"/>
          <w:numId w:val="2"/>
        </w:numPr>
        <w:spacing w:after="40" w:before="40"/>
      </w:pPr>
      <w:r>
        <w:rPr>
          <w:rFonts w:ascii="Arial" w:cs="Arial" w:eastAsia="Arial" w:hAnsi="Arial"/>
          <w:color w:val="4A4A4A"/>
          <w:sz w:val="22"/>
          <w:szCs w:val="22"/>
        </w:rPr>
        <w:t xml:space="preserve">CistaMAX (Cistanche Tubulosa) — LH stimulation, different pathway to Tongkat Ali</w:t>
      </w:r>
    </w:p>
    <w:p>
      <w:pPr>
        <w:pStyle w:val="ListParagraph"/>
        <w:numPr>
          <w:ilvl w:val="0"/>
          <w:numId w:val="2"/>
        </w:numPr>
        <w:spacing w:after="40" w:before="40"/>
      </w:pPr>
      <w:r>
        <w:rPr>
          <w:rFonts w:ascii="Arial" w:cs="Arial" w:eastAsia="Arial" w:hAnsi="Arial"/>
          <w:color w:val="4A4A4A"/>
          <w:sz w:val="22"/>
          <w:szCs w:val="22"/>
        </w:rPr>
        <w:t xml:space="preserve">Boron Glycinate 10mg — SHBG reduction, estrogen reduction, free testosterone increase</w:t>
      </w:r>
    </w:p>
    <w:p>
      <w:pPr>
        <w:pStyle w:val="ListParagraph"/>
        <w:numPr>
          <w:ilvl w:val="0"/>
          <w:numId w:val="2"/>
        </w:numPr>
        <w:spacing w:after="40" w:before="40"/>
      </w:pPr>
      <w:r>
        <w:rPr>
          <w:rFonts w:ascii="Arial" w:cs="Arial" w:eastAsia="Arial" w:hAnsi="Arial"/>
          <w:color w:val="4A4A4A"/>
          <w:sz w:val="22"/>
          <w:szCs w:val="22"/>
        </w:rPr>
        <w:t xml:space="preserve">Ashwagandha KSM-66 (already in stack) — testosterone support, cortisol reduction</w:t>
      </w:r>
    </w:p>
    <w:p>
      <w:pPr>
        <w:pStyle w:val="ListParagraph"/>
        <w:numPr>
          <w:ilvl w:val="0"/>
          <w:numId w:val="2"/>
        </w:numPr>
        <w:spacing w:after="40" w:before="40"/>
      </w:pPr>
      <w:r>
        <w:rPr>
          <w:rFonts w:ascii="Arial" w:cs="Arial" w:eastAsia="Arial" w:hAnsi="Arial"/>
          <w:color w:val="4A4A4A"/>
          <w:sz w:val="22"/>
          <w:szCs w:val="22"/>
        </w:rPr>
        <w:t xml:space="preserve">Fadogia Agrestis (with caution) — LH stimulation, use conservatively</w:t>
      </w:r>
    </w:p>
    <w:p>
      <w:pPr>
        <w:pStyle w:val="ListParagraph"/>
        <w:numPr>
          <w:ilvl w:val="0"/>
          <w:numId w:val="2"/>
        </w:numPr>
        <w:spacing w:after="40" w:before="40"/>
      </w:pPr>
      <w:r>
        <w:rPr>
          <w:rFonts w:ascii="Arial" w:cs="Arial" w:eastAsia="Arial" w:hAnsi="Arial"/>
          <w:color w:val="4A4A4A"/>
          <w:sz w:val="22"/>
          <w:szCs w:val="22"/>
        </w:rPr>
        <w:t xml:space="preserve">DIM 200mg — estrogen clearance, phase 2 detox, aromatase modulation</w:t>
      </w:r>
    </w:p>
    <w:p>
      <w:pPr>
        <w:pStyle w:val="ListParagraph"/>
        <w:numPr>
          <w:ilvl w:val="0"/>
          <w:numId w:val="2"/>
        </w:numPr>
        <w:spacing w:after="40" w:before="40"/>
      </w:pPr>
      <w:r>
        <w:rPr>
          <w:rFonts w:ascii="Arial" w:cs="Arial" w:eastAsia="Arial" w:hAnsi="Arial"/>
          <w:color w:val="4A4A4A"/>
          <w:sz w:val="22"/>
          <w:szCs w:val="22"/>
        </w:rPr>
        <w:t xml:space="preserve">Baicalein — mild aromatase inhibition</w:t>
      </w:r>
    </w:p>
    <w:p>
      <w:pPr>
        <w:pStyle w:val="ListParagraph"/>
        <w:numPr>
          <w:ilvl w:val="0"/>
          <w:numId w:val="2"/>
        </w:numPr>
        <w:spacing w:after="40" w:before="40"/>
      </w:pPr>
      <w:r>
        <w:rPr>
          <w:rFonts w:ascii="Arial" w:cs="Arial" w:eastAsia="Arial" w:hAnsi="Arial"/>
          <w:color w:val="4A4A4A"/>
          <w:sz w:val="22"/>
          <w:szCs w:val="22"/>
        </w:rPr>
        <w:t xml:space="preserve">Zinc (already in stack) — aromatase inhibition at physiological doses</w:t>
      </w:r>
    </w:p>
    <w:p>
      <w:pPr>
        <w:pStyle w:val="ListParagraph"/>
        <w:numPr>
          <w:ilvl w:val="0"/>
          <w:numId w:val="2"/>
        </w:numPr>
        <w:spacing w:after="40" w:before="40"/>
      </w:pPr>
      <w:r>
        <w:rPr>
          <w:rFonts w:ascii="Arial" w:cs="Arial" w:eastAsia="Arial" w:hAnsi="Arial"/>
          <w:color w:val="4A4A4A"/>
          <w:sz w:val="22"/>
          <w:szCs w:val="22"/>
        </w:rPr>
        <w:t xml:space="preserve">Beta-Ecdysterone — estrogen receptor beta activation for muscle protein synthesis without androgenic effects</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GH Axis Optimization</w:t>
      </w:r>
    </w:p>
    <w:p>
      <w:pPr>
        <w:pStyle w:val="ListParagraph"/>
        <w:numPr>
          <w:ilvl w:val="0"/>
          <w:numId w:val="2"/>
        </w:numPr>
        <w:spacing w:after="60" w:before="60"/>
      </w:pPr>
      <w:r>
        <w:rPr>
          <w:rFonts w:ascii="Arial" w:cs="Arial" w:eastAsia="Arial" w:hAnsi="Arial"/>
          <w:b/>
          <w:bCs/>
          <w:color w:val="1A1A1A"/>
          <w:sz w:val="22"/>
          <w:szCs w:val="22"/>
        </w:rPr>
        <w:t xml:space="preserve">Sleep (primary): </w:t>
      </w:r>
      <w:r>
        <w:rPr>
          <w:rFonts w:ascii="Arial" w:cs="Arial" w:eastAsia="Arial" w:hAnsi="Arial"/>
          <w:color w:val="4A4A4A"/>
          <w:sz w:val="22"/>
          <w:szCs w:val="22"/>
        </w:rPr>
        <w:t xml:space="preserve">Largest GH pulse in first 90 minutes of deep sleep. Magnesium and glycine pre-bed enhance this.</w:t>
      </w:r>
    </w:p>
    <w:p>
      <w:pPr>
        <w:pStyle w:val="ListParagraph"/>
        <w:numPr>
          <w:ilvl w:val="0"/>
          <w:numId w:val="2"/>
        </w:numPr>
        <w:spacing w:after="60" w:before="60"/>
      </w:pPr>
      <w:r>
        <w:rPr>
          <w:rFonts w:ascii="Arial" w:cs="Arial" w:eastAsia="Arial" w:hAnsi="Arial"/>
          <w:b/>
          <w:bCs/>
          <w:color w:val="1A1A1A"/>
          <w:sz w:val="22"/>
          <w:szCs w:val="22"/>
        </w:rPr>
        <w:t xml:space="preserve">Training intensity: </w:t>
      </w:r>
      <w:r>
        <w:rPr>
          <w:rFonts w:ascii="Arial" w:cs="Arial" w:eastAsia="Arial" w:hAnsi="Arial"/>
          <w:color w:val="4A4A4A"/>
          <w:sz w:val="22"/>
          <w:szCs w:val="22"/>
        </w:rPr>
        <w:t xml:space="preserve">Heavy resistance training drives GH pulse. Intensification blocks are your most GH-stimulating periods.</w:t>
      </w:r>
    </w:p>
    <w:p>
      <w:pPr>
        <w:pStyle w:val="ListParagraph"/>
        <w:numPr>
          <w:ilvl w:val="0"/>
          <w:numId w:val="2"/>
        </w:numPr>
        <w:spacing w:after="60" w:before="60"/>
      </w:pPr>
      <w:r>
        <w:rPr>
          <w:rFonts w:ascii="Arial" w:cs="Arial" w:eastAsia="Arial" w:hAnsi="Arial"/>
          <w:b/>
          <w:bCs/>
          <w:color w:val="1A1A1A"/>
          <w:sz w:val="22"/>
          <w:szCs w:val="22"/>
        </w:rPr>
        <w:t xml:space="preserve">Fasting windows: </w:t>
      </w:r>
      <w:r>
        <w:rPr>
          <w:rFonts w:ascii="Arial" w:cs="Arial" w:eastAsia="Arial" w:hAnsi="Arial"/>
          <w:color w:val="4A4A4A"/>
          <w:sz w:val="22"/>
          <w:szCs w:val="22"/>
        </w:rPr>
        <w:t xml:space="preserve">GH is inversely regulated by insulin. Training in a fasted state or with a long overnight fast amplifies the GH pulse.</w:t>
      </w:r>
    </w:p>
    <w:p>
      <w:pPr>
        <w:pStyle w:val="ListParagraph"/>
        <w:numPr>
          <w:ilvl w:val="0"/>
          <w:numId w:val="2"/>
        </w:numPr>
        <w:spacing w:after="60" w:before="60"/>
      </w:pPr>
      <w:r>
        <w:rPr>
          <w:rFonts w:ascii="Arial" w:cs="Arial" w:eastAsia="Arial" w:hAnsi="Arial"/>
          <w:b/>
          <w:bCs/>
          <w:color w:val="1A1A1A"/>
          <w:sz w:val="22"/>
          <w:szCs w:val="22"/>
        </w:rPr>
        <w:t xml:space="preserve">Alpha-GPC pre-training: </w:t>
      </w:r>
      <w:r>
        <w:rPr>
          <w:rFonts w:ascii="Arial" w:cs="Arial" w:eastAsia="Arial" w:hAnsi="Arial"/>
          <w:color w:val="4A4A4A"/>
          <w:sz w:val="22"/>
          <w:szCs w:val="22"/>
        </w:rPr>
        <w:t xml:space="preserve">Documented to increase GH release acutely. Already in your stack.</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GH Secretagogue Peptides</w:t>
      </w:r>
    </w:p>
    <w:p>
      <w:pPr>
        <w:pStyle w:val="ListParagraph"/>
        <w:numPr>
          <w:ilvl w:val="0"/>
          <w:numId w:val="2"/>
        </w:numPr>
        <w:spacing w:after="60" w:before="60"/>
      </w:pPr>
      <w:r>
        <w:rPr>
          <w:rFonts w:ascii="Arial" w:cs="Arial" w:eastAsia="Arial" w:hAnsi="Arial"/>
          <w:b/>
          <w:bCs/>
          <w:color w:val="1A1A1A"/>
          <w:sz w:val="22"/>
          <w:szCs w:val="22"/>
        </w:rPr>
        <w:t xml:space="preserve">Sermorelin: </w:t>
      </w:r>
      <w:r>
        <w:rPr>
          <w:rFonts w:ascii="Arial" w:cs="Arial" w:eastAsia="Arial" w:hAnsi="Arial"/>
          <w:color w:val="4A4A4A"/>
          <w:sz w:val="22"/>
          <w:szCs w:val="22"/>
        </w:rPr>
        <w:t xml:space="preserve">Mildest GHRH analog, most established safety profile, physiologically limited ceiling. Entry point.</w:t>
      </w:r>
    </w:p>
    <w:p>
      <w:pPr>
        <w:pStyle w:val="ListParagraph"/>
        <w:numPr>
          <w:ilvl w:val="0"/>
          <w:numId w:val="2"/>
        </w:numPr>
        <w:spacing w:after="60" w:before="60"/>
      </w:pPr>
      <w:r>
        <w:rPr>
          <w:rFonts w:ascii="Arial" w:cs="Arial" w:eastAsia="Arial" w:hAnsi="Arial"/>
          <w:b/>
          <w:bCs/>
          <w:color w:val="1A1A1A"/>
          <w:sz w:val="22"/>
          <w:szCs w:val="22"/>
        </w:rPr>
        <w:t xml:space="preserve">Tesamorelin/Ipamorelin: </w:t>
      </w:r>
      <w:r>
        <w:rPr>
          <w:rFonts w:ascii="Arial" w:cs="Arial" w:eastAsia="Arial" w:hAnsi="Arial"/>
          <w:color w:val="4A4A4A"/>
          <w:sz w:val="22"/>
          <w:szCs w:val="22"/>
        </w:rPr>
        <w:t xml:space="preserve">Strongest GHRH with cleanest GHRP. Tesamorelin is FDA approved. Ipamorelin has no cortisol or prolactin spillover. Best combination for your goals. Block 4-6.</w:t>
      </w:r>
    </w:p>
    <w:p>
      <w:pPr>
        <w:pStyle w:val="ListParagraph"/>
        <w:numPr>
          <w:ilvl w:val="0"/>
          <w:numId w:val="2"/>
        </w:numPr>
        <w:spacing w:after="60" w:before="60"/>
      </w:pPr>
      <w:r>
        <w:rPr>
          <w:rFonts w:ascii="Arial" w:cs="Arial" w:eastAsia="Arial" w:hAnsi="Arial"/>
          <w:b/>
          <w:bCs/>
          <w:color w:val="1A1A1A"/>
          <w:sz w:val="22"/>
          <w:szCs w:val="22"/>
        </w:rPr>
        <w:t xml:space="preserve">CJC-1295 with DAC: </w:t>
      </w:r>
      <w:r>
        <w:rPr>
          <w:rFonts w:ascii="Arial" w:cs="Arial" w:eastAsia="Arial" w:hAnsi="Arial"/>
          <w:color w:val="4A4A4A"/>
          <w:sz w:val="22"/>
          <w:szCs w:val="22"/>
        </w:rPr>
        <w:t xml:space="preserve">Extended half-life GHRH. Sustained GH elevation vs pulsatile. Different approach to the same goal.</w:t>
      </w:r>
    </w:p>
    <w:p>
      <w:pPr>
        <w:pStyle w:val="ListParagraph"/>
        <w:numPr>
          <w:ilvl w:val="0"/>
          <w:numId w:val="2"/>
        </w:numPr>
        <w:spacing w:after="60" w:before="60"/>
      </w:pPr>
      <w:r>
        <w:rPr>
          <w:rFonts w:ascii="Arial" w:cs="Arial" w:eastAsia="Arial" w:hAnsi="Arial"/>
          <w:b/>
          <w:bCs/>
          <w:color w:val="1A1A1A"/>
          <w:sz w:val="22"/>
          <w:szCs w:val="22"/>
        </w:rPr>
        <w:t xml:space="preserve">MK-677 (Ibutamoren): </w:t>
      </w:r>
      <w:r>
        <w:rPr>
          <w:rFonts w:ascii="Arial" w:cs="Arial" w:eastAsia="Arial" w:hAnsi="Arial"/>
          <w:color w:val="4A4A4A"/>
          <w:sz w:val="22"/>
          <w:szCs w:val="22"/>
        </w:rPr>
        <w:t xml:space="preserve">Already have supply. Oral GH secretagogue. The reduced throat pressure sensation you noticed on MK is consistent with IGF-1 supporting thyroid hormone conversion.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6B4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BLOCKS</w:t>
            </w:r>
          </w:p>
        </w:tc>
        <w:tc>
          <w:tcPr>
            <w:tcW w:type="dxa" w:w="8160"/>
            <w:tcBorders>
              <w:top w:val="none" w:color="FFFFFF" w:sz="0"/>
              <w:left w:val="none" w:color="FFFFFF" w:sz="0"/>
              <w:bottom w:val="none" w:color="FFFFFF" w:sz="0"/>
              <w:right w:val="none" w:color="FFFFFF" w:sz="0"/>
            </w:tcBorders>
            <w:shd w:fill="D4EDE1" w:val="clear"/>
            <w:tcMar>
              <w:top w:type="dxa" w:w="120"/>
              <w:left w:type="dxa" w:w="160"/>
              <w:bottom w:type="dxa" w:w="120"/>
              <w:right w:type="dxa" w:w="160"/>
            </w:tcMar>
          </w:tcPr>
          <w:p>
            <w:r>
              <w:rPr>
                <w:rFonts w:ascii="Arial" w:cs="Arial" w:eastAsia="Arial" w:hAnsi="Arial"/>
                <w:color w:val="1A1A1A"/>
                <w:sz w:val="22"/>
                <w:szCs w:val="22"/>
              </w:rPr>
              <w:t xml:space="preserve">Block 2: Introduce Sermorelin as GH axis primer. Block 4: Tesamorelin/Ipamorelin combination. Block 6: Peak GH support alongside heaviest loading.</w:t>
            </w:r>
          </w:p>
        </w:tc>
      </w:tr>
    </w:tbl>
    <w:p>
      <w:pPr>
        <w:spacing w:after="0" w:before="120"/>
      </w:pPr>
      <w:r>
        <w:t xml:space="preserve"/>
      </w:r>
    </w:p>
    <w:p>
      <w:r>
        <w:br w:type="page"/>
      </w:r>
    </w:p>
    <w:p>
      <w:pPr>
        <w:pBdr>
          <w:bottom w:val="single" w:color="C9A84C" w:sz="6" w:space="4"/>
          <w:left w:val="single" w:color="1B2A4A" w:sz="24" w:space="4"/>
        </w:pBdr>
        <w:spacing w:after="60" w:before="480"/>
        <w:ind w:left="200"/>
      </w:pPr>
      <w:r>
        <w:rPr>
          <w:rFonts w:ascii="Arial" w:cs="Arial" w:eastAsia="Arial" w:hAnsi="Arial"/>
          <w:b/>
          <w:bCs/>
          <w:color w:val="1B2A4A"/>
          <w:sz w:val="40"/>
          <w:szCs w:val="40"/>
        </w:rPr>
        <w:t xml:space="preserve">14. SKIN &amp; INTEGUMENTARY SYSTEM</w:t>
      </w:r>
    </w:p>
    <w:p>
      <w:pPr>
        <w:spacing w:after="160" w:before="40"/>
        <w:ind w:left="200"/>
      </w:pPr>
      <w:r>
        <w:rPr>
          <w:rFonts w:ascii="Arial" w:cs="Arial" w:eastAsia="Arial" w:hAnsi="Arial"/>
          <w:color w:val="3A6BC4"/>
          <w:sz w:val="22"/>
          <w:szCs w:val="22"/>
        </w:rPr>
        <w:t xml:space="preserve">Collagen quality, photoprotection, wound healing, appearance</w:t>
      </w:r>
    </w:p>
    <w:p>
      <w:pPr>
        <w:spacing w:after="60" w:before="60"/>
      </w:pPr>
      <w:r>
        <w:rPr>
          <w:rFonts w:ascii="Arial" w:cs="Arial" w:eastAsia="Arial" w:hAnsi="Arial"/>
          <w:color w:val="4A4A4A"/>
          <w:sz w:val="22"/>
          <w:szCs w:val="22"/>
        </w:rPr>
        <w:t xml:space="preserve">Skin is the external indicator of internal function. Liver health, gut integrity, hormonal balance, and oxidative stress all manifest on the skin. Your Klow protocol has already improved skin quality noticeably. The goal is maintaining and extending that.</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Foundation</w:t>
      </w:r>
    </w:p>
    <w:p>
      <w:pPr>
        <w:pStyle w:val="ListParagraph"/>
        <w:numPr>
          <w:ilvl w:val="0"/>
          <w:numId w:val="2"/>
        </w:numPr>
        <w:spacing w:after="60" w:before="60"/>
      </w:pPr>
      <w:r>
        <w:rPr>
          <w:rFonts w:ascii="Arial" w:cs="Arial" w:eastAsia="Arial" w:hAnsi="Arial"/>
          <w:b/>
          <w:bCs/>
          <w:color w:val="1A1A1A"/>
          <w:sz w:val="22"/>
          <w:szCs w:val="22"/>
        </w:rPr>
        <w:t xml:space="preserve">Hydration: </w:t>
      </w:r>
      <w:r>
        <w:rPr>
          <w:rFonts w:ascii="Arial" w:cs="Arial" w:eastAsia="Arial" w:hAnsi="Arial"/>
          <w:color w:val="4A4A4A"/>
          <w:sz w:val="22"/>
          <w:szCs w:val="22"/>
        </w:rPr>
        <w:t xml:space="preserve">Skin turgor and quality directly reflects hydration status.</w:t>
      </w:r>
    </w:p>
    <w:p>
      <w:pPr>
        <w:pStyle w:val="ListParagraph"/>
        <w:numPr>
          <w:ilvl w:val="0"/>
          <w:numId w:val="2"/>
        </w:numPr>
        <w:spacing w:after="60" w:before="60"/>
      </w:pPr>
      <w:r>
        <w:rPr>
          <w:rFonts w:ascii="Arial" w:cs="Arial" w:eastAsia="Arial" w:hAnsi="Arial"/>
          <w:b/>
          <w:bCs/>
          <w:color w:val="1A1A1A"/>
          <w:sz w:val="22"/>
          <w:szCs w:val="22"/>
        </w:rPr>
        <w:t xml:space="preserve">Omega-3 (already in stack): </w:t>
      </w:r>
      <w:r>
        <w:rPr>
          <w:rFonts w:ascii="Arial" w:cs="Arial" w:eastAsia="Arial" w:hAnsi="Arial"/>
          <w:color w:val="4A4A4A"/>
          <w:sz w:val="22"/>
          <w:szCs w:val="22"/>
        </w:rPr>
        <w:t xml:space="preserve">Skin membrane integrity, anti-inflammatory, sebum quality.</w:t>
      </w:r>
    </w:p>
    <w:p>
      <w:pPr>
        <w:pStyle w:val="ListParagraph"/>
        <w:numPr>
          <w:ilvl w:val="0"/>
          <w:numId w:val="2"/>
        </w:numPr>
        <w:spacing w:after="60" w:before="60"/>
      </w:pPr>
      <w:r>
        <w:rPr>
          <w:rFonts w:ascii="Arial" w:cs="Arial" w:eastAsia="Arial" w:hAnsi="Arial"/>
          <w:b/>
          <w:bCs/>
          <w:color w:val="1A1A1A"/>
          <w:sz w:val="22"/>
          <w:szCs w:val="22"/>
        </w:rPr>
        <w:t xml:space="preserve">Gut health (already covered): </w:t>
      </w:r>
      <w:r>
        <w:rPr>
          <w:rFonts w:ascii="Arial" w:cs="Arial" w:eastAsia="Arial" w:hAnsi="Arial"/>
          <w:color w:val="4A4A4A"/>
          <w:sz w:val="22"/>
          <w:szCs w:val="22"/>
        </w:rPr>
        <w:t xml:space="preserve">The gut-skin axis is bidirectional. Microbiome dysbiosis manifests on skin.</w:t>
      </w:r>
    </w:p>
    <w:p>
      <w:pPr>
        <w:pStyle w:val="ListParagraph"/>
        <w:numPr>
          <w:ilvl w:val="0"/>
          <w:numId w:val="2"/>
        </w:numPr>
        <w:spacing w:after="60" w:before="60"/>
      </w:pPr>
      <w:r>
        <w:rPr>
          <w:rFonts w:ascii="Arial" w:cs="Arial" w:eastAsia="Arial" w:hAnsi="Arial"/>
          <w:b/>
          <w:bCs/>
          <w:color w:val="1A1A1A"/>
          <w:sz w:val="22"/>
          <w:szCs w:val="22"/>
        </w:rPr>
        <w:t xml:space="preserve">Sun protection: </w:t>
      </w:r>
      <w:r>
        <w:rPr>
          <w:rFonts w:ascii="Arial" w:cs="Arial" w:eastAsia="Arial" w:hAnsi="Arial"/>
          <w:color w:val="4A4A4A"/>
          <w:sz w:val="22"/>
          <w:szCs w:val="22"/>
        </w:rPr>
        <w:t xml:space="preserve">Finnish skin is typically lighter with higher UV sensitivity. SPF during lifeguarding this summer is non-negotiable for long-term skin quality.</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Supplement Layer</w:t>
      </w:r>
    </w:p>
    <w:p>
      <w:pPr>
        <w:pStyle w:val="ListParagraph"/>
        <w:numPr>
          <w:ilvl w:val="0"/>
          <w:numId w:val="2"/>
        </w:numPr>
        <w:spacing w:after="40" w:before="40"/>
      </w:pPr>
      <w:r>
        <w:rPr>
          <w:rFonts w:ascii="Arial" w:cs="Arial" w:eastAsia="Arial" w:hAnsi="Arial"/>
          <w:color w:val="4A4A4A"/>
          <w:sz w:val="22"/>
          <w:szCs w:val="22"/>
        </w:rPr>
        <w:t xml:space="preserve">Astaxanthin 12mg — most potent skin antioxidant, photoprotection, skin elasticity</w:t>
      </w:r>
    </w:p>
    <w:p>
      <w:pPr>
        <w:pStyle w:val="ListParagraph"/>
        <w:numPr>
          <w:ilvl w:val="0"/>
          <w:numId w:val="2"/>
        </w:numPr>
        <w:spacing w:after="40" w:before="40"/>
      </w:pPr>
      <w:r>
        <w:rPr>
          <w:rFonts w:ascii="Arial" w:cs="Arial" w:eastAsia="Arial" w:hAnsi="Arial"/>
          <w:color w:val="4A4A4A"/>
          <w:sz w:val="22"/>
          <w:szCs w:val="22"/>
        </w:rPr>
        <w:t xml:space="preserve">Collagen peptides 15g with Vitamin C (already in connective tissue section)</w:t>
      </w:r>
    </w:p>
    <w:p>
      <w:pPr>
        <w:pStyle w:val="ListParagraph"/>
        <w:numPr>
          <w:ilvl w:val="0"/>
          <w:numId w:val="2"/>
        </w:numPr>
        <w:spacing w:after="40" w:before="40"/>
      </w:pPr>
      <w:r>
        <w:rPr>
          <w:rFonts w:ascii="Arial" w:cs="Arial" w:eastAsia="Arial" w:hAnsi="Arial"/>
          <w:color w:val="4A4A4A"/>
          <w:sz w:val="22"/>
          <w:szCs w:val="22"/>
        </w:rPr>
        <w:t xml:space="preserve">GHK-Cu topical — if interested in topical application alongside systemic</w:t>
      </w:r>
    </w:p>
    <w:p>
      <w:pPr>
        <w:pStyle w:val="ListParagraph"/>
        <w:numPr>
          <w:ilvl w:val="0"/>
          <w:numId w:val="2"/>
        </w:numPr>
        <w:spacing w:after="40" w:before="40"/>
      </w:pPr>
      <w:r>
        <w:rPr>
          <w:rFonts w:ascii="Arial" w:cs="Arial" w:eastAsia="Arial" w:hAnsi="Arial"/>
          <w:color w:val="4A4A4A"/>
          <w:sz w:val="22"/>
          <w:szCs w:val="22"/>
        </w:rPr>
        <w:t xml:space="preserve">Silica — skin elasticity, collagen crosslinking</w:t>
      </w:r>
    </w:p>
    <w:p>
      <w:pPr>
        <w:spacing w:after="0" w:before="120"/>
      </w:pPr>
      <w:r>
        <w:t xml:space="preserve"/>
      </w:r>
    </w:p>
    <w:p>
      <w:pPr>
        <w:pStyle w:val="Heading3"/>
        <w:spacing w:after="80" w:before="240"/>
      </w:pPr>
      <w:r>
        <w:rPr>
          <w:rFonts w:ascii="Arial" w:cs="Arial" w:eastAsia="Arial" w:hAnsi="Arial"/>
          <w:b/>
          <w:bCs/>
          <w:color w:val="3A6BC4"/>
          <w:sz w:val="24"/>
          <w:szCs w:val="24"/>
        </w:rPr>
        <w:t xml:space="preserve">Peptide Layer</w:t>
      </w:r>
    </w:p>
    <w:p>
      <w:pPr>
        <w:pStyle w:val="ListParagraph"/>
        <w:numPr>
          <w:ilvl w:val="0"/>
          <w:numId w:val="2"/>
        </w:numPr>
        <w:spacing w:after="60" w:before="60"/>
      </w:pPr>
      <w:r>
        <w:rPr>
          <w:rFonts w:ascii="Arial" w:cs="Arial" w:eastAsia="Arial" w:hAnsi="Arial"/>
          <w:b/>
          <w:bCs/>
          <w:color w:val="1A1A1A"/>
          <w:sz w:val="22"/>
          <w:szCs w:val="22"/>
        </w:rPr>
        <w:t xml:space="preserve">GHK-Cu: </w:t>
      </w:r>
      <w:r>
        <w:rPr>
          <w:rFonts w:ascii="Arial" w:cs="Arial" w:eastAsia="Arial" w:hAnsi="Arial"/>
          <w:color w:val="4A4A4A"/>
          <w:sz w:val="22"/>
          <w:szCs w:val="22"/>
        </w:rPr>
        <w:t xml:space="preserve">Collagen synthesis, wound healing, anti-aging gene expression. Most relevant skin peptide. Systemic use in your Block 3-6 protocol serves skin alongside connective tissue.</w:t>
      </w:r>
    </w:p>
    <w:p>
      <w:pPr>
        <w:pStyle w:val="ListParagraph"/>
        <w:numPr>
          <w:ilvl w:val="0"/>
          <w:numId w:val="2"/>
        </w:numPr>
        <w:spacing w:after="60" w:before="60"/>
      </w:pPr>
      <w:r>
        <w:rPr>
          <w:rFonts w:ascii="Arial" w:cs="Arial" w:eastAsia="Arial" w:hAnsi="Arial"/>
          <w:b/>
          <w:bCs/>
          <w:color w:val="1A1A1A"/>
          <w:sz w:val="22"/>
          <w:szCs w:val="22"/>
        </w:rPr>
        <w:t xml:space="preserve">Epithalon: </w:t>
      </w:r>
      <w:r>
        <w:rPr>
          <w:rFonts w:ascii="Arial" w:cs="Arial" w:eastAsia="Arial" w:hAnsi="Arial"/>
          <w:color w:val="4A4A4A"/>
          <w:sz w:val="22"/>
          <w:szCs w:val="22"/>
        </w:rPr>
        <w:t xml:space="preserve">Telomere extension has skin aging implications. Epitalon courses serve skin alongside the circadian and longevity benefits.</w:t>
      </w:r>
    </w:p>
    <w:p>
      <w:pPr>
        <w:spacing w:after="0" w:before="120"/>
      </w:pPr>
      <w:r>
        <w:t xml:space="preserve"/>
      </w:r>
    </w:p>
    <w:p>
      <w:r>
        <w:br w:type="page"/>
      </w:r>
    </w:p>
    <w:p>
      <w:pPr>
        <w:pStyle w:val="Heading1"/>
        <w:pBdr>
          <w:bottom w:val="single" w:color="C9A84C" w:sz="10" w:space="6"/>
        </w:pBdr>
        <w:spacing w:after="160" w:before="480"/>
      </w:pPr>
      <w:r>
        <w:rPr>
          <w:rFonts w:ascii="Arial" w:cs="Arial" w:eastAsia="Arial" w:hAnsi="Arial"/>
          <w:b/>
          <w:bCs/>
          <w:color w:val="1B2A4A"/>
          <w:sz w:val="40"/>
          <w:szCs w:val="40"/>
        </w:rPr>
        <w:t xml:space="preserve">SECTION 15: MASTER OPTIMIZATION MAP BY BLOCK</w:t>
      </w:r>
    </w:p>
    <w:p>
      <w:pPr>
        <w:spacing w:after="60" w:before="60"/>
      </w:pPr>
      <w:r>
        <w:rPr>
          <w:rFonts w:ascii="Arial" w:cs="Arial" w:eastAsia="Arial" w:hAnsi="Arial"/>
          <w:color w:val="4A4A4A"/>
          <w:sz w:val="22"/>
          <w:szCs w:val="22"/>
        </w:rPr>
        <w:t xml:space="preserve">The complete integration of every system across the 6-block Poliquin year. Each block has a primary system focus with all other systems maintained through their foundational protocols.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600"/>
        <w:gridCol w:w="2000"/>
        <w:gridCol w:w="1600"/>
        <w:gridCol w:w="2160"/>
      </w:tblGrid>
      <w:tr>
        <w:tc>
          <w:tcPr>
            <w:tcW w:type="dxa" w:w="8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12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Training Phase</w:t>
            </w:r>
          </w:p>
        </w:tc>
        <w:tc>
          <w:tcPr>
            <w:tcW w:type="dxa" w:w="16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Primary System Focus</w:t>
            </w:r>
          </w:p>
        </w:tc>
        <w:tc>
          <w:tcPr>
            <w:tcW w:type="dxa" w:w="2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Key Peptides/Bioregulators</w:t>
            </w:r>
          </w:p>
        </w:tc>
        <w:tc>
          <w:tcPr>
            <w:tcW w:type="dxa" w:w="16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Dietary Priority</w:t>
            </w:r>
          </w:p>
        </w:tc>
        <w:tc>
          <w:tcPr>
            <w:tcW w:type="dxa" w:w="216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Key Supplements Added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1
Sep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Accumulation
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Thyroid + Gut +
Neurological Foundation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BPC-157/TB-500/Cartalax
Cerebrolysin
Pinealon + Cerluten
Thyreogen
Crystalgen
Epithalon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Autumn eating begins
Beef rotation
Root vegetables
Bone broth introduced
Gluten elimination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Selenium, Myo-Inositol
Backopa (begin)
Probiotics
Colostrum
Berberine</w:t>
            </w:r>
          </w:p>
        </w:tc>
      </w:tr>
      <w:tr>
        <w:tc>
          <w:tcPr>
            <w:tcW w:type="dxa" w:w="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Block 2
Oct</w:t>
            </w:r>
          </w:p>
        </w:tc>
        <w:tc>
          <w:tcPr>
            <w:tcW w:type="dxa" w:w="12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Intensification
Peak Load</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Connective Tissue
Liver Support</w:t>
            </w:r>
          </w:p>
        </w:tc>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BPC-157/TB-500 continued
Cartalax
Ovagen</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Winter eating transition
Organ meats introduced
Fermented foods daily</w:t>
            </w:r>
          </w:p>
        </w:tc>
        <w:tc>
          <w:tcPr>
            <w:tcW w:type="dxa" w:w="2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TUDCA + Milk Thistle
Nattokinase
Alpha-GPC
DIM
Pentosan Polysulfate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3
Nov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Accumulation
Mitochondrial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Mitochondrial System
Pancreas + Insulin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SS-31 + MOTS-c blend
SLU-PP-332
Pancragen
Ovagen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Peak winter eating
Organ meats priority
Fatty fish weekly
Bone broth 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NMN + Resveratrol
5-Amino-1MQ
PQQ
Berberine peak dose
Cordyceps pre-training</w:t>
            </w:r>
          </w:p>
        </w:tc>
      </w:tr>
      <w:tr>
        <w:tc>
          <w:tcPr>
            <w:tcW w:type="dxa" w:w="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Block 4
Dec</w:t>
            </w:r>
          </w:p>
        </w:tc>
        <w:tc>
          <w:tcPr>
            <w:tcW w:type="dxa" w:w="12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Intensification
Hormonal Peak</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Hormonal Axis
Adrenal Management</w:t>
            </w:r>
          </w:p>
        </w:tc>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Tesamorelin/Ipamorelin
Selank
Epithalon continuation</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Maintain winter eating
Carb timing precise
High fat intake</w:t>
            </w:r>
          </w:p>
        </w:tc>
        <w:tc>
          <w:tcPr>
            <w:tcW w:type="dxa" w:w="2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Phosphatidylserine
Rhodiola
Fadogia (optional)
Boron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Winter
Break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 Deload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Senolytic Clearance
Full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FOX04-DRI
Epithalon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Relaxed but clean
Family food fine
No processed food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 full stack
Reduce volume</w:t>
            </w:r>
          </w:p>
        </w:tc>
      </w:tr>
      <w:tr>
        <w:tc>
          <w:tcPr>
            <w:tcW w:type="dxa" w:w="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Block 5
Jan</w:t>
            </w:r>
          </w:p>
        </w:tc>
        <w:tc>
          <w:tcPr>
            <w:tcW w:type="dxa" w:w="12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Accumulation
Neurological Peak</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Brain + Cognitive
Peak Performance</w:t>
            </w:r>
          </w:p>
        </w:tc>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Semax + Selank
PE-22-28 + Pinealon
Cerebrolysin continuation
P21
Cerluten</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Spring transition begins
Lighter proteins
Fruit carbs returning</w:t>
            </w:r>
          </w:p>
        </w:tc>
        <w:tc>
          <w:tcPr>
            <w:tcW w:type="dxa" w:w="2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Noopept
Magtein (morning)
Polygala Tenuifolia
Sabroxy
L-Tyrosine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6
Feb-Mar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Intensification
Peak Strength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Peak Expression
Connective Tissue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TB-500
MOTS-c
Glow blend
(GHK-Cu/TB-500/BPC)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Spring eating
Lean proteins
Vegetable carbs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Beta-Ecdysterone
Agmatine (pre-training)
Epicatechin</w:t>
            </w:r>
          </w:p>
        </w:tc>
      </w:tr>
      <w:tr>
        <w:tc>
          <w:tcPr>
            <w:tcW w:type="dxa" w:w="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April</w:t>
            </w:r>
          </w:p>
        </w:tc>
        <w:tc>
          <w:tcPr>
            <w:tcW w:type="dxa" w:w="12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Cut Transition</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Cardiovascular
Pulmonary</w:t>
            </w:r>
          </w:p>
        </w:tc>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Cardiogen
Vesugen
Chonluten
Telmisartan
SS-31</w:t>
            </w:r>
          </w:p>
        </w:tc>
        <w:tc>
          <w:tcPr>
            <w:tcW w:type="dxa" w:w="1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Spring/summer eating
Fish priority
Fruit and vegetables
Lighter overall</w:t>
            </w:r>
          </w:p>
        </w:tc>
        <w:tc>
          <w:tcPr>
            <w:tcW w:type="dxa" w:w="21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GLP-1 reintroduced
AOD-9604
Nattokinase</w:t>
            </w:r>
          </w:p>
        </w:tc>
      </w:tr>
    </w:tbl>
    <w:p>
      <w:pPr>
        <w:spacing w:after="0" w:before="120"/>
      </w:pPr>
      <w:r>
        <w:t xml:space="preserve"/>
      </w:r>
    </w:p>
    <w:p>
      <w:r>
        <w:br w:type="page"/>
      </w:r>
    </w:p>
    <w:p>
      <w:pPr>
        <w:pStyle w:val="Heading1"/>
        <w:pBdr>
          <w:bottom w:val="single" w:color="C9A84C" w:sz="10" w:space="6"/>
        </w:pBdr>
        <w:spacing w:after="160" w:before="480"/>
      </w:pPr>
      <w:r>
        <w:rPr>
          <w:rFonts w:ascii="Arial" w:cs="Arial" w:eastAsia="Arial" w:hAnsi="Arial"/>
          <w:b/>
          <w:bCs/>
          <w:color w:val="1B2A4A"/>
          <w:sz w:val="40"/>
          <w:szCs w:val="40"/>
        </w:rPr>
        <w:t xml:space="preserve">SECTION 16: SEASONAL EATING FRAMEWORK</w:t>
      </w:r>
    </w:p>
    <w:p>
      <w:pPr>
        <w:spacing w:after="60" w:before="60"/>
      </w:pPr>
      <w:r>
        <w:rPr>
          <w:rFonts w:ascii="Arial" w:cs="Arial" w:eastAsia="Arial" w:hAnsi="Arial"/>
          <w:color w:val="4A4A4A"/>
          <w:sz w:val="22"/>
          <w:szCs w:val="22"/>
        </w:rPr>
        <w:t xml:space="preserve">Aligned to Poliquin food rotation principles and seasonal hormonal biology. Foods listed are what to prioritize, not the exclusive diet.</w:t>
      </w:r>
    </w:p>
    <w:p>
      <w:pPr>
        <w:spacing w:after="0" w:before="12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700"/>
        <w:gridCol w:w="1700"/>
        <w:gridCol w:w="1500"/>
        <w:gridCol w:w="2000"/>
      </w:tblGrid>
      <w:tr>
        <w:tc>
          <w:tcPr>
            <w:tcW w:type="dxa" w:w="1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8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17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Protein Priority</w:t>
            </w:r>
          </w:p>
        </w:tc>
        <w:tc>
          <w:tcPr>
            <w:tcW w:type="dxa" w:w="17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Carbohydrate Priority</w:t>
            </w:r>
          </w:p>
        </w:tc>
        <w:tc>
          <w:tcPr>
            <w:tcW w:type="dxa" w:w="15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Fat Priority</w:t>
            </w:r>
          </w:p>
        </w:tc>
        <w:tc>
          <w:tcPr>
            <w:tcW w:type="dxa" w:w="20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Hormonal Context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Summer
(Pre-bulk)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June-Aug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Fish, chicken, eggs
Lighter proteins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Fruit, rice
High variety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Olive oil
Avocado
Light nuts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Testosterone peaks
Cortisol lower
High D3 from sun</w:t>
            </w:r>
          </w:p>
        </w:tc>
      </w:tr>
      <w:tr>
        <w:tc>
          <w:tcPr>
            <w:tcW w:type="dxa" w:w="1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Autumn
(Bulk begins)</w:t>
            </w:r>
          </w:p>
        </w:tc>
        <w:tc>
          <w:tcPr>
            <w:tcW w:type="dxa" w:w="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Sep-Oct</w:t>
            </w:r>
          </w:p>
        </w:tc>
        <w:tc>
          <w:tcPr>
            <w:tcW w:type="dxa" w:w="17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Beef, lamb
Dark poultry
Salmon</w:t>
            </w:r>
          </w:p>
        </w:tc>
        <w:tc>
          <w:tcPr>
            <w:tcW w:type="dxa" w:w="17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Root vegetables
Sweet potato
Oats, rice</w:t>
            </w:r>
          </w:p>
        </w:tc>
        <w:tc>
          <w:tcPr>
            <w:tcW w:type="dxa" w:w="1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Butter, tallow
Mixed nuts
Fish oil</w:t>
            </w:r>
          </w:p>
        </w:tc>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Most anabolic window
Body primed to build
GH rising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Winter
(Bulk peak)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Nov-Jan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 meats
Fatty cuts
Bone broth
Fermented dairy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Root vegetables
Winter squash
Minimal fruit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Saturated fat highest
Lard, butter, tallow
Egg yolks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GH pulse highest
Sleep longest
Highest recovery</w:t>
            </w:r>
          </w:p>
        </w:tc>
      </w:tr>
      <w:tr>
        <w:tc>
          <w:tcPr>
            <w:tcW w:type="dxa" w:w="1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Spring
(Transition)</w:t>
            </w:r>
          </w:p>
        </w:tc>
        <w:tc>
          <w:tcPr>
            <w:tcW w:type="dxa" w:w="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Feb-Apr</w:t>
            </w:r>
          </w:p>
        </w:tc>
        <w:tc>
          <w:tcPr>
            <w:tcW w:type="dxa" w:w="17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Fish priority
White meat
Eggs</w:t>
            </w:r>
          </w:p>
        </w:tc>
        <w:tc>
          <w:tcPr>
            <w:tcW w:type="dxa" w:w="17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Fruit returning
Lighter grains
Vegetables dominant</w:t>
            </w:r>
          </w:p>
        </w:tc>
        <w:tc>
          <w:tcPr>
            <w:tcW w:type="dxa" w:w="1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Olive oil
Light nuts
Omega-3 emphasis</w:t>
            </w:r>
          </w:p>
        </w:tc>
        <w:tc>
          <w:tcPr>
            <w:tcW w:type="dxa" w:w="20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Appetite naturally reduces
GLP-1 cut aligns
Detox phase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FDF6E3" w:val="clear"/>
            <w:tcMar>
              <w:top w:type="dxa" w:w="120"/>
              <w:left w:type="dxa" w:w="160"/>
              <w:bottom w:type="dxa" w:w="120"/>
              <w:right w:type="dxa" w:w="160"/>
            </w:tcMar>
          </w:tcPr>
          <w:p>
            <w:r>
              <w:rPr>
                <w:rFonts w:ascii="Arial" w:cs="Arial" w:eastAsia="Arial" w:hAnsi="Arial"/>
                <w:color w:val="1A1A1A"/>
                <w:sz w:val="22"/>
                <w:szCs w:val="22"/>
              </w:rPr>
              <w:t xml:space="preserve">The meat and nut breakfast rotation already follows seasonal logic — beef in autumn/winter, salmon in spring/summer. Extend this seasonal principle to all meals not just breakfast.</w:t>
            </w:r>
          </w:p>
        </w:tc>
      </w:tr>
    </w:tbl>
    <w:p>
      <w:pPr>
        <w:spacing w:after="0" w:before="120"/>
      </w:pPr>
      <w:r>
        <w:t xml:space="preserve"/>
      </w:r>
    </w:p>
    <w:p>
      <w:r>
        <w:br w:type="page"/>
      </w:r>
    </w:p>
    <w:p>
      <w:pPr>
        <w:pStyle w:val="Heading1"/>
        <w:pBdr>
          <w:bottom w:val="single" w:color="C9A84C" w:sz="10" w:space="6"/>
        </w:pBdr>
        <w:spacing w:after="160" w:before="480"/>
      </w:pPr>
      <w:r>
        <w:rPr>
          <w:rFonts w:ascii="Arial" w:cs="Arial" w:eastAsia="Arial" w:hAnsi="Arial"/>
          <w:b/>
          <w:bCs/>
          <w:color w:val="1B2A4A"/>
          <w:sz w:val="40"/>
          <w:szCs w:val="40"/>
        </w:rPr>
        <w:t xml:space="preserve">SECTION 17: THE HIERARCHY OF INTERVENTIONS</w:t>
      </w:r>
    </w:p>
    <w:p>
      <w:pPr>
        <w:spacing w:after="60" w:before="60"/>
      </w:pPr>
      <w:r>
        <w:rPr>
          <w:rFonts w:ascii="Arial" w:cs="Arial" w:eastAsia="Arial" w:hAnsi="Arial"/>
          <w:color w:val="4A4A4A"/>
          <w:sz w:val="22"/>
          <w:szCs w:val="22"/>
        </w:rPr>
        <w:t xml:space="preserve">In order of impact. Never sacrifice a higher tier for a lower tier.</w:t>
      </w:r>
    </w:p>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600"/>
        <w:gridCol w:w="1460"/>
      </w:tblGrid>
      <w:tr>
        <w:tc>
          <w:tcPr>
            <w:tcW w:type="dxa" w:w="5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360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60"/>
            <w:tcBorders>
              <w:top w:val="single" w:color="3A6BC4" w:sz="1"/>
              <w:left w:val="single" w:color="3A6BC4" w:sz="1"/>
              <w:bottom w:val="single" w:color="3A6BC4" w:sz="1"/>
              <w:right w:val="single" w:color="3A6BC4" w:sz="1"/>
            </w:tcBorders>
            <w:shd w:fill="3A6BC4" w:val="clear"/>
            <w:tcMar>
              <w:top w:type="dxa" w:w="80"/>
              <w:left w:type="dxa" w:w="120"/>
              <w:bottom w:type="dxa" w:w="80"/>
              <w:right w:type="dxa" w:w="120"/>
            </w:tcMar>
          </w:tcPr>
          <w:p>
            <w:r>
              <w:rPr>
                <w:rFonts w:ascii="Arial" w:cs="Arial" w:eastAsia="Arial" w:hAnsi="Arial"/>
                <w:b/>
                <w:bCs/>
                <w:color w:val="FFFFFF"/>
                <w:sz w:val="20"/>
                <w:szCs w:val="20"/>
              </w:rPr>
              <w:t xml:space="preserve">Non-Negotiable?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Sleep 8-9 hours consistently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GH, testosterone, BDNF, cortisol, immunity, everything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Baseline bloodwork before September</w:t>
            </w:r>
          </w:p>
        </w:tc>
        <w:tc>
          <w:tcPr>
            <w:tcW w:type="dxa" w:w="3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Foundation of entire plan — without data it is guesswork</w:t>
            </w:r>
          </w:p>
        </w:tc>
        <w:tc>
          <w:tcPr>
            <w:tcW w:type="dxa" w:w="14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Thyroid full panel + antibodies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Maternal Hashimoto's — this changes everything if positive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Celiac panel</w:t>
            </w:r>
          </w:p>
        </w:tc>
        <w:tc>
          <w:tcPr>
            <w:tcW w:type="dxa" w:w="3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Silent celiac impairs every system simultaneously</w:t>
            </w:r>
          </w:p>
        </w:tc>
        <w:tc>
          <w:tcPr>
            <w:tcW w:type="dxa" w:w="14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Training plan execution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primary anabolic stimulus — nothing replaces it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Seasonal eating framework</w:t>
            </w:r>
          </w:p>
        </w:tc>
        <w:tc>
          <w:tcPr>
            <w:tcW w:type="dxa" w:w="3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Hormonal alignment with biological rhythm</w:t>
            </w:r>
          </w:p>
        </w:tc>
        <w:tc>
          <w:tcPr>
            <w:tcW w:type="dxa" w:w="14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Gluten elimination trial (3 months)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Gut, thyroid, immune, brain all affected by gluten sensitivity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Morning sunlight + NSDR + cold exposure</w:t>
            </w:r>
          </w:p>
        </w:tc>
        <w:tc>
          <w:tcPr>
            <w:tcW w:type="dxa" w:w="3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Circadian, cortisol, BDNF, HPA — foundational lifestyle stack</w:t>
            </w:r>
          </w:p>
        </w:tc>
        <w:tc>
          <w:tcPr>
            <w:tcW w:type="dxa" w:w="14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 supplements (Tiers 1-2 Poliquin list)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Fills deficiencies and supports training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priority</w:t>
            </w:r>
          </w:p>
        </w:tc>
      </w:tr>
      <w:tr>
        <w:tc>
          <w:tcPr>
            <w:tcW w:type="dxa" w:w="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Structural peptide courses (BPC/TB-500/Cerebrolysin)</w:t>
            </w:r>
          </w:p>
        </w:tc>
        <w:tc>
          <w:tcPr>
            <w:tcW w:type="dxa" w:w="3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Lasting biological change — structural foundation</w:t>
            </w:r>
          </w:p>
        </w:tc>
        <w:tc>
          <w:tcPr>
            <w:tcW w:type="dxa" w:w="14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High 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bioregulators (Khavinson)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Epigenetic optimization — powerful but layered on top of 1-3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 priority</w:t>
            </w:r>
          </w:p>
        </w:tc>
      </w:tr>
      <w:tr>
        <w:tc>
          <w:tcPr>
            <w:tcW w:type="dxa" w:w="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GH secretagogues</w:t>
            </w:r>
          </w:p>
        </w:tc>
        <w:tc>
          <w:tcPr>
            <w:tcW w:type="dxa" w:w="3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Meaningful but wasted without sleep and training in place</w:t>
            </w:r>
          </w:p>
        </w:tc>
        <w:tc>
          <w:tcPr>
            <w:tcW w:type="dxa" w:w="14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Moderate 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Mitochondrial peptides (SS-31/MOTS-c)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value but only after tiers 1-4 are established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priority</w:t>
            </w:r>
          </w:p>
        </w:tc>
      </w:tr>
      <w:tr>
        <w:tc>
          <w:tcPr>
            <w:tcW w:type="dxa" w:w="5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Neurological peptides (Semax/Selank stack)</w:t>
            </w:r>
          </w:p>
        </w:tc>
        <w:tc>
          <w:tcPr>
            <w:tcW w:type="dxa" w:w="360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Block 5 timing — peak academic demand</w:t>
            </w:r>
          </w:p>
        </w:tc>
        <w:tc>
          <w:tcPr>
            <w:tcW w:type="dxa" w:w="1460"/>
            <w:tcBorders>
              <w:top w:val="single" w:color="CCCCCC" w:sz="1"/>
              <w:left w:val="single" w:color="CCCCCC" w:sz="1"/>
              <w:bottom w:val="single" w:color="CCCCCC" w:sz="1"/>
              <w:right w:val="single" w:color="CCCCCC" w:sz="1"/>
            </w:tcBorders>
            <w:shd w:fill="EDF3FC" w:val="clear"/>
            <w:tcMar>
              <w:top w:type="dxa" w:w="80"/>
              <w:left w:type="dxa" w:w="120"/>
              <w:bottom w:type="dxa" w:w="80"/>
              <w:right w:type="dxa" w:w="120"/>
            </w:tcMar>
          </w:tcPr>
          <w:p>
            <w:r>
              <w:rPr>
                <w:rFonts w:ascii="Arial" w:cs="Arial" w:eastAsia="Arial" w:hAnsi="Arial"/>
                <w:color w:val="1A1A1A"/>
                <w:sz w:val="20"/>
                <w:szCs w:val="20"/>
              </w:rPr>
              <w:t xml:space="preserve">Optional priority</w:t>
            </w:r>
          </w:p>
        </w:tc>
      </w:tr>
    </w:tbl>
    <w:p>
      <w:pPr>
        <w:spacing w:after="0" w:before="200"/>
      </w:pPr>
      <w:r>
        <w:t xml:space="preserve"/>
      </w:r>
    </w:p>
    <w:p>
      <w:pPr>
        <w:pBdr>
          <w:top w:val="single" w:color="C9A84C" w:sz="8" w:space="8"/>
        </w:pBdr>
        <w:spacing w:after="200" w:before="400"/>
        <w:jc w:val="center"/>
      </w:pPr>
      <w:r>
        <w:rPr>
          <w:rFonts w:ascii="Arial" w:cs="Arial" w:eastAsia="Arial" w:hAnsi="Arial"/>
          <w:color w:val="1B2A4A"/>
          <w:sz w:val="24"/>
          <w:szCs w:val="24"/>
        </w:rPr>
        <w:t xml:space="preserve">The goal is not to optimize parts of your body. The goal is to build a system where every part makes every other part work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E4D7B"/>
      <w:sz w:val="30"/>
      <w:szCs w:val="30"/>
    </w:rPr>
  </w:style>
  <w:style w:type="paragraph" w:styleId="Heading3">
    <w:name w:val="Heading 3"/>
    <w:basedOn w:val="Normal"/>
    <w:next w:val="Normal"/>
    <w:qFormat/>
    <w:pPr>
      <w:spacing w:after="80" w:before="240"/>
      <w:outlineLvl w:val="2"/>
    </w:pPr>
    <w:rPr>
      <w:rFonts w:ascii="Arial" w:cs="Arial" w:eastAsia="Arial" w:hAnsi="Arial"/>
      <w:b/>
      <w:bCs/>
      <w:color w:val="3A6B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2026-04-25T21:13:35.560Z</dcterms:created>
  <dcterms:modified xsi:type="dcterms:W3CDTF">2026-04-25T21:13:35.561Z</dcterms:modified>
</cp:coreProperties>
</file>

<file path=docProps/custom.xml><?xml version="1.0" encoding="utf-8"?>
<Properties xmlns="http://schemas.openxmlformats.org/officeDocument/2006/custom-properties" xmlns:vt="http://schemas.openxmlformats.org/officeDocument/2006/docPropsVTypes"/>
</file>