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163</w:t>
      </w:r>
      <w:r>
        <w:rPr>
          <w:rStyle w:val="Emphasis"/>
        </w:rPr>
        <w:br/>
        <w:t>– Arco 162 – Risulta finanziato dal Dottor Gio: Battista Bertuzzini.</w:t>
        <w:br/>
        <w:t xml:space="preserve"> </w:t>
      </w:r>
    </w:p>
    <w:p>
      <w:pPr>
        <w:pStyle w:val="BodyText"/>
        <w:bidi w:val="0"/>
        <w:jc w:val="center"/>
        <w:rPr/>
      </w:pPr>
      <w:r>
        <w:rPr/>
        <w:t>Piccola nicchia con immagine moderna della Madonna.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>
          <w:rStyle w:val="Emphasis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21</Words>
  <CharactersWithSpaces>131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2025-11-05T11:49:23Z</dcterms:modified>
  <cp:revision>3</cp:revision>
  <dc:subject/>
  <dc:title/>
</cp:coreProperties>
</file>