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Arco Bonaccorsi  elegante arco costruito nell’anno giubilare 1675 dal Cardinale Bonaccorso Bonaccorsi legato di Bologna I nipoti e il conte Raimondo di Castel San Pietro in Sabina</w:t>
      </w:r>
    </w:p>
    <w:p>
      <w:pPr>
        <w:pStyle w:val="Normal"/>
        <w:bidi w:val="0"/>
        <w:jc w:val="start"/>
        <w:rPr/>
      </w:pPr>
      <w:r>
        <w:rPr/>
        <w:t>lo restaurarono nel 1716. L’inizio del percorso del Portico di San Luca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it-IT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it-IT" w:eastAsia="zh-CN" w:bidi="hi-IN"/>
    </w:rPr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ice">
    <w:name w:val="Indice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LibreOffice/25.2.6.2$Windows_X86_64 LibreOffice_project/729c5bfe710f5eb71ed3bbde9e06a6065e9c6c5d</Application>
  <AppVersion>15.0000</AppVersion>
  <Pages>1</Pages>
  <Words>39</Words>
  <CharactersWithSpaces>250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2025-10-15T10:32:49Z</dcterms:created>
  <dc:creator/>
  <dc:description/>
  <dc:language>it-IT</dc:language>
  <cp:lastModifiedBy>carloggg </cp:lastModifiedBy>
  <dcterms:modified xsi:type="dcterms:W3CDTF">2025-11-05T10:41:11Z</dcterms:modified>
  <cp:revision>2</cp:revision>
  <dc:subject/>
  <dc:title/>
</cp:coreProperties>
</file>