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143</w:t>
      </w:r>
      <w:r>
        <w:rPr>
          <w:rStyle w:val="Emphasis"/>
        </w:rPr>
        <w:br/>
        <w:t>Arco 142 – Risulta finanziato dai Servitori del Marchese Senatore Albergati.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La Madonna di San Luca è tra i SS. Anna e Gioachino (</w:t>
      </w:r>
      <w:r>
        <w:rPr>
          <w:rStyle w:val="Emphasis"/>
        </w:rPr>
        <w:t>Gabriella Gherardi</w:t>
      </w:r>
      <w:r>
        <w:rPr/>
        <w:t>).</w:t>
      </w:r>
    </w:p>
    <w:p>
      <w:pPr>
        <w:pStyle w:val="Lineaorizzontale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Style w:val="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28</Words>
  <CharactersWithSpaces>160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2025-11-05T11:45:57Z</dcterms:modified>
  <cp:revision>3</cp:revision>
  <dc:subject/>
  <dc:title/>
</cp:coreProperties>
</file>