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180</w:t>
      </w:r>
      <w:r>
        <w:rPr>
          <w:rStyle w:val="Emphasis"/>
        </w:rPr>
        <w:br/>
        <w:t xml:space="preserve"> – Arco 179 – Risulta finanziato dalla Compagnia degli Orefici.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>LODOVICUS BEDORI</w:t>
        <w:br/>
        <w:t>SUAE GENTIS NOVISSIMUS</w:t>
        <w:br/>
        <w:t>AD MONTEM QUI CHRISTUS EST</w:t>
        <w:br/>
        <w:t>PER EIUS MATREM VIRGINEM</w:t>
        <w:br/>
        <w:t>ITER PARATUM IMPLORAT</w:t>
      </w:r>
    </w:p>
    <w:p>
      <w:pPr>
        <w:pStyle w:val="BodyText"/>
        <w:bidi w:val="0"/>
        <w:jc w:val="center"/>
        <w:rPr/>
      </w:pPr>
      <w:r>
        <w:rPr/>
        <w:t>Ludovico Bedori, ultimo di sua gente,</w:t>
        <w:br/>
        <w:t>implora un percorso preciso verso il Monte</w:t>
        <w:br/>
        <w:t>che è Cristo, per la sua Vergine Madre.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>
          <w:rStyle w:val="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51</Words>
  <CharactersWithSpaces>307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2025-11-05T11:52:32Z</dcterms:modified>
  <cp:revision>3</cp:revision>
  <dc:subject/>
  <dc:title/>
</cp:coreProperties>
</file>