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186</w:t>
      </w:r>
      <w:r>
        <w:rPr>
          <w:rStyle w:val="Emphasis"/>
        </w:rPr>
        <w:br/>
        <w:t>– Arco 185 – Risulta finanziato dal Comune dell’Arcoveggio.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Affresco con S.Girolamo nel deserto.</w:t>
        <w:br/>
        <w:t>L’arco era dei PP. Serviti di S.Giuseppe.(</w:t>
      </w:r>
      <w:r>
        <w:rPr>
          <w:rStyle w:val="Emphasis"/>
        </w:rPr>
        <w:t>Gabriella Gherardi</w:t>
      </w:r>
      <w:r>
        <w:rPr/>
        <w:t xml:space="preserve">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25</Words>
  <CharactersWithSpaces>169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2025-11-05T11:55:40Z</dcterms:modified>
  <cp:revision>3</cp:revision>
  <dc:subject/>
  <dc:title/>
</cp:coreProperties>
</file>