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218</w:t>
        <w:br/>
        <w:t>– Arco 217 – Risulta finanziato dai Maestri Calderani de’ Filatoglieri.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Iscrizione quasi completamente illeggibile.</w:t>
        <w:br/>
        <w:t>…</w:t>
      </w:r>
      <w:r>
        <w:rPr>
          <w:rStyle w:val="Emphasis"/>
        </w:rPr>
        <w:t>stuol humil sue fatiche e suoi travagli</w:t>
      </w:r>
      <w:r>
        <w:rPr/>
        <w:t>…(</w:t>
      </w:r>
      <w:r>
        <w:rPr>
          <w:rStyle w:val="Emphasis"/>
        </w:rPr>
        <w:t>Gabriella Gherardi</w:t>
      </w:r>
      <w:r>
        <w:rPr/>
        <w:t>).</w:t>
      </w:r>
    </w:p>
    <w:p>
      <w:pPr>
        <w:pStyle w:val="Lineaorizzontale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26</Words>
  <CharactersWithSpaces>188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2025-11-05T12:05:35Z</dcterms:modified>
  <cp:revision>4</cp:revision>
  <dc:subject/>
  <dc:title/>
</cp:coreProperties>
</file>