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252</w:t>
        <w:br/>
      </w:r>
      <w:r>
        <w:rPr>
          <w:rStyle w:val="Emphasis"/>
        </w:rPr>
        <w:t>Portico Famosissimo 1707</w:t>
      </w:r>
      <w:r>
        <w:rPr>
          <w:rStyle w:val="Strong"/>
        </w:rPr>
        <w:t xml:space="preserve"> – Arco 251. Cons. e Anz. 5° bim. 1675.</w:t>
        <w:br/>
      </w:r>
    </w:p>
    <w:p>
      <w:pPr>
        <w:pStyle w:val="BodyText"/>
        <w:bidi w:val="0"/>
        <w:jc w:val="center"/>
        <w:rPr/>
      </w:pPr>
      <w:r>
        <w:rPr/>
        <w:t>VEXILLIFER ANTIANI</w:t>
        <w:br/>
        <w:t>QUINTI BIMESTRI</w:t>
        <w:br/>
        <w:t>ANNI MDCLXXV</w:t>
        <w:br/>
        <w:t>SOLITO PUPILLORUM MUNERI</w:t>
        <w:br/>
        <w:t>AERE SUPERADDITO</w:t>
        <w:br/>
        <w:t>BINOS FORNICES</w:t>
        <w:br/>
        <w:t>IN OBSEQUIUM DEIPARA</w:t>
        <w:br/>
        <w:t>EXTOLLE CURARUNT</w:t>
      </w:r>
    </w:p>
    <w:p>
      <w:pPr>
        <w:pStyle w:val="BodyText"/>
        <w:bidi w:val="0"/>
        <w:jc w:val="center"/>
        <w:rPr/>
      </w:pPr>
      <w:r>
        <w:rPr/>
        <w:t>“</w:t>
      </w:r>
      <w:r>
        <w:rPr/>
        <w:t>Il gonfaloniere e gli anziani</w:t>
        <w:br/>
        <w:t>del quinto bimestre,</w:t>
        <w:br/>
        <w:t>nell’anno 1675,</w:t>
        <w:br/>
        <w:t>col denaro aggiunto</w:t>
        <w:br/>
        <w:t>all’ordinario fondo per gli orfani,</w:t>
        <w:br/>
        <w:t>curarono la costruzione</w:t>
        <w:br/>
        <w:t>di due archi</w:t>
        <w:br/>
        <w:t>in onore della Deipara.”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62</Words>
  <CharactersWithSpaces>401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2025-11-05T12:38:28Z</dcterms:modified>
  <cp:revision>4</cp:revision>
  <dc:subject/>
  <dc:title/>
</cp:coreProperties>
</file>