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282</w:t>
        <w:br/>
        <w:t xml:space="preserve"> – Arco 281 – Risulta finanziato da Confaloniero Marc. Francesco Maria Riarij, e Anziani del I Bimestre 1675.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ARCO DEL GONFALONIERE. Risale al 1676, di proprietà del Signor Gonfaloniere e degli Anziani VI Bim., sopra l’arco c’è una testa leonina (il leone dello stemma civico). (</w:t>
      </w:r>
      <w:r>
        <w:rPr>
          <w:rStyle w:val="Emphasis"/>
        </w:rPr>
        <w:t>Gabriella Gherardi</w:t>
      </w:r>
      <w:r>
        <w:rPr/>
        <w:t>).</w:t>
      </w:r>
    </w:p>
    <w:p>
      <w:pPr>
        <w:pStyle w:val="Lineaoriz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50</Words>
  <CharactersWithSpaces>309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2025-11-05T12:43:02Z</dcterms:modified>
  <cp:revision>4</cp:revision>
  <dc:subject/>
  <dc:title/>
</cp:coreProperties>
</file>