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EB531" w14:textId="77777777" w:rsidR="004F342C" w:rsidRPr="004F342C" w:rsidRDefault="004F342C" w:rsidP="004F342C">
      <w:r w:rsidRPr="004F342C">
        <w:t>La peste que azotó Bolonia en 1630 fue un acontecimiento dramático, parte de una epidemia mayor que devastó el norte de Italia, también conocida como la peste manzoniana.</w:t>
      </w:r>
    </w:p>
    <w:p w14:paraId="76BA0C43" w14:textId="77777777" w:rsidR="004F342C" w:rsidRPr="004F342C" w:rsidRDefault="004F342C" w:rsidP="004F342C">
      <w:r w:rsidRPr="004F342C">
        <w:t>Estos son los puntos principales:</w:t>
      </w:r>
    </w:p>
    <w:p w14:paraId="5A756318" w14:textId="77777777" w:rsidR="004F342C" w:rsidRPr="004F342C" w:rsidRDefault="004F342C" w:rsidP="004F342C">
      <w:r w:rsidRPr="004F342C">
        <w:rPr>
          <w:b/>
          <w:bCs/>
        </w:rPr>
        <w:t xml:space="preserve">Propagación </w:t>
      </w:r>
      <w:r w:rsidRPr="004F342C">
        <w:t xml:space="preserve">: La epidemia llegó a Bolonia en mayo de 1630 de la mano de soldados lansquenetes que habían llegado para sitiar Mantua durante la Guerra de Sucesión de Mantua. </w:t>
      </w:r>
      <w:r w:rsidRPr="004F342C">
        <w:br/>
        <w:t>A pesar de los esfuerzos del cardenal legado Bernardino Spada y del Senado boloñés por mantener el contagio fuera de las murallas, la enfermedad se propagó.</w:t>
      </w:r>
    </w:p>
    <w:p w14:paraId="64677A31" w14:textId="77777777" w:rsidR="004F342C" w:rsidRPr="004F342C" w:rsidRDefault="004F342C" w:rsidP="004F342C">
      <w:r w:rsidRPr="004F342C">
        <w:rPr>
          <w:b/>
          <w:bCs/>
        </w:rPr>
        <w:t xml:space="preserve">Víctimas </w:t>
      </w:r>
      <w:r w:rsidRPr="004F342C">
        <w:t xml:space="preserve">: Fue un suceso catastrófico para la demografía de la ciudad. Entre mayo y diciembre de 1630, se registraron 13.398 víctimas en la ciudad, de una población aproximada de 61.559 habitantes en el centro urbano. </w:t>
      </w:r>
      <w:r w:rsidRPr="004F342C">
        <w:br/>
        <w:t>En los alrededores, las víctimas ascendieron a unas 16.300. En total, se estima que Bolonia y sus alrededores perdieron aproximadamente 40.000 personas.</w:t>
      </w:r>
    </w:p>
    <w:p w14:paraId="70C787E8" w14:textId="77777777" w:rsidR="004F342C" w:rsidRPr="004F342C" w:rsidRDefault="004F342C" w:rsidP="004F342C">
      <w:r w:rsidRPr="004F342C">
        <w:rPr>
          <w:b/>
          <w:bCs/>
        </w:rPr>
        <w:t xml:space="preserve">Gestión de emergencias </w:t>
      </w:r>
      <w:r w:rsidRPr="004F342C">
        <w:t xml:space="preserve">: La lucha contra la epidemia fue dirigida por el cardenal Bernardino Spada, quien se valió de la labor de los religiosos camilianos para asistir a las víctimas de la peste. </w:t>
      </w:r>
      <w:r w:rsidRPr="004F342C">
        <w:br/>
        <w:t>Se instalaron lazaretos fuera de Porta Santo Stefano y en Castelfranco.</w:t>
      </w:r>
    </w:p>
    <w:p w14:paraId="31B5D4E1" w14:textId="77777777" w:rsidR="004F342C" w:rsidRPr="004F342C" w:rsidRDefault="004F342C" w:rsidP="004F342C">
      <w:r w:rsidRPr="004F342C">
        <w:rPr>
          <w:b/>
          <w:bCs/>
        </w:rPr>
        <w:t xml:space="preserve">Consecuencias </w:t>
      </w:r>
      <w:r w:rsidRPr="004F342C">
        <w:t>: La ciudad, que ya sufría las hambrunas de principios de siglo, perdió casi la mitad de su población. La epidemia tuvo graves consecuencias sociales.</w:t>
      </w:r>
    </w:p>
    <w:p w14:paraId="27B4907C" w14:textId="77777777" w:rsidR="004F342C" w:rsidRPr="004F342C" w:rsidRDefault="004F342C" w:rsidP="004F342C">
      <w:r w:rsidRPr="004F342C">
        <w:rPr>
          <w:b/>
          <w:bCs/>
        </w:rPr>
        <w:t xml:space="preserve">Arte y Memoria </w:t>
      </w:r>
      <w:r w:rsidRPr="004F342C">
        <w:t>: En memoria y agradecimiento por el fin de la peste, se encargó a Guido Reni en 1630 el famoso Retablo de la Peste (o "Retablo de la Virgen y los santos patronos de Bolonia que interceden por la ciudad"). También se creó un precioso dosel votivo.</w:t>
      </w:r>
    </w:p>
    <w:p w14:paraId="5517A93B" w14:textId="770674DD" w:rsidR="004F342C" w:rsidRPr="001807D1" w:rsidRDefault="004F342C" w:rsidP="004F342C">
      <w:r w:rsidRPr="004F342C">
        <w:rPr>
          <w:noProof/>
        </w:rPr>
        <w:drawing>
          <wp:inline distT="0" distB="0" distL="0" distR="0" wp14:anchorId="66CE877A" wp14:editId="06349BEE">
            <wp:extent cx="3002280" cy="2735580"/>
            <wp:effectExtent l="0" t="0" r="7620" b="7620"/>
            <wp:docPr id="626301673" name="Immagine 2" descr="La lapide della graz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La lapide della graz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2280" cy="2735580"/>
                    </a:xfrm>
                    <a:prstGeom prst="rect">
                      <a:avLst/>
                    </a:prstGeom>
                    <a:noFill/>
                    <a:ln>
                      <a:noFill/>
                    </a:ln>
                  </pic:spPr>
                </pic:pic>
              </a:graphicData>
            </a:graphic>
          </wp:inline>
        </w:drawing>
      </w:r>
      <w:bookmarkStart w:id="0" w:name="_Hlk215135560"/>
      <w:bookmarkStart w:id="1" w:name="_Hlk216430957"/>
      <w:r w:rsidR="00A641CC">
        <w:br/>
      </w:r>
      <w:bookmarkEnd w:id="0"/>
      <w:r w:rsidR="007370E6" w:rsidRPr="001807D1">
        <w:t>[SPLIT_BLOCK:lapide_votiva.jpg]</w:t>
      </w:r>
    </w:p>
    <w:bookmarkEnd w:id="1"/>
    <w:p w14:paraId="07C42184" w14:textId="77777777" w:rsidR="00E232FF" w:rsidRDefault="00E232FF">
      <w:pPr>
        <w:rPr>
          <w:b/>
          <w:bCs/>
        </w:rPr>
      </w:pPr>
      <w:r>
        <w:rPr>
          <w:b/>
          <w:bCs/>
        </w:rPr>
        <w:br w:type="page"/>
      </w:r>
    </w:p>
    <w:p w14:paraId="0A4679B5" w14:textId="77777777" w:rsidR="00E232FF" w:rsidRPr="00E232FF" w:rsidRDefault="00E232FF" w:rsidP="00E232FF">
      <w:pPr>
        <w:rPr>
          <w:b/>
          <w:bCs/>
        </w:rPr>
      </w:pPr>
      <w:r w:rsidRPr="00E232FF">
        <w:rPr>
          <w:b/>
          <w:bCs/>
        </w:rPr>
        <w:lastRenderedPageBreak/>
        <w:t>Anécdotas y curiosidades</w:t>
      </w:r>
    </w:p>
    <w:p w14:paraId="4CB7C36F" w14:textId="77777777" w:rsidR="00E232FF" w:rsidRPr="00E232FF" w:rsidRDefault="00E232FF" w:rsidP="00E232FF">
      <w:pPr>
        <w:numPr>
          <w:ilvl w:val="0"/>
          <w:numId w:val="3"/>
        </w:numPr>
      </w:pPr>
      <w:r w:rsidRPr="00E232FF">
        <w:rPr>
          <w:b/>
          <w:bCs/>
        </w:rPr>
        <w:t xml:space="preserve">El voto y la seda de Guido Reni: </w:t>
      </w:r>
      <w:r w:rsidRPr="00E232FF">
        <w:t xml:space="preserve">El célebre </w:t>
      </w:r>
      <w:r w:rsidRPr="00E232FF">
        <w:rPr>
          <w:i/>
          <w:iCs/>
        </w:rPr>
        <w:t xml:space="preserve">retablo de la peste </w:t>
      </w:r>
      <w:r w:rsidRPr="00E232FF">
        <w:t xml:space="preserve">, pintado por Guido Reni en 1630 a petición del Senado boloñés para agradecer a la Virgen el fin de la epidemia, fue creado con una técnica muy inusual: no sobre lino o madera comunes, sino sobre </w:t>
      </w:r>
      <w:r w:rsidRPr="00E232FF">
        <w:rPr>
          <w:b/>
          <w:bCs/>
        </w:rPr>
        <w:t xml:space="preserve">seda pura </w:t>
      </w:r>
      <w:r w:rsidRPr="00E232FF">
        <w:t>. El artista tuvo que trabajar a un ritmo vertiginoso mientras la ciudad aún se recuperaba de la peste, creando una obra maestra ligera y portátil, destinada a ser llevada en solemnes procesiones.</w:t>
      </w:r>
    </w:p>
    <w:p w14:paraId="40D15962" w14:textId="77777777" w:rsidR="00E232FF" w:rsidRPr="00E232FF" w:rsidRDefault="00E232FF" w:rsidP="00E232FF">
      <w:pPr>
        <w:numPr>
          <w:ilvl w:val="0"/>
          <w:numId w:val="3"/>
        </w:numPr>
      </w:pPr>
      <w:r w:rsidRPr="00E232FF">
        <w:rPr>
          <w:b/>
          <w:bCs/>
        </w:rPr>
        <w:t xml:space="preserve">La " Fisura " y las Puertas de Bernardino Spada: </w:t>
      </w:r>
      <w:r w:rsidRPr="00E232FF">
        <w:t>Para evitar que los soldados lansquenetes o los viajeros infectados introdujeran la enfermedad en Bolonia, el cardenal legado Bernardino Spada implementó medidas drásticas en las entradas de la ciudad. Casi todas las puertas de la ciudad fueron tapiadas o cerradas con llave, dejando muy pocas abiertas, y equipadas con puertas dobles y rejas de hierro (llamadas "rastrelli"): las mercancías y el correo solo podían pasar a través de estas grietas después de ser desinfectados con vinagre y vapores de azufre.</w:t>
      </w:r>
    </w:p>
    <w:p w14:paraId="3A5ED932" w14:textId="77777777" w:rsidR="00E232FF" w:rsidRPr="00E232FF" w:rsidRDefault="00E232FF" w:rsidP="00E232FF">
      <w:pPr>
        <w:numPr>
          <w:ilvl w:val="0"/>
          <w:numId w:val="3"/>
        </w:numPr>
      </w:pPr>
      <w:r w:rsidRPr="00E232FF">
        <w:rPr>
          <w:b/>
          <w:bCs/>
        </w:rPr>
        <w:t xml:space="preserve">Pietro Moratti y la Crónica del Lazzaretto: </w:t>
      </w:r>
      <w:r w:rsidRPr="00E232FF">
        <w:t xml:space="preserve">El médico y comisario Pietro Moratti dejó un relato detallado de la emergencia ( </w:t>
      </w:r>
      <w:r w:rsidRPr="00E232FF">
        <w:rPr>
          <w:i/>
          <w:iCs/>
        </w:rPr>
        <w:t xml:space="preserve">Relato de las órdenes y disposiciones realizadas en Lazaretti ... </w:t>
      </w:r>
      <w:r w:rsidRPr="00E232FF">
        <w:t>). En sus memorias describe el inmenso esfuerzo de los frailes camilianos (los frailes con la cruz roja en el pecho), que se movían entre las chozas del lazareto fuera de Porta Santo Stefano llevando socorro a las víctimas de la peste, desafiando el contagio con ropas impregnadas de ceras y especias aromáticas para atenuar los miasmas de la enfermedad.</w:t>
      </w:r>
    </w:p>
    <w:p w14:paraId="63BF2FC6" w14:textId="77777777" w:rsidR="00E232FF" w:rsidRPr="00E232FF" w:rsidRDefault="00E232FF" w:rsidP="00E232FF">
      <w:pPr>
        <w:numPr>
          <w:ilvl w:val="0"/>
          <w:numId w:val="3"/>
        </w:numPr>
      </w:pPr>
      <w:r w:rsidRPr="00E232FF">
        <w:rPr>
          <w:b/>
          <w:bCs/>
        </w:rPr>
        <w:t xml:space="preserve">Perfumes contra el aire infectado: </w:t>
      </w:r>
      <w:r w:rsidRPr="00E232FF">
        <w:t>En aquella época, se creía que la peste se propagaba a través de malos olores y miasmas en el aire. Durante los meses de contagio, la Asunción de Sanidad ordenó a los ciudadanos que quemaran enebro, romero, laurel y resinas aromáticas en sus casas y en las calles. Durante todo el verano de 1630, las calles del centro de Bolonia estuvieron permanentemente envueltas en una espesa y fragante nube de humo, producto de la devoción y la higiene.</w:t>
      </w:r>
    </w:p>
    <w:p w14:paraId="3898AC40" w14:textId="77777777" w:rsidR="00E232FF" w:rsidRPr="00E232FF" w:rsidRDefault="00E232FF" w:rsidP="004F342C"/>
    <w:p w14:paraId="5414ED9D" w14:textId="77777777" w:rsidR="004F342C" w:rsidRPr="001807D1" w:rsidRDefault="004F342C" w:rsidP="004F342C">
      <w:pPr>
        <w:rPr>
          <w:b/>
          <w:bCs/>
          <w:u w:val="single"/>
        </w:rPr>
      </w:pPr>
      <w:r w:rsidRPr="004F342C">
        <w:rPr>
          <w:b/>
          <w:bCs/>
        </w:rPr>
        <w:t>Fuentes primarias (originales de la época):</w:t>
      </w:r>
    </w:p>
    <w:p w14:paraId="41EC7C1F" w14:textId="77777777" w:rsidR="004F342C" w:rsidRPr="004F342C" w:rsidRDefault="004F342C" w:rsidP="004F342C">
      <w:pPr>
        <w:numPr>
          <w:ilvl w:val="0"/>
          <w:numId w:val="1"/>
        </w:numPr>
      </w:pPr>
      <w:r w:rsidRPr="004F342C">
        <w:rPr>
          <w:b/>
          <w:bCs/>
        </w:rPr>
        <w:t>Documentación oficial y administrativa:</w:t>
      </w:r>
    </w:p>
    <w:p w14:paraId="2862942B" w14:textId="77777777" w:rsidR="004F342C" w:rsidRPr="004F342C" w:rsidRDefault="004F342C" w:rsidP="004F342C">
      <w:pPr>
        <w:numPr>
          <w:ilvl w:val="1"/>
          <w:numId w:val="1"/>
        </w:numPr>
      </w:pPr>
      <w:r w:rsidRPr="004F342C">
        <w:rPr>
          <w:b/>
          <w:bCs/>
        </w:rPr>
        <w:t xml:space="preserve">Proclamaciones y decretos de la Assunteria di Sanità y del Senado boloñés </w:t>
      </w:r>
      <w:r w:rsidRPr="004F342C">
        <w:t xml:space="preserve">(a partir de 1628, relativos a la gestión del contagio, las medidas adoptadas y la organización de los servicios). La mayoría de estos documentos se conservan en el </w:t>
      </w:r>
      <w:r w:rsidRPr="004F342C">
        <w:rPr>
          <w:b/>
          <w:bCs/>
        </w:rPr>
        <w:t xml:space="preserve">Archivo Estatal de Bolonia </w:t>
      </w:r>
      <w:r w:rsidRPr="004F342C">
        <w:t>.</w:t>
      </w:r>
    </w:p>
    <w:p w14:paraId="68DB0677" w14:textId="77777777" w:rsidR="004F342C" w:rsidRPr="004F342C" w:rsidRDefault="004F342C" w:rsidP="004F342C">
      <w:pPr>
        <w:numPr>
          <w:ilvl w:val="1"/>
          <w:numId w:val="1"/>
        </w:numPr>
      </w:pPr>
      <w:r w:rsidRPr="004F342C">
        <w:rPr>
          <w:b/>
          <w:bCs/>
        </w:rPr>
        <w:t xml:space="preserve">Registros de defunciones y entierros </w:t>
      </w:r>
      <w:r w:rsidRPr="004F342C">
        <w:t>(para obtener datos sobre las víctimas, los picos de mortalidad y las fosas comunes).</w:t>
      </w:r>
    </w:p>
    <w:p w14:paraId="3594030F" w14:textId="77777777" w:rsidR="004F342C" w:rsidRPr="004F342C" w:rsidRDefault="004F342C" w:rsidP="004F342C">
      <w:pPr>
        <w:numPr>
          <w:ilvl w:val="1"/>
          <w:numId w:val="1"/>
        </w:numPr>
      </w:pPr>
      <w:r w:rsidRPr="004F342C">
        <w:rPr>
          <w:b/>
          <w:bCs/>
        </w:rPr>
        <w:lastRenderedPageBreak/>
        <w:t xml:space="preserve">Estados de gastos </w:t>
      </w:r>
      <w:r w:rsidRPr="004F342C">
        <w:t>(para las sumas asignadas a los pobres, a la policía médica, al desalojo de viviendas y a la administración de lazaretos).</w:t>
      </w:r>
    </w:p>
    <w:p w14:paraId="0A462BA5" w14:textId="77777777" w:rsidR="004F342C" w:rsidRPr="004F342C" w:rsidRDefault="004F342C" w:rsidP="004F342C">
      <w:pPr>
        <w:numPr>
          <w:ilvl w:val="1"/>
          <w:numId w:val="1"/>
        </w:numPr>
      </w:pPr>
      <w:r w:rsidRPr="004F342C">
        <w:rPr>
          <w:b/>
          <w:bCs/>
        </w:rPr>
        <w:t xml:space="preserve">Crónicas contemporáneas e informes oficiales </w:t>
      </w:r>
      <w:r w:rsidRPr="004F342C">
        <w:t xml:space="preserve">(por ejemplo, el informe de </w:t>
      </w:r>
      <w:r w:rsidRPr="004F342C">
        <w:rPr>
          <w:b/>
          <w:bCs/>
        </w:rPr>
        <w:t xml:space="preserve">Pietro Moratti </w:t>
      </w:r>
      <w:r w:rsidRPr="004F342C">
        <w:t xml:space="preserve">– </w:t>
      </w:r>
      <w:r w:rsidRPr="004F342C">
        <w:rPr>
          <w:i/>
          <w:iCs/>
        </w:rPr>
        <w:t xml:space="preserve">Relato de las órdenes y disposiciones realizadas en el Lazaretti en Bolonia y su condado en el momento del contagio del año 1630 </w:t>
      </w:r>
      <w:r w:rsidRPr="004F342C">
        <w:t>).</w:t>
      </w:r>
    </w:p>
    <w:p w14:paraId="41052093" w14:textId="77777777" w:rsidR="004F342C" w:rsidRPr="004F342C" w:rsidRDefault="004F342C" w:rsidP="004F342C">
      <w:pPr>
        <w:numPr>
          <w:ilvl w:val="0"/>
          <w:numId w:val="1"/>
        </w:numPr>
      </w:pPr>
      <w:r w:rsidRPr="004F342C">
        <w:rPr>
          <w:b/>
          <w:bCs/>
        </w:rPr>
        <w:t>Testimonios artísticos y votivos:</w:t>
      </w:r>
    </w:p>
    <w:p w14:paraId="7CBF73C0" w14:textId="77777777" w:rsidR="004F342C" w:rsidRPr="004F342C" w:rsidRDefault="004F342C" w:rsidP="004F342C">
      <w:pPr>
        <w:numPr>
          <w:ilvl w:val="1"/>
          <w:numId w:val="1"/>
        </w:numPr>
      </w:pPr>
      <w:r w:rsidRPr="004F342C">
        <w:rPr>
          <w:b/>
          <w:bCs/>
        </w:rPr>
        <w:t xml:space="preserve">El retablo de la peste de Guido Reni </w:t>
      </w:r>
      <w:r w:rsidRPr="004F342C">
        <w:t>(1630): testimonio directo de la devoción cívica y religiosa.</w:t>
      </w:r>
    </w:p>
    <w:p w14:paraId="57C89079" w14:textId="77777777" w:rsidR="004F342C" w:rsidRPr="004F342C" w:rsidRDefault="004F342C" w:rsidP="004F342C">
      <w:pPr>
        <w:numPr>
          <w:ilvl w:val="1"/>
          <w:numId w:val="1"/>
        </w:numPr>
      </w:pPr>
      <w:r w:rsidRPr="004F342C">
        <w:rPr>
          <w:b/>
          <w:bCs/>
        </w:rPr>
        <w:t xml:space="preserve">El dosel votivo de 1634 </w:t>
      </w:r>
      <w:r w:rsidRPr="004F342C">
        <w:t>(utilizado en procesiones de acción de gracias).</w:t>
      </w:r>
    </w:p>
    <w:p w14:paraId="445B5862" w14:textId="77777777" w:rsidR="004F342C" w:rsidRPr="004F342C" w:rsidRDefault="004F342C" w:rsidP="004F342C">
      <w:pPr>
        <w:numPr>
          <w:ilvl w:val="1"/>
          <w:numId w:val="1"/>
        </w:numPr>
      </w:pPr>
      <w:r w:rsidRPr="004F342C">
        <w:rPr>
          <w:b/>
          <w:bCs/>
        </w:rPr>
        <w:t xml:space="preserve">Pinturas y exvotos </w:t>
      </w:r>
      <w:r w:rsidRPr="004F342C">
        <w:t>(como la pintura anónima boloñesa sobre la peste en Via San Mamolo, citada con frecuencia en fuentes secundarias).</w:t>
      </w:r>
    </w:p>
    <w:p w14:paraId="7F5A8D0D" w14:textId="77777777" w:rsidR="004F342C" w:rsidRPr="004F342C" w:rsidRDefault="004F342C" w:rsidP="004F342C">
      <w:pPr>
        <w:rPr>
          <w:b/>
          <w:bCs/>
        </w:rPr>
      </w:pPr>
      <w:r w:rsidRPr="004F342C">
        <w:rPr>
          <w:b/>
          <w:bCs/>
        </w:rPr>
        <w:t>Fuentes secundarias (Estudios históricos posteriores):</w:t>
      </w:r>
    </w:p>
    <w:p w14:paraId="4FE229AD" w14:textId="77777777" w:rsidR="004F342C" w:rsidRPr="004F342C" w:rsidRDefault="004F342C" w:rsidP="004F342C">
      <w:pPr>
        <w:numPr>
          <w:ilvl w:val="0"/>
          <w:numId w:val="2"/>
        </w:numPr>
      </w:pPr>
      <w:r w:rsidRPr="004F342C">
        <w:rPr>
          <w:b/>
          <w:bCs/>
        </w:rPr>
        <w:t>Estudios históricos específicos sobre Bolonia y la peste de 1630:</w:t>
      </w:r>
    </w:p>
    <w:p w14:paraId="3265B8BA" w14:textId="77777777" w:rsidR="004F342C" w:rsidRPr="004F342C" w:rsidRDefault="004F342C" w:rsidP="004F342C">
      <w:pPr>
        <w:numPr>
          <w:ilvl w:val="1"/>
          <w:numId w:val="2"/>
        </w:numPr>
      </w:pPr>
      <w:r w:rsidRPr="004F342C">
        <w:t xml:space="preserve">Estudios demográficos históricos que han elaborado datos sobre muertes y población (por ejemplo, </w:t>
      </w:r>
      <w:r w:rsidRPr="004F342C">
        <w:rPr>
          <w:b/>
          <w:bCs/>
        </w:rPr>
        <w:t xml:space="preserve">Marco Poli </w:t>
      </w:r>
      <w:r w:rsidRPr="004F342C">
        <w:t xml:space="preserve">, autor de estudios sobre epidemias en Bolonia, o estudios demográficos más antiguos como los de </w:t>
      </w:r>
      <w:r w:rsidRPr="004F342C">
        <w:rPr>
          <w:b/>
          <w:bCs/>
        </w:rPr>
        <w:t xml:space="preserve">PL Da Gatteo </w:t>
      </w:r>
      <w:r w:rsidRPr="004F342C">
        <w:t xml:space="preserve">y </w:t>
      </w:r>
      <w:r w:rsidRPr="004F342C">
        <w:rPr>
          <w:b/>
          <w:bCs/>
        </w:rPr>
        <w:t xml:space="preserve">A. Brighetti </w:t>
      </w:r>
      <w:r w:rsidRPr="004F342C">
        <w:t>).</w:t>
      </w:r>
    </w:p>
    <w:p w14:paraId="036C7A1C" w14:textId="77777777" w:rsidR="004F342C" w:rsidRPr="004F342C" w:rsidRDefault="004F342C" w:rsidP="004F342C">
      <w:pPr>
        <w:numPr>
          <w:ilvl w:val="1"/>
          <w:numId w:val="2"/>
        </w:numPr>
      </w:pPr>
      <w:r w:rsidRPr="004F342C">
        <w:t xml:space="preserve">Monografías y ensayos que reconstruyen la propagación, la gestión sanitaria (el papel del cardenal </w:t>
      </w:r>
      <w:r w:rsidRPr="004F342C">
        <w:rPr>
          <w:b/>
          <w:bCs/>
        </w:rPr>
        <w:t xml:space="preserve">Bernardino Spada </w:t>
      </w:r>
      <w:r w:rsidRPr="004F342C">
        <w:t xml:space="preserve">y los </w:t>
      </w:r>
      <w:r w:rsidRPr="004F342C">
        <w:rPr>
          <w:b/>
          <w:bCs/>
        </w:rPr>
        <w:t xml:space="preserve">camilianos </w:t>
      </w:r>
      <w:r w:rsidRPr="004F342C">
        <w:t>) y las consecuencias sociales de la epidemia.</w:t>
      </w:r>
    </w:p>
    <w:p w14:paraId="73954309" w14:textId="77777777" w:rsidR="004F342C" w:rsidRPr="004F342C" w:rsidRDefault="004F342C" w:rsidP="004F342C">
      <w:pPr>
        <w:numPr>
          <w:ilvl w:val="0"/>
          <w:numId w:val="2"/>
        </w:numPr>
      </w:pPr>
      <w:r w:rsidRPr="004F342C">
        <w:rPr>
          <w:b/>
          <w:bCs/>
        </w:rPr>
        <w:t>Contexto histórico general:</w:t>
      </w:r>
    </w:p>
    <w:p w14:paraId="40399952" w14:textId="77777777" w:rsidR="004F342C" w:rsidRPr="004F342C" w:rsidRDefault="004F342C" w:rsidP="004F342C">
      <w:pPr>
        <w:numPr>
          <w:ilvl w:val="1"/>
          <w:numId w:val="2"/>
        </w:numPr>
      </w:pPr>
      <w:r w:rsidRPr="004F342C">
        <w:t xml:space="preserve">Las fuentes que tratan sobre la </w:t>
      </w:r>
      <w:r w:rsidRPr="004F342C">
        <w:rPr>
          <w:b/>
          <w:bCs/>
        </w:rPr>
        <w:t xml:space="preserve">Guerra de Sucesión de Mantua </w:t>
      </w:r>
      <w:r w:rsidRPr="004F342C">
        <w:t xml:space="preserve">y el paso de los </w:t>
      </w:r>
      <w:r w:rsidRPr="004F342C">
        <w:rPr>
          <w:b/>
          <w:bCs/>
        </w:rPr>
        <w:t xml:space="preserve">Landsknechts </w:t>
      </w:r>
      <w:r w:rsidRPr="004F342C">
        <w:t xml:space="preserve">, responsables de la propagación del contagio por todo el norte de Italia (como también se menciona en La obra de Alessandro Manzoni, </w:t>
      </w:r>
      <w:r w:rsidRPr="004F342C">
        <w:rPr>
          <w:i/>
          <w:iCs/>
        </w:rPr>
        <w:t xml:space="preserve">Los Novios </w:t>
      </w:r>
      <w:r w:rsidRPr="004F342C">
        <w:t>, que si bien no es una fuente histórica primaria para Bolonia, da testimonio del contexto general de la epidemia de 1630 en el norte de Italia.</w:t>
      </w:r>
    </w:p>
    <w:p w14:paraId="7CBBABBD" w14:textId="77777777" w:rsidR="004F5004" w:rsidRDefault="004F5004"/>
    <w:p w14:paraId="46B86067" w14:textId="77777777" w:rsidR="00CF037E" w:rsidRDefault="00CF037E"/>
    <w:p w14:paraId="2A573B3E" w14:textId="77777777" w:rsidR="00CF037E" w:rsidRDefault="00000000">
      <w:r>
        <w:rPr>
          <w:rFonts w:ascii="Arial" w:hAnsi="Arial"/>
          <w:b/>
          <w:color w:val="1A365D"/>
          <w:sz w:val="26"/>
        </w:rPr>
        <w:t>Tabella delle Fonti e Certificazione</w:t>
      </w:r>
    </w:p>
    <w:tbl>
      <w:tblPr>
        <w:tblW w:w="0" w:type="auto"/>
        <w:jc w:val="center"/>
        <w:tblLook w:val="04A0" w:firstRow="1" w:lastRow="0" w:firstColumn="1" w:lastColumn="0" w:noHBand="0" w:noVBand="1"/>
      </w:tblPr>
      <w:tblGrid>
        <w:gridCol w:w="4819"/>
        <w:gridCol w:w="4819"/>
      </w:tblGrid>
      <w:tr w:rsidR="00CF037E" w14:paraId="730DCAA0" w14:textId="77777777">
        <w:trPr>
          <w:jc w:val="center"/>
        </w:trPr>
        <w:tc>
          <w:tcPr>
            <w:tcW w:w="4819" w:type="dxa"/>
            <w:shd w:val="clear" w:color="auto" w:fill="1A365D"/>
          </w:tcPr>
          <w:p w14:paraId="6F887B9C" w14:textId="77777777" w:rsidR="00CF037E" w:rsidRDefault="00000000">
            <w:r>
              <w:rPr>
                <w:rFonts w:ascii="Arial" w:hAnsi="Arial"/>
                <w:b/>
                <w:color w:val="FFFFFF"/>
                <w:sz w:val="20"/>
              </w:rPr>
              <w:t>Affermazione del testo</w:t>
            </w:r>
          </w:p>
        </w:tc>
        <w:tc>
          <w:tcPr>
            <w:tcW w:w="4819" w:type="dxa"/>
            <w:shd w:val="clear" w:color="auto" w:fill="1A365D"/>
          </w:tcPr>
          <w:p w14:paraId="61FAF174" w14:textId="77777777" w:rsidR="00CF037E" w:rsidRDefault="00000000">
            <w:r>
              <w:rPr>
                <w:rFonts w:ascii="Arial" w:hAnsi="Arial"/>
                <w:b/>
                <w:color w:val="FFFFFF"/>
                <w:sz w:val="20"/>
              </w:rPr>
              <w:t>Fonte Certificata</w:t>
            </w:r>
          </w:p>
        </w:tc>
      </w:tr>
      <w:tr w:rsidR="00CF037E" w14:paraId="0DE6250B" w14:textId="77777777">
        <w:trPr>
          <w:jc w:val="center"/>
        </w:trPr>
        <w:tc>
          <w:tcPr>
            <w:tcW w:w="4819" w:type="dxa"/>
          </w:tcPr>
          <w:p w14:paraId="73235402" w14:textId="77777777" w:rsidR="00CF037E" w:rsidRDefault="00000000">
            <w:r>
              <w:rPr>
                <w:rFonts w:ascii="Arial" w:hAnsi="Arial"/>
                <w:sz w:val="19"/>
              </w:rPr>
              <w:t>La epidemia de peste de mayo de 1630 fue introducida por soldados tudescos (lanzichenecchi) en la Guerra de Sucesión de Mantua, causando 13.398 muertes en la ciudad y unas 16.300 en el campo.</w:t>
            </w:r>
          </w:p>
        </w:tc>
        <w:tc>
          <w:tcPr>
            <w:tcW w:w="4819" w:type="dxa"/>
          </w:tcPr>
          <w:p w14:paraId="2D5AC28B" w14:textId="77777777" w:rsidR="00CF037E" w:rsidRDefault="00000000">
            <w:r>
              <w:rPr>
                <w:rFonts w:ascii="Arial" w:hAnsi="Arial"/>
                <w:sz w:val="19"/>
              </w:rPr>
              <w:t>Archivo de Estado de Bolonia (Registros de Difuntos) / Estudios de Demografía Histórica (Marco Poli, P.L. Da Gatteo)</w:t>
            </w:r>
          </w:p>
        </w:tc>
      </w:tr>
      <w:tr w:rsidR="00CF037E" w14:paraId="20F36C5C" w14:textId="77777777">
        <w:trPr>
          <w:jc w:val="center"/>
        </w:trPr>
        <w:tc>
          <w:tcPr>
            <w:tcW w:w="4819" w:type="dxa"/>
          </w:tcPr>
          <w:p w14:paraId="5127C29B" w14:textId="77777777" w:rsidR="00CF037E" w:rsidRDefault="00000000">
            <w:r>
              <w:rPr>
                <w:rFonts w:ascii="Arial" w:hAnsi="Arial"/>
                <w:sz w:val="19"/>
              </w:rPr>
              <w:lastRenderedPageBreak/>
              <w:t>La gestión sanitaria de emergencia fue dirigida por el Cardenal Legado Bernardino Spada con la ayuda de los Camilos y la instalación de lazaretos fuera de Puerta S. Stefano y en Castelfranco.</w:t>
            </w:r>
          </w:p>
        </w:tc>
        <w:tc>
          <w:tcPr>
            <w:tcW w:w="4819" w:type="dxa"/>
          </w:tcPr>
          <w:p w14:paraId="7D618334" w14:textId="77777777" w:rsidR="00CF037E" w:rsidRDefault="00000000">
            <w:r>
              <w:rPr>
                <w:rFonts w:ascii="Arial" w:hAnsi="Arial"/>
                <w:sz w:val="19"/>
              </w:rPr>
              <w:t>Pietro Moratti, "Racconto degli ordini e provisioni fatte ne' Lazaretti..." (1630) / Decretos de la Junta de Sanidad</w:t>
            </w:r>
          </w:p>
        </w:tc>
      </w:tr>
      <w:tr w:rsidR="00CF037E" w14:paraId="5D2FD1D9" w14:textId="77777777">
        <w:trPr>
          <w:jc w:val="center"/>
        </w:trPr>
        <w:tc>
          <w:tcPr>
            <w:tcW w:w="4819" w:type="dxa"/>
          </w:tcPr>
          <w:p w14:paraId="3590D2AD" w14:textId="77777777" w:rsidR="00CF037E" w:rsidRDefault="00000000">
            <w:r>
              <w:rPr>
                <w:rFonts w:ascii="Arial" w:hAnsi="Arial"/>
                <w:sz w:val="19"/>
              </w:rPr>
              <w:t>El Cardenal Spada aplicó un aislamiento estricto tapiando las puertas de la ciudad y habilitando pasos con rejas de hierro ("rastrelli") para desinfectar mercancías y correo con vinagre y azufre.</w:t>
            </w:r>
          </w:p>
        </w:tc>
        <w:tc>
          <w:tcPr>
            <w:tcW w:w="4819" w:type="dxa"/>
          </w:tcPr>
          <w:p w14:paraId="0FEEF4BE" w14:textId="77777777" w:rsidR="00CF037E" w:rsidRDefault="00000000">
            <w:r>
              <w:rPr>
                <w:rFonts w:ascii="Arial" w:hAnsi="Arial"/>
                <w:sz w:val="19"/>
              </w:rPr>
              <w:t>Bandos y Decretos del Senado Boloñés (1628-1630) / Archivo de Estado de Bolonia</w:t>
            </w:r>
          </w:p>
        </w:tc>
      </w:tr>
      <w:tr w:rsidR="00CF037E" w14:paraId="17DDF1C1" w14:textId="77777777">
        <w:trPr>
          <w:jc w:val="center"/>
        </w:trPr>
        <w:tc>
          <w:tcPr>
            <w:tcW w:w="4819" w:type="dxa"/>
          </w:tcPr>
          <w:p w14:paraId="0E924DD9" w14:textId="77777777" w:rsidR="00CF037E" w:rsidRDefault="00000000">
            <w:r>
              <w:rPr>
                <w:rFonts w:ascii="Arial" w:hAnsi="Arial"/>
                <w:sz w:val="19"/>
              </w:rPr>
              <w:t>En 1630 el Senado encargó a Guido Reni la Pala de la peste (pintada en seda pura) para procesiones solemnes de acción de gracias, junto con el Baldaquino votivo de 1634.</w:t>
            </w:r>
          </w:p>
        </w:tc>
        <w:tc>
          <w:tcPr>
            <w:tcW w:w="4819" w:type="dxa"/>
          </w:tcPr>
          <w:p w14:paraId="1DC13368" w14:textId="77777777" w:rsidR="00CF037E" w:rsidRDefault="00000000">
            <w:r>
              <w:rPr>
                <w:rFonts w:ascii="Arial" w:hAnsi="Arial"/>
                <w:sz w:val="19"/>
              </w:rPr>
              <w:t>Pinacoteca Nacional de Bolonia / Testimonios Artísticos / Bologna Online (Biblioteca Salaborsa)</w:t>
            </w:r>
          </w:p>
        </w:tc>
      </w:tr>
      <w:tr w:rsidR="00CF037E" w14:paraId="18DBE787" w14:textId="77777777">
        <w:trPr>
          <w:jc w:val="center"/>
        </w:trPr>
        <w:tc>
          <w:tcPr>
            <w:tcW w:w="4819" w:type="dxa"/>
          </w:tcPr>
          <w:p w14:paraId="38902BD7" w14:textId="77777777" w:rsidR="00CF037E" w:rsidRDefault="00000000">
            <w:r>
              <w:rPr>
                <w:rFonts w:ascii="Arial" w:hAnsi="Arial"/>
                <w:sz w:val="19"/>
              </w:rPr>
              <w:t>Para combatir los "miasmas" del aire infectado, la Junta de Sanidad ordenó quemar enebro, romero, laurel y resinas aromáticas en las casas y por las calles.</w:t>
            </w:r>
          </w:p>
        </w:tc>
        <w:tc>
          <w:tcPr>
            <w:tcW w:w="4819" w:type="dxa"/>
          </w:tcPr>
          <w:p w14:paraId="0DEEAFD3" w14:textId="77777777" w:rsidR="00CF037E" w:rsidRDefault="00000000">
            <w:r>
              <w:rPr>
                <w:rFonts w:ascii="Arial" w:hAnsi="Arial"/>
                <w:sz w:val="19"/>
              </w:rPr>
              <w:t>Pietro Moratti (1630) / Documentación Oficial y Administrativa de la Junta de Sanidad</w:t>
            </w:r>
          </w:p>
        </w:tc>
      </w:tr>
    </w:tbl>
    <w:p w14:paraId="474DF086" w14:textId="77777777" w:rsidR="008F7944" w:rsidRDefault="008F7944"/>
    <w:sectPr w:rsidR="008F794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B5FB6"/>
    <w:multiLevelType w:val="multilevel"/>
    <w:tmpl w:val="08285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850346"/>
    <w:multiLevelType w:val="multilevel"/>
    <w:tmpl w:val="84EA6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235A2D"/>
    <w:multiLevelType w:val="multilevel"/>
    <w:tmpl w:val="60A88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798282">
    <w:abstractNumId w:val="2"/>
  </w:num>
  <w:num w:numId="2" w16cid:durableId="1726759906">
    <w:abstractNumId w:val="1"/>
  </w:num>
  <w:num w:numId="3" w16cid:durableId="585574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2C"/>
    <w:rsid w:val="000326D6"/>
    <w:rsid w:val="00081A68"/>
    <w:rsid w:val="001807D1"/>
    <w:rsid w:val="004F342C"/>
    <w:rsid w:val="004F5004"/>
    <w:rsid w:val="005A0BDB"/>
    <w:rsid w:val="007370E6"/>
    <w:rsid w:val="008F7944"/>
    <w:rsid w:val="009C6296"/>
    <w:rsid w:val="00A51E8A"/>
    <w:rsid w:val="00A641CC"/>
    <w:rsid w:val="00C327D1"/>
    <w:rsid w:val="00C35376"/>
    <w:rsid w:val="00CF037E"/>
    <w:rsid w:val="00E232F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B2F8A"/>
  <w15:chartTrackingRefBased/>
  <w15:docId w15:val="{74441AC1-F8C6-48C3-A9A0-A400BA63F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F3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F3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F342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F342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F342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F342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F342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F342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F342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F342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F342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F342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F342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F342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F342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F342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F342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F342C"/>
    <w:rPr>
      <w:rFonts w:eastAsiaTheme="majorEastAsia" w:cstheme="majorBidi"/>
      <w:color w:val="272727" w:themeColor="text1" w:themeTint="D8"/>
    </w:rPr>
  </w:style>
  <w:style w:type="paragraph" w:styleId="Titolo">
    <w:name w:val="Title"/>
    <w:basedOn w:val="Normale"/>
    <w:next w:val="Normale"/>
    <w:link w:val="TitoloCarattere"/>
    <w:uiPriority w:val="10"/>
    <w:qFormat/>
    <w:rsid w:val="004F3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F342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F342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F342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F342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F342C"/>
    <w:rPr>
      <w:i/>
      <w:iCs/>
      <w:color w:val="404040" w:themeColor="text1" w:themeTint="BF"/>
    </w:rPr>
  </w:style>
  <w:style w:type="paragraph" w:styleId="Paragrafoelenco">
    <w:name w:val="List Paragraph"/>
    <w:basedOn w:val="Normale"/>
    <w:uiPriority w:val="34"/>
    <w:qFormat/>
    <w:rsid w:val="004F342C"/>
    <w:pPr>
      <w:ind w:left="720"/>
      <w:contextualSpacing/>
    </w:pPr>
  </w:style>
  <w:style w:type="character" w:styleId="Enfasiintensa">
    <w:name w:val="Intense Emphasis"/>
    <w:basedOn w:val="Carpredefinitoparagrafo"/>
    <w:uiPriority w:val="21"/>
    <w:qFormat/>
    <w:rsid w:val="004F342C"/>
    <w:rPr>
      <w:i/>
      <w:iCs/>
      <w:color w:val="0F4761" w:themeColor="accent1" w:themeShade="BF"/>
    </w:rPr>
  </w:style>
  <w:style w:type="paragraph" w:styleId="Citazioneintensa">
    <w:name w:val="Intense Quote"/>
    <w:basedOn w:val="Normale"/>
    <w:next w:val="Normale"/>
    <w:link w:val="CitazioneintensaCarattere"/>
    <w:uiPriority w:val="30"/>
    <w:qFormat/>
    <w:rsid w:val="004F3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F342C"/>
    <w:rPr>
      <w:i/>
      <w:iCs/>
      <w:color w:val="0F4761" w:themeColor="accent1" w:themeShade="BF"/>
    </w:rPr>
  </w:style>
  <w:style w:type="character" w:styleId="Riferimentointenso">
    <w:name w:val="Intense Reference"/>
    <w:basedOn w:val="Carpredefinitoparagrafo"/>
    <w:uiPriority w:val="32"/>
    <w:qFormat/>
    <w:rsid w:val="004F34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1094</Words>
  <Characters>6239</Characters>
  <Application>Microsoft Office Word</Application>
  <DocSecurity>0</DocSecurity>
  <Lines>51</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2026-08-26T20:23:00Z</dcterms:created>
  <dcterms:modified xsi:type="dcterms:W3CDTF">2026-08-26T20:32:00Z</dcterms:modified>
</cp:coreProperties>
</file>