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Италия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2020-06-04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1.2127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1.3127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18190500.0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2.5179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2.6479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2517900.0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2.7468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3.7668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27468.0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3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3-Z15 -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7.833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10.113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391650.0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1.3524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1.7124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270480.0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8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3-H04 - Медицинские бахилы (продажа только по парах)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0.0987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0.1487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19740.0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5.6149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6.9849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1122980.0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0.2426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0.3126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3639000.0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0.7828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1.1728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391400.0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0.3308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0.3908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4962000.0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47160000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35788318.0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$31533118.0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THIRTY-ONE MILLION, FIVE HUNDRED AND THIRTY-THREE THOUSAND, ONE HUNDRED AND EIGHTEEN US Dollars / ТРИДЦЯТЬ ОДИН МІЛЬЙОН П'ЯТСОТ ТРИДЦЯТЬ ТРИ ТИСЯЧІ СТО ВІСІМНАДЦЯТЬ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372046.67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353966.67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2569216.67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1922183.33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2079791.67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JPE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