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0" w:line="300" w:lineRule="auto"/>
        <w:ind w:right="0" w:firstLine="0" w:left="0"/>
        <w:rPr>
          <w:rFonts w:ascii="Liberation Sans" w:hAnsi="Liberation Sans" w:eastAsia="Liberation Sans" w:cs="Liberation Sans"/>
          <w:sz w:val="48"/>
          <w:szCs w:val="48"/>
        </w:rPr>
      </w:pPr>
      <w:r>
        <w:rPr>
          <w:highlight w:val="none"/>
          <w:lang w:val="undefined"/>
        </w:rPr>
      </w:r>
      <w:r>
        <w:rPr>
          <w:highlight w:val="none"/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8315" cy="12828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8139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78314" cy="128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4.28pt;height:101.0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undefined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0" w:line="300" w:lineRule="auto"/>
        <w:ind w:right="0" w:firstLine="0" w:left="0"/>
        <w:rPr>
          <w:highlight w:val="none"/>
          <w:lang w:val="undefined"/>
        </w:rPr>
      </w:pPr>
      <w:r>
        <w:rPr>
          <w:rFonts w:ascii="Liberation Sans" w:hAnsi="Liberation Sans" w:eastAsia="Liberation Sans" w:cs="Liberation Sans"/>
          <w:b/>
          <w:color w:val="1f2328"/>
          <w:sz w:val="48"/>
        </w:rPr>
        <w:t xml:space="preserve">Rapport d'Analyse Fonctionnelle : Gestion des Évaluations CFPC (2025-2026)</w:t>
      </w:r>
      <w:r>
        <w:rPr>
          <w:rFonts w:ascii="Liberation Sans" w:hAnsi="Liberation Sans" w:eastAsia="Liberation Sans" w:cs="Liberation Sans"/>
          <w:b/>
          <w:color w:val="1f2328"/>
          <w:sz w:val="48"/>
          <w:lang w:val="undefined"/>
        </w:rPr>
        <w:t xml:space="preserve"> www</w:t>
      </w:r>
      <w:r>
        <w:rPr>
          <w:lang w:val="undefined"/>
        </w:rPr>
        <w:t xml:space="preserve">.eval.cfpcanadienne.com</w:t>
      </w:r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</w:rPr>
        <w:t xml:space="preserve">Début du projet : </w:t>
      </w:r>
      <w:r>
        <w:rPr>
          <w:b/>
          <w:bCs/>
          <w:color w:val="ff0000"/>
          <w:lang w:val="undefined"/>
        </w:rPr>
        <w:t xml:space="preserve">Decembre</w:t>
      </w:r>
      <w:r>
        <w:rPr>
          <w:b/>
          <w:bCs/>
          <w:color w:val="ff0000"/>
        </w:rPr>
        <w:t xml:space="preserve"> 202</w:t>
      </w:r>
      <w:r>
        <w:rPr>
          <w:b/>
          <w:bCs/>
          <w:color w:val="ff0000"/>
          <w:lang w:val="undefined"/>
        </w:rPr>
        <w:t xml:space="preserve">5</w:t>
      </w:r>
      <w:r>
        <w:rPr>
          <w:b/>
          <w:bCs/>
          <w:color w:val="ff0000"/>
          <w:highlight w:val="none"/>
        </w:rPr>
      </w:r>
    </w:p>
    <w:p>
      <w:p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  <w:highlight w:val="none"/>
        </w:rPr>
        <w:t xml:space="preserve">Date d’utilisation : fin</w:t>
      </w:r>
      <w:r>
        <w:rPr>
          <w:b/>
          <w:bCs/>
          <w:color w:val="ff0000"/>
          <w:highlight w:val="none"/>
          <w:lang w:val="undefined"/>
        </w:rPr>
        <w:t xml:space="preserve"> janvier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0000"/>
          <w:highlight w:val="none"/>
        </w:rPr>
        <w:t xml:space="preserve">2026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Ce document détaille les fonctionnalités du système de gestion des évaluations du </w:t>
      </w: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CFP Canadienne (CFPC)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, mettant l'accent sur la structure pédagogique spécifique et les règles de calcul de fin d'année.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 1. GESTION </w:t>
      </w:r>
      <w:r>
        <w:rPr>
          <w:rFonts w:ascii="Liberation Sans" w:hAnsi="Liberation Sans" w:eastAsia="Liberation Sans" w:cs="Liberation Sans"/>
          <w:b/>
          <w:color w:val="1f2328"/>
          <w:sz w:val="36"/>
          <w:lang w:val="undefined"/>
        </w:rPr>
        <w:t xml:space="preserve">EVALUATION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✅ État : </w:t>
      </w:r>
      <w:r>
        <w:rPr>
          <w:rFonts w:ascii="Liberation Sans" w:hAnsi="Liberation Sans" w:eastAsia="Liberation Sans" w:cs="Liberation Sans"/>
          <w:b/>
          <w:color w:val="70ad47" w:themeColor="accent6"/>
          <w:sz w:val="30"/>
        </w:rPr>
        <w:t xml:space="preserve">Opérationnel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Années de Formations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: Gestion dynamique des périodes scolaires avec notion d'"Année Active" pour le filtrage global.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Spécialités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Configuration des filières de formation (ex: GI, MSI, SANTE) avec codes uniques.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Structure des Modules (M1-M10)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Organisation de l'année en 10 modules répartis sur deux semestres (M1-M5 S1, M6-M10 S2).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Coefficients &amp; Pondération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Attribution de coefficients par module pour le calcul des moyennes semestrielles.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Assure la flexibilité du système face aux changements de programmes annuels et garantit l'intégrité des données à travers les années.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👥 2. GESTION DES ACTEURS &amp; SÉCURITÉ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✅ État : </w:t>
      </w:r>
      <w:r>
        <w:rPr>
          <w:rFonts w:ascii="Liberation Sans" w:hAnsi="Liberation Sans" w:eastAsia="Liberation Sans" w:cs="Liberation Sans"/>
          <w:b/>
          <w:color w:val="70ad47" w:themeColor="accent6"/>
          <w:sz w:val="30"/>
        </w:rPr>
        <w:t xml:space="preserve">Opérationnel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Système de Rôles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Gestion multi-utilisateurs via 3 rôles principaux (Admin, Enseignant, Étudiant).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Profils </w:t>
      </w:r>
      <w:r>
        <w:rPr>
          <w:rFonts w:ascii="Liberation Sans" w:hAnsi="Liberation Sans" w:eastAsia="Liberation Sans" w:cs="Liberation Sans"/>
          <w:b/>
          <w:color w:val="1f2328"/>
          <w:sz w:val="24"/>
          <w:lang w:val="undefined"/>
        </w:rPr>
        <w:t xml:space="preserve">apprenants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: Matricule unique, affectation à une spécialité et suivi de l'année </w:t>
      </w:r>
      <w:r>
        <w:rPr>
          <w:rFonts w:ascii="Liberation Sans" w:hAnsi="Liberation Sans" w:eastAsia="Liberation Sans" w:cs="Liberation Sans"/>
          <w:color w:val="1f2328"/>
          <w:sz w:val="24"/>
          <w:lang w:val="undefined"/>
        </w:rPr>
        <w:t xml:space="preserve">de formation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Gestion des Enseignants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Attribution des modules et suivi des saisies par matière.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Sécurité des Accès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Authentification centralisée et protection des routes critiques.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Centralise les informations de la communauté éducative et sécurise les données sensibles (notes et dossiers personnels).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📝 3. CŒUR DE L'ÉVALUATION (30% des notes)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✅ État </w:t>
      </w:r>
      <w:r>
        <w:rPr>
          <w:rFonts w:ascii="Liberation Sans" w:hAnsi="Liberation Sans" w:eastAsia="Liberation Sans" w:cs="Liberation Sans"/>
          <w:b/>
          <w:color w:val="70ad47" w:themeColor="accent6"/>
          <w:sz w:val="30"/>
        </w:rPr>
        <w:t xml:space="preserve">: Opérationnel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Saisie Simple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Interface pour l'ajout ponctuel de notes par étudiant/module.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Saisie Multiple (Mode Rapide)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Formulaire intelligent Livewire permettant de saisir toutes les notes d'un semestre pour une spécialité en une seule fois.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Calcul des Moyennes Semestrielles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Application automatique des coefficients.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i/>
          <w:color w:val="1f2328"/>
          <w:sz w:val="24"/>
        </w:rPr>
        <w:t xml:space="preserve">Formule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MOY_SX = (Σ (Note × Coeff)) / Σ Coeffs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Moyenne des Évaluations (30%)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Moyenne pondérée des S1 et S2 représentant 30% de la note finale.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Réduit drastiquement le temps de saisie pour le corps enseignant et élimine les erreurs de calcul manuel.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🏆 4. BILAN DES COMPÉTENCES (70% des notes)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✅ État : </w:t>
      </w:r>
      <w:r>
        <w:rPr>
          <w:rFonts w:ascii="Liberation Sans" w:hAnsi="Liberation Sans" w:eastAsia="Liberation Sans" w:cs="Liberation Sans"/>
          <w:b/>
          <w:color w:val="70ad47" w:themeColor="accent6"/>
          <w:sz w:val="30"/>
        </w:rPr>
        <w:t xml:space="preserve">Opérationnel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Règle Spécifique CFPC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Intégration de la note de compétences "Terrain/Pratique" qui pèse pour 70% du résultat final.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Génération Massive des Bilans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Création automatique de la structure de bilan pour toute une cohorte après la fin des examens.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Calcul de la Moyenne Générale (100%)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i/>
          <w:color w:val="1f2328"/>
          <w:sz w:val="24"/>
        </w:rPr>
        <w:t xml:space="preserve">Formule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 </w:t>
      </w:r>
      <w:r>
        <w:rPr>
          <w:rFonts w:ascii="Liberation Sans" w:hAnsi="Liberation Sans" w:eastAsia="Liberation Sans" w:cs="Liberation Sans"/>
          <w:color w:val="1f2328"/>
          <w:sz w:val="20"/>
          <w:highlight w:val="none"/>
        </w:rPr>
        <w:t xml:space="preserve">(Moy_Evaluations × 0.30) + (Note_Compétences × 0.70)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Décisions de Fin d'Année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Passage automatique en mode "Admis" ou "Ajourné" basé sur le seuil de 10.00/20.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C'est le cœur métier du CFPC, valorisant la pratique professionnelle au-delà de la théorie académique.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📊 5. REPORTING &amp; EXPORTS OFFICIELS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✅ État :</w:t>
      </w:r>
      <w:r>
        <w:rPr>
          <w:rFonts w:ascii="Liberation Sans" w:hAnsi="Liberation Sans" w:eastAsia="Liberation Sans" w:cs="Liberation Sans"/>
          <w:b/>
          <w:color w:val="70ad47" w:themeColor="accent6"/>
          <w:sz w:val="30"/>
        </w:rPr>
        <w:t xml:space="preserve"> Opérationne</w:t>
      </w: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l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Relevés de Notes Individuels (PDF)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Génération de documents officiels avec détail des modules, moyennes et mentions.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Tableau Récapitulatif (PV de délibération)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Vue d'ensemble par spécialité avec classement, statistiques de réussite et taux d'admission.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Dashboard Statistique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Visualisation graphique des performances globales et par filière via Chart.js.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Mentions Automatiques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De "Excellent" (≥18) à "Ajourné" (&lt;10).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Professionnalise la délivrance des documents officiels et facilite le pilotage stratégique par l'administration.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single" w:color="d8dee4" w:sz="6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6"/>
        </w:rPr>
        <w:t xml:space="preserve">⏳ 6. AMÉLIORATIONS &amp; VISION 202</w:t>
      </w:r>
      <w:r>
        <w:rPr>
          <w:rFonts w:ascii="Liberation Sans" w:hAnsi="Liberation Sans" w:eastAsia="Liberation Sans" w:cs="Liberation Sans"/>
          <w:b/>
          <w:color w:val="1f2328"/>
          <w:sz w:val="36"/>
          <w:lang w:val="undefined"/>
        </w:rPr>
        <w:t xml:space="preserve">6-2027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📅 Court Terme (Q1-Q2 2026)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Interopérabilité Excel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Import/Export massif des notes via fichiers tableurs pour faciliter le travail hors-ligne.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Notifications Automatisées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Envoi des résultats par email aux parents/étudiants dès validation.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Historique d'Audit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Traçabilité complète des modifications sur les notes pour éviter les fraudes.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0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2328"/>
          <w:sz w:val="30"/>
        </w:rPr>
        <w:t xml:space="preserve">🚀 Vision Long Terme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Application Mobile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Consultation des notes et planning en temps réel.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IA de Suivi Prédictif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Identification précoce des étudiants en difficulté scolaire.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Portail </w:t>
      </w:r>
      <w:r>
        <w:rPr>
          <w:rFonts w:ascii="Liberation Sans" w:hAnsi="Liberation Sans" w:eastAsia="Liberation Sans" w:cs="Liberation Sans"/>
          <w:b/>
          <w:color w:val="1f2328"/>
          <w:sz w:val="24"/>
          <w:lang w:val="undefined"/>
        </w:rPr>
        <w:t xml:space="preserve">Aprenant </w:t>
      </w: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Self-Service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Téléchargement autonome des attestations de scolarité.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highlight w:val="none"/>
        </w:rPr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Importance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 : Ancre le CFPC dans la modernité numérique et améliore continuellement le service rendu aux étudiants.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0"/>
        <w:gridCol w:w="1737"/>
        <w:gridCol w:w="832"/>
        <w:gridCol w:w="697"/>
        <w:gridCol w:w="697"/>
        <w:gridCol w:w="564"/>
        <w:gridCol w:w="636"/>
        <w:gridCol w:w="965"/>
        <w:gridCol w:w="519"/>
        <w:gridCol w:w="519"/>
        <w:gridCol w:w="519"/>
        <w:gridCol w:w="519"/>
        <w:gridCol w:w="628"/>
        <w:gridCol w:w="1680"/>
        <w:gridCol w:w="1843"/>
        <w:gridCol w:w="1843"/>
      </w:tblGrid>
      <w:tr>
        <w:trPr/>
        <w:tc>
          <w:tcPr>
            <w:shd w:val="clear" w:color="ffffff" w:fill="c5e0b3" w:themeFill="accent6" w:themeFillTint="66"/>
            <w:tcBorders/>
            <w:tcW w:w="5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N°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7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Nom et </w:t>
            </w:r>
            <w:r>
              <w:t xml:space="preserve">prénoms</w:t>
            </w:r>
            <w:r>
              <w:t xml:space="preserve">/names and first names</w:t>
            </w:r>
            <w:r/>
            <w:r/>
          </w:p>
        </w:tc>
        <w:tc>
          <w:tcPr>
            <w:gridSpan w:val="12"/>
            <w:shd w:val="clear" w:color="ffffff" w:fill="c5e0b3" w:themeFill="accent6" w:themeFillTint="66"/>
            <w:tcBorders/>
            <w:tcW w:w="8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Évaluations</w:t>
            </w:r>
            <w:r>
              <w:t xml:space="preserve"> semestrielles/semester </w:t>
            </w:r>
            <w:r>
              <w:t xml:space="preserve">évaluations</w:t>
            </w:r>
            <w:r>
              <w:t xml:space="preserve"> (30%)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84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MOY/20 Bilan des </w:t>
            </w:r>
            <w:r>
              <w:t xml:space="preserve">compétences (</w:t>
            </w:r>
            <w:r>
              <w:t xml:space="preserve">70%) skills asse</w:t>
            </w:r>
            <w:r>
              <w:t xml:space="preserve">s</w:t>
            </w:r>
            <w:r>
              <w:t xml:space="preserve">ment</w:t>
            </w:r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MOY.GEN. (</w:t>
            </w:r>
            <w:r>
              <w:t xml:space="preserve">100%) en (rouge)</w:t>
            </w:r>
            <w:r/>
            <w:r/>
          </w:p>
        </w:tc>
      </w:tr>
      <w:tr>
        <w:trPr/>
        <w:tc>
          <w:tcPr>
            <w:shd w:val="clear" w:color="ffffff" w:fill="70ad47" w:themeFill="accent6"/>
            <w:tcBorders/>
            <w:tcW w:w="5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70ad47" w:themeFill="accent6"/>
            <w:tcBorders/>
            <w:tcW w:w="173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gridSpan w:val="6"/>
            <w:shd w:val="clear" w:color="ffffff" w:fill="c5e0b3" w:themeFill="accent6" w:themeFillTint="66"/>
            <w:tcBorders/>
            <w:tcW w:w="439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Semestre</w:t>
            </w:r>
            <w:r>
              <w:t xml:space="preserve">/</w:t>
            </w:r>
            <w:r>
              <w:t xml:space="preserve">semester 1</w:t>
            </w:r>
            <w:r/>
            <w:r/>
          </w:p>
        </w:tc>
        <w:tc>
          <w:tcPr>
            <w:gridSpan w:val="6"/>
            <w:shd w:val="clear" w:color="ffffff" w:fill="c5e0b3" w:themeFill="accent6" w:themeFillTint="66"/>
            <w:tcBorders/>
            <w:tcW w:w="4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Semestre 2</w:t>
            </w:r>
            <w:r>
              <w:t xml:space="preserve">/</w:t>
            </w:r>
            <w:r>
              <w:t xml:space="preserve">semestres</w:t>
            </w:r>
            <w:r/>
            <w:r/>
          </w:p>
        </w:tc>
        <w:tc>
          <w:tcPr>
            <w:shd w:val="clear" w:color="ffffff" w:fill="70ad47" w:themeFill="accent6"/>
            <w:tcBorders/>
            <w:tcW w:w="184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shd w:val="clear" w:color="ffffff" w:fill="70ad47" w:themeFill="accent6"/>
            <w:tcBorders/>
            <w:tcW w:w="5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70ad47" w:themeFill="accent6"/>
            <w:tcBorders/>
            <w:tcW w:w="173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c5e0b3" w:themeFill="accent6" w:themeFillTint="66"/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M1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M2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M3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M4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M5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MOY/20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EVAL1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M6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M9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M10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MOY/20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EVAL2</w:t>
            </w:r>
            <w:r/>
            <w:r/>
          </w:p>
        </w:tc>
        <w:tc>
          <w:tcPr>
            <w:shd w:val="clear" w:color="ffffff" w:fill="70ad47" w:themeFill="accent6"/>
            <w:tcBorders/>
            <w:tcW w:w="184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shd w:val="clear" w:color="ffffff" w:fill="ffffff" w:themeFill="background1"/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  <w:r/>
          </w:p>
        </w:tc>
        <w:tc>
          <w:tcPr>
            <w:shd w:val="clear" w:color="ffffff" w:fill="ffffff" w:themeFill="background1"/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DJOUKOUO BELVA</w:t>
            </w:r>
            <w:r/>
            <w:r/>
          </w:p>
        </w:tc>
        <w:tc>
          <w:tcPr>
            <w:shd w:val="clear" w:color="ffffff" w:fill="ffffff" w:themeFill="background1"/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ffffff" w:themeFill="background1"/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ffffff" w:themeFill="background1"/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ffffff" w:themeFill="background1"/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shd w:val="clear" w:color="ffffff" w:fill="ffffff" w:themeFill="background1"/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fffff" w:themeFill="background1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ffffff" w:themeFill="background1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shd w:val="clear" w:color="ffffff" w:fill="ffffff" w:themeFill="background1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ffffff" w:themeFill="background1"/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ffffff" w:themeFill="background1"/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fffff" w:themeFill="background1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DOMDJO DJOKO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19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19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KONLACK FONING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MAKAMTE SOH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MOTIEGUEMWO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SIGNING NGOUMTSA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19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  <w:r/>
          </w:p>
        </w:tc>
        <w:tc>
          <w:tcPr>
            <w:tcBorders/>
            <w:tcW w:w="17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VIMPOU DJIKA</w:t>
            </w:r>
            <w:r/>
            <w:r/>
          </w:p>
        </w:tc>
        <w:tc>
          <w:tcPr>
            <w:tcBorders/>
            <w:tcW w:w="8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  <w:r/>
          </w:p>
        </w:tc>
        <w:tc>
          <w:tcPr>
            <w:tcBorders/>
            <w:tcW w:w="6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96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/>
            <w:r/>
          </w:p>
        </w:tc>
        <w:tc>
          <w:tcPr>
            <w:tcBorders/>
            <w:tcW w:w="51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  <w:r/>
          </w:p>
        </w:tc>
        <w:tc>
          <w:tcPr>
            <w:tcBorders/>
            <w:tcW w:w="6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  <w:r/>
          </w:p>
        </w:tc>
        <w:tc>
          <w:tcPr>
            <w:shd w:val="clear" w:color="ffffff" w:fill="c5e0b3" w:themeFill="accent6" w:themeFillTint="66"/>
            <w:tcBorders/>
            <w:tcW w:w="1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ffffff" w:fill="fbe4d5" w:themeFill="accent2" w:themeFillTint="33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77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2328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2026-01-14T08:51:50Z</dcterms:modified>
</cp:coreProperties>
</file>