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b/>
          <w:bCs/>
          <w:color w:val="1F4E79"/>
          <w:sz w:val="64"/>
          <w:szCs w:val="64"/>
        </w:rPr>
        <w:t xml:space="preserve">BoeIoT</w:t>
      </w:r>
    </w:p>
    <w:p>
      <w:pPr>
        <w:spacing w:after="120"/>
        <w:jc w:val="center"/>
      </w:pPr>
      <w:r>
        <w:rPr>
          <w:b/>
          <w:bCs/>
          <w:color w:val="1F4E79"/>
          <w:sz w:val="36"/>
          <w:szCs w:val="36"/>
        </w:rPr>
        <w:t xml:space="preserve">Documento de Gobierno de Datos</w:t>
      </w:r>
    </w:p>
    <w:p>
      <w:pPr>
        <w:spacing w:after="600"/>
        <w:jc w:val="center"/>
      </w:pPr>
      <w:r>
        <w:rPr>
          <w:i/>
          <w:iCs/>
          <w:color w:val="595959"/>
          <w:sz w:val="28"/>
          <w:szCs w:val="28"/>
        </w:rPr>
        <w:t xml:space="preserve">Transformación Digital en Boeing — Línea 737 MAX</w:t>
      </w:r>
    </w:p>
    <w:p>
      <w:pPr>
        <w:spacing w:after="80"/>
        <w:jc w:val="center"/>
      </w:pPr>
      <w:r>
        <w:rPr>
          <w:sz w:val="22"/>
          <w:szCs w:val="22"/>
        </w:rPr>
        <w:t xml:space="preserve">Equipo: Miguel Legarda · Santiago Mendoza · Roy</w:t>
      </w:r>
    </w:p>
    <w:p>
      <w:pPr>
        <w:spacing w:after="80"/>
        <w:jc w:val="center"/>
      </w:pPr>
      <w:r>
        <w:rPr>
          <w:sz w:val="22"/>
          <w:szCs w:val="22"/>
        </w:rPr>
        <w:t xml:space="preserve">Universidad Pontificia Bolivariana — 2026-1</w:t>
      </w:r>
    </w:p>
    <w:p>
      <w:pPr>
        <w:spacing w:after="600"/>
        <w:jc w:val="center"/>
      </w:pPr>
      <w:r>
        <w:rPr>
          <w:sz w:val="22"/>
          <w:szCs w:val="22"/>
        </w:rPr>
        <w:t xml:space="preserve">Mayo 2026 — Avance documentado</w:t>
      </w:r>
    </w:p>
    <w:p>
      <w:r>
        <w:br/>
        <w:t xml:space="preserve"/>
      </w:r>
    </w:p>
    <w:p>
      <w:pPr>
        <w:pStyle w:val="Heading1"/>
        <w:spacing w:after="180" w:before="360"/>
      </w:pPr>
      <w:r>
        <w:t xml:space="preserve">1. Contexto y propósito del documento</w:t>
      </w:r>
    </w:p>
    <w:p>
      <w:pPr>
        <w:spacing w:after="120" w:before="60" w:line="320"/>
        <w:jc w:val="both"/>
      </w:pPr>
      <w:r>
        <w:t xml:space="preserve">BoeIoT es la iniciativa de transformación digital propuesta para responder a la crisis de calidad y seguridad de la línea 737 MAX. La estrategia, ya definida en entregas anteriores, se sostiene sobre tres pilares: sensores IoT en herramientas de ensamblaje, una arquitectura lakehouse Bronze/Silver/Gold sobre AWS, y modelos predictivos que anticipen fallas humanas y mecánicas. Toda esa cadena solo funciona si los datos que la alimentan son confiables, auditables y manejados bajo reglas claras.</w:t>
      </w:r>
    </w:p>
    <w:p>
      <w:pPr>
        <w:spacing w:after="120" w:before="60" w:line="320"/>
        <w:jc w:val="both"/>
      </w:pPr>
      <w:r>
        <w:t xml:space="preserve">Este documento define el marco de gobierno de datos del proyecto: quién es dueño de cada dominio, qué calidad mínima debe garantizarse en cada capa, cómo se clasifican y protegen los datos sensibles, qué obligaciones regulatorias aplican (FAA, EASA, GDPR cuando hay datos de operarios europeos), y bajo qué proceso se aprueba un cambio que afecte el flujo. La aspiración es que el equipo del Data Office pueda apuntar a este documento como contrato vinculante para cualquier decisión sobre el dato.</w:t>
      </w:r>
    </w:p>
    <w:p>
      <w:pPr>
        <w:spacing w:after="120" w:before="60" w:line="320"/>
        <w:jc w:val="both"/>
      </w:pPr>
      <w:r>
        <w:t xml:space="preserve">El alcance es la totalidad del flujo BoeIoT actualmente implementado en el repositorio: la ingesta cruda en la capa Bronze (telemetría a 1 Hz de 23 sensores), las transformaciones a Silver (limpieza, normalización, deduplicación), y la generación de features y KPIs en Gold para alimentar tanto los dashboards ejecutivos como los modelos de mantenimiento predictivo.</w:t>
      </w:r>
    </w:p>
    <w:p>
      <w:pPr>
        <w:pStyle w:val="Heading1"/>
        <w:spacing w:after="180" w:before="360"/>
      </w:pPr>
      <w:r>
        <w:t xml:space="preserve">2. Marco de referencia</w:t>
      </w:r>
    </w:p>
    <w:p>
      <w:pPr>
        <w:spacing w:after="120" w:before="60" w:line="320"/>
        <w:jc w:val="both"/>
      </w:pPr>
      <w:r>
        <w:t xml:space="preserve">El gobierno de datos de BoeIoT se ancla en estándares reconocidos en lugar de construir reglas ad-hoc. La base teórica es DAMA-DMBOK, que define las once áreas de conocimiento del gobierno de datos (arquitectura, calidad, metadatos, seguridad, etc.). Sobre esa base se incorporan elementos específicos del dominio aeroespacial y de la operación en la nube.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D5E8F0" w:val="clear"/>
            <w:tcMar>
              <w:top w:type="dxa" w:w="120"/>
              <w:left w:type="dxa" w:w="140"/>
              <w:bottom w:type="dxa" w:w="120"/>
              <w:right w:type="dxa" w:w="140"/>
            </w:tcMar>
          </w:tcPr>
          <w:p>
            <w:r>
              <w:rPr>
                <w:b/>
                <w:bCs/>
                <w:color w:val="1F4E79"/>
              </w:rPr>
              <w:t xml:space="preserve">Estándar / Marco</w:t>
            </w:r>
          </w:p>
        </w:tc>
        <w:tc>
          <w:tcPr>
            <w:tcW w:type="dxa" w:w="6960"/>
            <w:tcBorders>
              <w:top w:val="single" w:color="B0B0B0" w:sz="4"/>
              <w:left w:val="single" w:color="B0B0B0" w:sz="4"/>
              <w:bottom w:val="single" w:color="B0B0B0" w:sz="4"/>
              <w:right w:val="single" w:color="B0B0B0" w:sz="4"/>
            </w:tcBorders>
            <w:shd w:fill="D5E8F0" w:val="clear"/>
            <w:tcMar>
              <w:top w:type="dxa" w:w="120"/>
              <w:left w:type="dxa" w:w="140"/>
              <w:bottom w:type="dxa" w:w="120"/>
              <w:right w:type="dxa" w:w="140"/>
            </w:tcMar>
          </w:tcPr>
          <w:p>
            <w:r>
              <w:rPr>
                <w:b/>
                <w:bCs/>
                <w:color w:val="1F4E79"/>
              </w:rPr>
              <w:t xml:space="preserve">Aporte a BoeIoT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DAMA-DMBOK 2</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Define los roles, procesos y áreas de conocimiento. Base estructural del documento.</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ISO/IEC 38505</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Gobernanza corporativa del dato: alinea la dirección de la organización con el uso responsable y el valor de negocio del dato.</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ISO/IEC 27001</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Sistema de Gestión de Seguridad de la Información. Marco para la protección de los datos en tránsito y en reposo.</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GDPR (UE) — Reg. 2016/679</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Aplica para los datos de operarios y técnicos que sean ciudadanos europeos (plantas Boeing en Italia, Reino Unido). Obliga a tratamiento legítimo, minimización y derecho al olvido.</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FAA 14 CFR Part 21 / EASA Part 21</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Regulación aeronáutica de producción. Exige trazabilidad inmutable de cada operación de ensamblaje sobre componentes críticos: los datos del IoT pasan de ser un activo analítico a un activo regulatorio.</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NIST SP 800-53</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Catálogo de controles de seguridad para sistemas federales — relevante porque la FAA es una agencia federal estadounidense.</w:t>
            </w:r>
          </w:p>
        </w:tc>
      </w:tr>
    </w:tbl>
    <w:p>
      <w:pPr>
        <w:pStyle w:val="Heading1"/>
        <w:spacing w:after="180" w:before="360"/>
      </w:pPr>
      <w:r>
        <w:t xml:space="preserve">3. Principios del gobierno de datos en BoeIoT</w:t>
      </w:r>
    </w:p>
    <w:p>
      <w:pPr>
        <w:spacing w:after="120" w:before="60" w:line="320"/>
        <w:jc w:val="both"/>
      </w:pPr>
      <w:r>
        <w:t xml:space="preserve">Los siguientes principios son innegociables y deben usarse como criterio de desempate cuando dos decisiones técnicas entren en conflicto:</w:t>
      </w:r>
    </w:p>
    <w:p>
      <w:pPr>
        <w:pStyle w:val="ListParagraph"/>
        <w:numPr>
          <w:ilvl w:val="0"/>
          <w:numId w:val="2"/>
        </w:numPr>
        <w:spacing w:after="80" w:before="40" w:line="300"/>
        <w:jc w:val="both"/>
      </w:pPr>
      <w:r>
        <w:rPr>
          <w:b/>
          <w:bCs/>
        </w:rPr>
        <w:t xml:space="preserve">Trazabilidad ante todo. </w:t>
      </w:r>
      <w:r>
        <w:t xml:space="preserve">Cada dato que entra al sistema debe poder rastrearse hasta el sensor físico y el operario asociado al turno. Si no es trazable, no entra a producción. Esto convierte la trazabilidad regulatoria en ventaja competitiva frente a Airbus.</w:t>
      </w:r>
    </w:p>
    <w:p>
      <w:pPr>
        <w:pStyle w:val="ListParagraph"/>
        <w:numPr>
          <w:ilvl w:val="0"/>
          <w:numId w:val="2"/>
        </w:numPr>
        <w:spacing w:after="80" w:before="40" w:line="300"/>
        <w:jc w:val="both"/>
      </w:pPr>
      <w:r>
        <w:rPr>
          <w:b/>
          <w:bCs/>
        </w:rPr>
        <w:t xml:space="preserve">El dato es un activo, no un subproducto. </w:t>
      </w:r>
      <w:r>
        <w:t xml:space="preserve">Cada conjunto tiene un dueño con responsabilidad sobre su calidad y disponibilidad. No se aceptan datos huérfanos en el data lake.</w:t>
      </w:r>
    </w:p>
    <w:p>
      <w:pPr>
        <w:pStyle w:val="ListParagraph"/>
        <w:numPr>
          <w:ilvl w:val="0"/>
          <w:numId w:val="2"/>
        </w:numPr>
        <w:spacing w:after="80" w:before="40" w:line="300"/>
        <w:jc w:val="both"/>
      </w:pPr>
      <w:r>
        <w:rPr>
          <w:b/>
          <w:bCs/>
        </w:rPr>
        <w:t xml:space="preserve">Calidad medible. </w:t>
      </w:r>
      <w:r>
        <w:t xml:space="preserve">La calidad no es una opinión: se cuantifica con métricas (completitud, validez, oportunidad) que se monitorean automáticamente y se reportan al comité de gobierno.</w:t>
      </w:r>
    </w:p>
    <w:p>
      <w:pPr>
        <w:pStyle w:val="ListParagraph"/>
        <w:numPr>
          <w:ilvl w:val="0"/>
          <w:numId w:val="2"/>
        </w:numPr>
        <w:spacing w:after="80" w:before="40" w:line="300"/>
        <w:jc w:val="both"/>
      </w:pPr>
      <w:r>
        <w:rPr>
          <w:b/>
          <w:bCs/>
        </w:rPr>
        <w:t xml:space="preserve">Minimización y proporcionalidad. </w:t>
      </w:r>
      <w:r>
        <w:t xml:space="preserve">No se recolecta dato personal del operario que no sea estrictamente necesario para el caso de uso aprobado. El dato sensible que sí se necesita se anonimiza o se seudonimiza tan temprano como sea posible en el pipeline.</w:t>
      </w:r>
    </w:p>
    <w:p>
      <w:pPr>
        <w:pStyle w:val="ListParagraph"/>
        <w:numPr>
          <w:ilvl w:val="0"/>
          <w:numId w:val="2"/>
        </w:numPr>
        <w:spacing w:after="80" w:before="40" w:line="300"/>
        <w:jc w:val="both"/>
      </w:pPr>
      <w:r>
        <w:rPr>
          <w:b/>
          <w:bCs/>
        </w:rPr>
        <w:t xml:space="preserve">Auditabilidad por diseño. </w:t>
      </w:r>
      <w:r>
        <w:t xml:space="preserve">Toda transformación deja huella. La FAA o un auditor interno deben poder reproducir cualquier número del dashboard ejecutivo a partir de los datos crudos sin pedir ayuda al equipo de ingeniería.</w:t>
      </w:r>
    </w:p>
    <w:p>
      <w:pPr>
        <w:pStyle w:val="ListParagraph"/>
        <w:numPr>
          <w:ilvl w:val="0"/>
          <w:numId w:val="2"/>
        </w:numPr>
        <w:spacing w:after="80" w:before="40" w:line="300"/>
        <w:jc w:val="both"/>
      </w:pPr>
      <w:r>
        <w:rPr>
          <w:b/>
          <w:bCs/>
        </w:rPr>
        <w:t xml:space="preserve">Cambios bajo control. </w:t>
      </w:r>
      <w:r>
        <w:t xml:space="preserve">Cualquier modificación del esquema, del pipeline o de los modelos pasa por el proceso de cambio descrito en la sección 9. No hay parches en producción sin trazabilidad de quién, cuándo y por qué.</w:t>
      </w:r>
    </w:p>
    <w:p>
      <w:pPr>
        <w:pStyle w:val="Heading1"/>
        <w:spacing w:after="180" w:before="360"/>
      </w:pPr>
      <w:r>
        <w:t xml:space="preserve">4. Modelo de gobierno: roles y responsabilidades</w:t>
      </w:r>
    </w:p>
    <w:p>
      <w:pPr>
        <w:spacing w:after="120" w:before="60" w:line="320"/>
        <w:jc w:val="both"/>
      </w:pPr>
      <w:r>
        <w:t xml:space="preserve">BoeIoT adopta un modelo de gobierno federado. La razón es operativa: una planta de ensamblaje genera dominios de datos muy distintos (calidad, mantenimiento, recursos humanos, telemetría de motor), cada uno con sus expertos. Centralizar todas las decisiones en un único comité crearía un cuello de botella inviable. Distribuir el ownership por dominio con un comité central que solo define las políticas transversales escala mucho mejor.</w:t>
      </w:r>
    </w:p>
    <w:p>
      <w:pPr>
        <w:pStyle w:val="Heading2"/>
        <w:spacing w:after="140" w:before="280"/>
      </w:pPr>
      <w:r>
        <w:t xml:space="preserve">4.1 Roles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4"/>
              <w:left w:val="single" w:color="B0B0B0" w:sz="4"/>
              <w:bottom w:val="single" w:color="B0B0B0" w:sz="4"/>
              <w:right w:val="single" w:color="B0B0B0" w:sz="4"/>
            </w:tcBorders>
            <w:shd w:fill="D5E8F0" w:val="clear"/>
            <w:tcMar>
              <w:top w:type="dxa" w:w="120"/>
              <w:left w:type="dxa" w:w="140"/>
              <w:bottom w:type="dxa" w:w="120"/>
              <w:right w:type="dxa" w:w="140"/>
            </w:tcMar>
          </w:tcPr>
          <w:p>
            <w:r>
              <w:rPr>
                <w:b/>
                <w:bCs/>
                <w:color w:val="1F4E79"/>
              </w:rPr>
              <w:t xml:space="preserve">Rol</w:t>
            </w:r>
          </w:p>
        </w:tc>
        <w:tc>
          <w:tcPr>
            <w:tcW w:type="dxa" w:w="6560"/>
            <w:tcBorders>
              <w:top w:val="single" w:color="B0B0B0" w:sz="4"/>
              <w:left w:val="single" w:color="B0B0B0" w:sz="4"/>
              <w:bottom w:val="single" w:color="B0B0B0" w:sz="4"/>
              <w:right w:val="single" w:color="B0B0B0" w:sz="4"/>
            </w:tcBorders>
            <w:shd w:fill="D5E8F0" w:val="clear"/>
            <w:tcMar>
              <w:top w:type="dxa" w:w="120"/>
              <w:left w:type="dxa" w:w="140"/>
              <w:bottom w:type="dxa" w:w="120"/>
              <w:right w:type="dxa" w:w="140"/>
            </w:tcMar>
          </w:tcPr>
          <w:p>
            <w:r>
              <w:rPr>
                <w:b/>
                <w:bCs/>
                <w:color w:val="1F4E79"/>
              </w:rPr>
              <w:t xml:space="preserve">Responsabilidad</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Chief Data Officer (CDO)</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Lidera el Data Office y preside el Comité de Gobierno. Rinde cuentas directamente al CTO o COO de Boeing. Aprueba políticas y arbitra conflictos entre dominios.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Data Owner</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Responsable de negocio del dominio (ej. Director de Calidad para los datos de defectos, Director de Mantenimiento para la telemetría). Define qué datos se necesitan y para qué. Aprueba accesos.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Data Steward</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Brazo operativo del Data Owner. Mantiene el diccionario de datos del dominio, valida la calidad, gestiona incidentes y atiende solicitudes de acceso.</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Data Engineer</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Implementa los pipelines (Bronze/Silver/Gold), aplica las reglas de calidad acordadas, mantiene la infraestructura. En el repositorio actual, son los responsables de los scripts en src/scripts/.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Data Scientist / ML Engineer</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Consume la capa Gold para construir modelos predictivos. Documenta supuestos, features y métricas de cada modelo en el registro de modelos.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Data Protection Officer (DPO)</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Rol obligatorio bajo GDPR. Vigila el cumplimiento normativo, atiende solicitudes de los titulares y es el punto de contacto con autoridades de protección de datos.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Auditor de Cumplimiento (FAA/EASA)</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Verifica que la trazabilidad inmutable cumple con los requisitos de Part 21. Tiene acceso de solo lectura permanente a los logs de auditoría.</w:t>
            </w:r>
          </w:p>
        </w:tc>
      </w:tr>
    </w:tbl>
    <w:p>
      <w:pPr>
        <w:pStyle w:val="Heading2"/>
        <w:spacing w:after="140" w:before="280"/>
      </w:pPr>
      <w:r>
        <w:t xml:space="preserve">4.2 Comité de Gobierno de Datos</w:t>
      </w:r>
    </w:p>
    <w:p>
      <w:pPr>
        <w:spacing w:after="120" w:before="60" w:line="320"/>
        <w:jc w:val="both"/>
      </w:pPr>
      <w:r>
        <w:t xml:space="preserve">El Comité se reúne mensualmente y está compuesto por el CDO (preside), los Data Owners de los dominios involucrados, el DPO, un representante de Seguridad de la Información y un representante de Operaciones de Planta. Sus funciones son aprobar políticas, revisar los indicadores de calidad del trimestre, validar cambios de alto impacto y resolver conflictos entre dominios que el día a día no haya podido resolver.</w:t>
      </w:r>
    </w:p>
    <w:p>
      <w:pPr>
        <w:pStyle w:val="Heading1"/>
        <w:spacing w:after="180" w:before="360"/>
      </w:pPr>
      <w:r>
        <w:t xml:space="preserve">5. Inventario y clasificación de dominios de datos</w:t>
      </w:r>
    </w:p>
    <w:p>
      <w:pPr>
        <w:spacing w:after="120" w:before="60" w:line="320"/>
        <w:jc w:val="both"/>
      </w:pPr>
      <w:r>
        <w:t xml:space="preserve">Cada dominio de datos del proyecto recibe una clasificación de sensibilidad que determina los controles de acceso, retención y enmascaramiento que aplican. Se usa una escala de cuatro niveles alineada con buenas prácticas de la industria.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1960"/>
      </w:tblGrid>
      <w:tr>
        <w:tc>
          <w:tcPr>
            <w:tcW w:type="dxa" w:w="1800"/>
            <w:tcBorders>
              <w:top w:val="single" w:color="B0B0B0" w:sz="4"/>
              <w:left w:val="single" w:color="B0B0B0" w:sz="4"/>
              <w:bottom w:val="single" w:color="B0B0B0" w:sz="4"/>
              <w:right w:val="single" w:color="B0B0B0" w:sz="4"/>
            </w:tcBorders>
            <w:shd w:fill="D5E8F0" w:val="clear"/>
            <w:tcMar>
              <w:top w:type="dxa" w:w="120"/>
              <w:left w:type="dxa" w:w="140"/>
              <w:bottom w:type="dxa" w:w="120"/>
              <w:right w:type="dxa" w:w="140"/>
            </w:tcMar>
          </w:tcPr>
          <w:p>
            <w:r>
              <w:rPr>
                <w:b/>
                <w:bCs/>
                <w:color w:val="1F4E79"/>
              </w:rPr>
              <w:t xml:space="preserve">Dominio</w:t>
            </w:r>
          </w:p>
        </w:tc>
        <w:tc>
          <w:tcPr>
            <w:tcW w:type="dxa" w:w="1400"/>
            <w:tcBorders>
              <w:top w:val="single" w:color="B0B0B0" w:sz="4"/>
              <w:left w:val="single" w:color="B0B0B0" w:sz="4"/>
              <w:bottom w:val="single" w:color="B0B0B0" w:sz="4"/>
              <w:right w:val="single" w:color="B0B0B0" w:sz="4"/>
            </w:tcBorders>
            <w:shd w:fill="D5E8F0" w:val="clear"/>
            <w:tcMar>
              <w:top w:type="dxa" w:w="120"/>
              <w:left w:type="dxa" w:w="140"/>
              <w:bottom w:type="dxa" w:w="120"/>
              <w:right w:type="dxa" w:w="140"/>
            </w:tcMar>
          </w:tcPr>
          <w:p>
            <w:r>
              <w:rPr>
                <w:b/>
                <w:bCs/>
                <w:color w:val="1F4E79"/>
              </w:rPr>
              <w:t xml:space="preserve">Fuente</w:t>
            </w:r>
          </w:p>
        </w:tc>
        <w:tc>
          <w:tcPr>
            <w:tcW w:type="dxa" w:w="1400"/>
            <w:tcBorders>
              <w:top w:val="single" w:color="B0B0B0" w:sz="4"/>
              <w:left w:val="single" w:color="B0B0B0" w:sz="4"/>
              <w:bottom w:val="single" w:color="B0B0B0" w:sz="4"/>
              <w:right w:val="single" w:color="B0B0B0" w:sz="4"/>
            </w:tcBorders>
            <w:shd w:fill="D5E8F0" w:val="clear"/>
            <w:tcMar>
              <w:top w:type="dxa" w:w="120"/>
              <w:left w:type="dxa" w:w="140"/>
              <w:bottom w:type="dxa" w:w="120"/>
              <w:right w:type="dxa" w:w="140"/>
            </w:tcMar>
          </w:tcPr>
          <w:p>
            <w:r>
              <w:rPr>
                <w:b/>
                <w:bCs/>
                <w:color w:val="1F4E79"/>
              </w:rPr>
              <w:t xml:space="preserve">Volumen est.</w:t>
            </w:r>
          </w:p>
        </w:tc>
        <w:tc>
          <w:tcPr>
            <w:tcW w:type="dxa" w:w="1400"/>
            <w:tcBorders>
              <w:top w:val="single" w:color="B0B0B0" w:sz="4"/>
              <w:left w:val="single" w:color="B0B0B0" w:sz="4"/>
              <w:bottom w:val="single" w:color="B0B0B0" w:sz="4"/>
              <w:right w:val="single" w:color="B0B0B0" w:sz="4"/>
            </w:tcBorders>
            <w:shd w:fill="D5E8F0" w:val="clear"/>
            <w:tcMar>
              <w:top w:type="dxa" w:w="120"/>
              <w:left w:type="dxa" w:w="140"/>
              <w:bottom w:type="dxa" w:w="120"/>
              <w:right w:type="dxa" w:w="140"/>
            </w:tcMar>
          </w:tcPr>
          <w:p>
            <w:r>
              <w:rPr>
                <w:b/>
                <w:bCs/>
                <w:color w:val="1F4E79"/>
              </w:rPr>
              <w:t xml:space="preserve">Sensibilidad</w:t>
            </w:r>
          </w:p>
        </w:tc>
        <w:tc>
          <w:tcPr>
            <w:tcW w:type="dxa" w:w="1400"/>
            <w:tcBorders>
              <w:top w:val="single" w:color="B0B0B0" w:sz="4"/>
              <w:left w:val="single" w:color="B0B0B0" w:sz="4"/>
              <w:bottom w:val="single" w:color="B0B0B0" w:sz="4"/>
              <w:right w:val="single" w:color="B0B0B0" w:sz="4"/>
            </w:tcBorders>
            <w:shd w:fill="D5E8F0" w:val="clear"/>
            <w:tcMar>
              <w:top w:type="dxa" w:w="120"/>
              <w:left w:type="dxa" w:w="140"/>
              <w:bottom w:type="dxa" w:w="120"/>
              <w:right w:type="dxa" w:w="140"/>
            </w:tcMar>
          </w:tcPr>
          <w:p>
            <w:r>
              <w:rPr>
                <w:b/>
                <w:bCs/>
                <w:color w:val="1F4E79"/>
              </w:rPr>
              <w:t xml:space="preserve">Owner</w:t>
            </w:r>
          </w:p>
        </w:tc>
        <w:tc>
          <w:tcPr>
            <w:tcW w:type="dxa" w:w="1960"/>
            <w:tcBorders>
              <w:top w:val="single" w:color="B0B0B0" w:sz="4"/>
              <w:left w:val="single" w:color="B0B0B0" w:sz="4"/>
              <w:bottom w:val="single" w:color="B0B0B0" w:sz="4"/>
              <w:right w:val="single" w:color="B0B0B0" w:sz="4"/>
            </w:tcBorders>
            <w:shd w:fill="D5E8F0" w:val="clear"/>
            <w:tcMar>
              <w:top w:type="dxa" w:w="120"/>
              <w:left w:type="dxa" w:w="140"/>
              <w:bottom w:type="dxa" w:w="120"/>
              <w:right w:type="dxa" w:w="140"/>
            </w:tcMar>
          </w:tcPr>
          <w:p>
            <w:r>
              <w:rPr>
                <w:b/>
                <w:bCs/>
                <w:color w:val="1F4E79"/>
              </w:rPr>
              <w:t xml:space="preserve">Marco aplicable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Telemetría de motor (23 sensores)</w:t>
            </w:r>
          </w:p>
        </w:tc>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Sensores IoT 1 Hz</w:t>
            </w:r>
          </w:p>
        </w:tc>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~80 MB / vuelo</w:t>
            </w:r>
          </w:p>
        </w:tc>
        <w:tc>
          <w:tcPr>
            <w:tcW w:type="dxa" w:w="1400"/>
            <w:tcBorders>
              <w:top w:val="single" w:color="B0B0B0" w:sz="4"/>
              <w:left w:val="single" w:color="B0B0B0" w:sz="4"/>
              <w:bottom w:val="single" w:color="B0B0B0" w:sz="4"/>
              <w:right w:val="single" w:color="B0B0B0" w:sz="4"/>
            </w:tcBorders>
            <w:shd w:fill="E8F5E8" w:val="clear"/>
            <w:tcMar>
              <w:top w:type="dxa" w:w="100"/>
              <w:left w:type="dxa" w:w="140"/>
              <w:bottom w:type="dxa" w:w="100"/>
              <w:right w:type="dxa" w:w="140"/>
            </w:tcMar>
          </w:tcPr>
          <w:p>
            <w:r>
              <w:t xml:space="preserve">Interno</w:t>
            </w:r>
          </w:p>
        </w:tc>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Dir. Mantenimiento</w:t>
            </w:r>
          </w:p>
        </w:tc>
        <w:tc>
          <w:tcPr>
            <w:tcW w:type="dxa" w:w="1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FAA Part 21</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Eventos de defecto / no calidad</w:t>
            </w:r>
          </w:p>
        </w:tc>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Sistema de calidad</w:t>
            </w:r>
          </w:p>
        </w:tc>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~50 eventos/día</w:t>
            </w:r>
          </w:p>
        </w:tc>
        <w:tc>
          <w:tcPr>
            <w:tcW w:type="dxa" w:w="1400"/>
            <w:tcBorders>
              <w:top w:val="single" w:color="B0B0B0" w:sz="4"/>
              <w:left w:val="single" w:color="B0B0B0" w:sz="4"/>
              <w:bottom w:val="single" w:color="B0B0B0" w:sz="4"/>
              <w:right w:val="single" w:color="B0B0B0" w:sz="4"/>
            </w:tcBorders>
            <w:shd w:fill="FFF4E1" w:val="clear"/>
            <w:tcMar>
              <w:top w:type="dxa" w:w="100"/>
              <w:left w:type="dxa" w:w="140"/>
              <w:bottom w:type="dxa" w:w="100"/>
              <w:right w:type="dxa" w:w="140"/>
            </w:tcMar>
          </w:tcPr>
          <w:p>
            <w:r>
              <w:t xml:space="preserve">Confidencial</w:t>
            </w:r>
          </w:p>
        </w:tc>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Dir. Calidad</w:t>
            </w:r>
          </w:p>
        </w:tc>
        <w:tc>
          <w:tcPr>
            <w:tcW w:type="dxa" w:w="1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FAA Part 21, ISO 9001</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Identidad del operario en turno</w:t>
            </w:r>
          </w:p>
        </w:tc>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HRIS + escáner badge</w:t>
            </w:r>
          </w:p>
        </w:tc>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~3 K registros/día</w:t>
            </w:r>
          </w:p>
        </w:tc>
        <w:tc>
          <w:tcPr>
            <w:tcW w:type="dxa" w:w="1400"/>
            <w:tcBorders>
              <w:top w:val="single" w:color="B0B0B0" w:sz="4"/>
              <w:left w:val="single" w:color="B0B0B0" w:sz="4"/>
              <w:bottom w:val="single" w:color="B0B0B0" w:sz="4"/>
              <w:right w:val="single" w:color="B0B0B0" w:sz="4"/>
            </w:tcBorders>
            <w:shd w:fill="FCE4E4" w:val="clear"/>
            <w:tcMar>
              <w:top w:type="dxa" w:w="100"/>
              <w:left w:type="dxa" w:w="140"/>
              <w:bottom w:type="dxa" w:w="100"/>
              <w:right w:type="dxa" w:w="140"/>
            </w:tcMar>
          </w:tcPr>
          <w:p>
            <w:r>
              <w:t xml:space="preserve">Restringido (PII)</w:t>
            </w:r>
          </w:p>
        </w:tc>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Dir. RRHH</w:t>
            </w:r>
          </w:p>
        </w:tc>
        <w:tc>
          <w:tcPr>
            <w:tcW w:type="dxa" w:w="1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GDPR, CCPA, ISO 27001</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Logs de auditoría del pipeline</w:t>
            </w:r>
          </w:p>
        </w:tc>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CloudTrail, Glue</w:t>
            </w:r>
          </w:p>
        </w:tc>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~200 MB/día</w:t>
            </w:r>
          </w:p>
        </w:tc>
        <w:tc>
          <w:tcPr>
            <w:tcW w:type="dxa" w:w="1400"/>
            <w:tcBorders>
              <w:top w:val="single" w:color="B0B0B0" w:sz="4"/>
              <w:left w:val="single" w:color="B0B0B0" w:sz="4"/>
              <w:bottom w:val="single" w:color="B0B0B0" w:sz="4"/>
              <w:right w:val="single" w:color="B0B0B0" w:sz="4"/>
            </w:tcBorders>
            <w:shd w:fill="FFF4E1" w:val="clear"/>
            <w:tcMar>
              <w:top w:type="dxa" w:w="100"/>
              <w:left w:type="dxa" w:w="140"/>
              <w:bottom w:type="dxa" w:w="100"/>
              <w:right w:type="dxa" w:w="140"/>
            </w:tcMar>
          </w:tcPr>
          <w:p>
            <w:r>
              <w:t xml:space="preserve">Confidencial</w:t>
            </w:r>
          </w:p>
        </w:tc>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Data Office</w:t>
            </w:r>
          </w:p>
        </w:tc>
        <w:tc>
          <w:tcPr>
            <w:tcW w:type="dxa" w:w="1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SOC 2, FAA Part 21</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Resultados de modelos ML</w:t>
            </w:r>
          </w:p>
        </w:tc>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SageMaker</w:t>
            </w:r>
          </w:p>
        </w:tc>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~10 MB/día</w:t>
            </w:r>
          </w:p>
        </w:tc>
        <w:tc>
          <w:tcPr>
            <w:tcW w:type="dxa" w:w="1400"/>
            <w:tcBorders>
              <w:top w:val="single" w:color="B0B0B0" w:sz="4"/>
              <w:left w:val="single" w:color="B0B0B0" w:sz="4"/>
              <w:bottom w:val="single" w:color="B0B0B0" w:sz="4"/>
              <w:right w:val="single" w:color="B0B0B0" w:sz="4"/>
            </w:tcBorders>
            <w:shd w:fill="E8F5E8" w:val="clear"/>
            <w:tcMar>
              <w:top w:type="dxa" w:w="100"/>
              <w:left w:type="dxa" w:w="140"/>
              <w:bottom w:type="dxa" w:w="100"/>
              <w:right w:type="dxa" w:w="140"/>
            </w:tcMar>
          </w:tcPr>
          <w:p>
            <w:r>
              <w:t xml:space="preserve">Interno</w:t>
            </w:r>
          </w:p>
        </w:tc>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Data Office</w:t>
            </w:r>
          </w:p>
        </w:tc>
        <w:tc>
          <w:tcPr>
            <w:tcW w:type="dxa" w:w="1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Política interna</w:t>
            </w:r>
          </w:p>
        </w:tc>
      </w:tr>
    </w:tbl>
    <w:p>
      <w:pPr>
        <w:spacing w:after="120" w:before="60" w:line="320"/>
        <w:jc w:val="both"/>
      </w:pPr>
      <w:r>
        <w:t xml:space="preserve">La clasificación se traduce en controles concretos. Por ejemplo, los datos clasificados como Restringido por contener PII se almacenan cifrados en reposo con KMS gestionado por el equipo de Seguridad, no se exportan fuera de la región us-east-1, y se acceden únicamente a través de IAM roles asumidos temporalmente con MFA obligatorio. Para datos Internos, basta con cifrado en tránsito y control de acceso por dominio.</w:t>
      </w:r>
    </w:p>
    <w:p>
      <w:pPr>
        <w:pStyle w:val="Heading1"/>
        <w:spacing w:after="180" w:before="360"/>
      </w:pPr>
      <w:r>
        <w:t xml:space="preserve">6. Calidad de datos: dimensiones, métricas y SLAs</w:t>
      </w:r>
    </w:p>
    <w:p>
      <w:pPr>
        <w:spacing w:after="120" w:before="60" w:line="320"/>
        <w:jc w:val="both"/>
      </w:pPr>
      <w:r>
        <w:t xml:space="preserve">Sin métricas, la calidad es retórica. BoeIoT adopta las seis dimensiones clásicas de DAMA, las traduce a métricas calculables sobre las tablas reales del proyecto, y se compromete con umbrales mínimos (SLAs) que se monitorean automáticamente.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60"/>
        <w:gridCol w:w="2200"/>
        <w:gridCol w:w="2200"/>
      </w:tblGrid>
      <w:tr>
        <w:tc>
          <w:tcPr>
            <w:tcW w:type="dxa" w:w="1800"/>
            <w:tcBorders>
              <w:top w:val="single" w:color="B0B0B0" w:sz="4"/>
              <w:left w:val="single" w:color="B0B0B0" w:sz="4"/>
              <w:bottom w:val="single" w:color="B0B0B0" w:sz="4"/>
              <w:right w:val="single" w:color="B0B0B0" w:sz="4"/>
            </w:tcBorders>
            <w:shd w:fill="D5E8F0" w:val="clear"/>
            <w:tcMar>
              <w:top w:type="dxa" w:w="120"/>
              <w:left w:type="dxa" w:w="140"/>
              <w:bottom w:type="dxa" w:w="120"/>
              <w:right w:type="dxa" w:w="140"/>
            </w:tcMar>
          </w:tcPr>
          <w:p>
            <w:r>
              <w:rPr>
                <w:b/>
                <w:bCs/>
                <w:color w:val="1F4E79"/>
              </w:rPr>
              <w:t xml:space="preserve">Dimensión</w:t>
            </w:r>
          </w:p>
        </w:tc>
        <w:tc>
          <w:tcPr>
            <w:tcW w:type="dxa" w:w="3160"/>
            <w:tcBorders>
              <w:top w:val="single" w:color="B0B0B0" w:sz="4"/>
              <w:left w:val="single" w:color="B0B0B0" w:sz="4"/>
              <w:bottom w:val="single" w:color="B0B0B0" w:sz="4"/>
              <w:right w:val="single" w:color="B0B0B0" w:sz="4"/>
            </w:tcBorders>
            <w:shd w:fill="D5E8F0" w:val="clear"/>
            <w:tcMar>
              <w:top w:type="dxa" w:w="120"/>
              <w:left w:type="dxa" w:w="140"/>
              <w:bottom w:type="dxa" w:w="120"/>
              <w:right w:type="dxa" w:w="140"/>
            </w:tcMar>
          </w:tcPr>
          <w:p>
            <w:r>
              <w:rPr>
                <w:b/>
                <w:bCs/>
                <w:color w:val="1F4E79"/>
              </w:rPr>
              <w:t xml:space="preserve">Definición</w:t>
            </w:r>
          </w:p>
        </w:tc>
        <w:tc>
          <w:tcPr>
            <w:tcW w:type="dxa" w:w="2200"/>
            <w:tcBorders>
              <w:top w:val="single" w:color="B0B0B0" w:sz="4"/>
              <w:left w:val="single" w:color="B0B0B0" w:sz="4"/>
              <w:bottom w:val="single" w:color="B0B0B0" w:sz="4"/>
              <w:right w:val="single" w:color="B0B0B0" w:sz="4"/>
            </w:tcBorders>
            <w:shd w:fill="D5E8F0" w:val="clear"/>
            <w:tcMar>
              <w:top w:type="dxa" w:w="120"/>
              <w:left w:type="dxa" w:w="140"/>
              <w:bottom w:type="dxa" w:w="120"/>
              <w:right w:type="dxa" w:w="140"/>
            </w:tcMar>
          </w:tcPr>
          <w:p>
            <w:r>
              <w:rPr>
                <w:b/>
                <w:bCs/>
                <w:color w:val="1F4E79"/>
              </w:rPr>
              <w:t xml:space="preserve">Métrica en BoeIoT</w:t>
            </w:r>
          </w:p>
        </w:tc>
        <w:tc>
          <w:tcPr>
            <w:tcW w:type="dxa" w:w="2200"/>
            <w:tcBorders>
              <w:top w:val="single" w:color="B0B0B0" w:sz="4"/>
              <w:left w:val="single" w:color="B0B0B0" w:sz="4"/>
              <w:bottom w:val="single" w:color="B0B0B0" w:sz="4"/>
              <w:right w:val="single" w:color="B0B0B0" w:sz="4"/>
            </w:tcBorders>
            <w:shd w:fill="D5E8F0" w:val="clear"/>
            <w:tcMar>
              <w:top w:type="dxa" w:w="120"/>
              <w:left w:type="dxa" w:w="140"/>
              <w:bottom w:type="dxa" w:w="120"/>
              <w:right w:type="dxa" w:w="140"/>
            </w:tcMar>
          </w:tcPr>
          <w:p>
            <w:r>
              <w:rPr>
                <w:b/>
                <w:bCs/>
                <w:color w:val="1F4E79"/>
              </w:rPr>
              <w:t xml:space="preserve">SLA mínimo</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Completitud</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Proporción de registros donde los campos obligatorios tienen valor.</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 de filas sin nulos por sensor (consultado tras la carga Bronze).</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 99 % en Silver; &gt; 95 % en Bronze.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Validez</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Los valores están dentro de los rangos físicamente plausibles.</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 de lecturas dentro de [min, max] documentado por sensor.</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 99,5 % en Silver.</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Unicidad</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No hay duplicados en las claves naturales.</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Conteo de (flight_id, timestamp) duplicados.</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0 duplicados en Silver.</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Consistencia</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Las relaciones entre campos se mantienen.</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Validaciones cruzadas (ej. si AltMSL &gt; 5 K ft, IAS &gt; 60 nudos).</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 99 % de filas que pasan las reglas cruzadas.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Oportunidad</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El dato está disponible dentro del plazo esperado.</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Latencia entre evento físico y disponibilidad en Silver.</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&lt; 15 minutos en hot path; &lt; 4 horas en batch.</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Precisión</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El valor almacenado refleja la realidad medida.</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Calibración periódica de sensores vs. medición patrón.</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Desviación &lt; 2 % vs. patrón en pruebas trimestrales.</w:t>
            </w:r>
          </w:p>
        </w:tc>
      </w:tr>
    </w:tbl>
    <w:p>
      <w:pPr>
        <w:pStyle w:val="Heading2"/>
        <w:spacing w:after="140" w:before="280"/>
      </w:pPr>
      <w:r>
        <w:t xml:space="preserve">6.1 Hallazgos del EDA y compromisos derivados</w:t>
      </w:r>
    </w:p>
    <w:p>
      <w:pPr>
        <w:spacing w:after="120" w:before="60" w:line="320"/>
        <w:jc w:val="both"/>
      </w:pPr>
      <w:r>
        <w:t xml:space="preserve">El análisis exploratorio realizado sobre la muestra de 50 vuelos del dataset NGAFID confirmó tres problemas de calidad que ya están en el radar del Data Office y se atacan así:</w:t>
      </w:r>
    </w:p>
    <w:p>
      <w:pPr>
        <w:pStyle w:val="ListParagraph"/>
        <w:numPr>
          <w:ilvl w:val="0"/>
          <w:numId w:val="2"/>
        </w:numPr>
        <w:spacing w:after="80" w:before="40" w:line="300"/>
        <w:jc w:val="both"/>
      </w:pPr>
      <w:r>
        <w:rPr>
          <w:b/>
          <w:bCs/>
        </w:rPr>
        <w:t xml:space="preserve">Nulos uniformes ~0,5 % por sensor: </w:t>
      </w:r>
      <w:r>
        <w:t xml:space="preserve">el ETL actual los elimina con dropna(). Acción: migrar a imputación por interpolación temporal antes de pasar a modelos secuenciales, para no destruir contexto temporal.</w:t>
      </w:r>
    </w:p>
    <w:p>
      <w:pPr>
        <w:pStyle w:val="ListParagraph"/>
        <w:numPr>
          <w:ilvl w:val="0"/>
          <w:numId w:val="2"/>
        </w:numPr>
        <w:spacing w:after="80" w:before="40" w:line="300"/>
        <w:jc w:val="both"/>
      </w:pPr>
      <w:r>
        <w:rPr>
          <w:b/>
          <w:bCs/>
        </w:rPr>
        <w:t xml:space="preserve">Redundancia entre sensores (CHT1–4, EGT1–4, FQtyL/R): </w:t>
      </w:r>
      <w:r>
        <w:t xml:space="preserve">genera consumo de almacenamiento innecesario y sobrecarga al modelo. Acción: colapsar a agregados (mean/max) en la capa Silver y revisar la política de retención fina.</w:t>
      </w:r>
    </w:p>
    <w:p>
      <w:pPr>
        <w:pStyle w:val="ListParagraph"/>
        <w:numPr>
          <w:ilvl w:val="0"/>
          <w:numId w:val="2"/>
        </w:numPr>
        <w:spacing w:after="80" w:before="40" w:line="300"/>
        <w:jc w:val="both"/>
      </w:pPr>
      <w:r>
        <w:rPr>
          <w:b/>
          <w:bCs/>
        </w:rPr>
        <w:t xml:space="preserve">Bimodalidad en E1_RPM (ralentí vs. crucero): </w:t>
      </w:r>
      <w:r>
        <w:t xml:space="preserve">cualquier alerta basada en un umbral global generará falsos positivos. Acción: segmentar por régimen de operación antes de calcular cualquier estadístico de referencia.</w:t>
      </w:r>
    </w:p>
    <w:p>
      <w:pPr>
        <w:pStyle w:val="Heading1"/>
        <w:spacing w:after="180" w:before="360"/>
      </w:pPr>
      <w:r>
        <w:t xml:space="preserve">7. Ciclo de vida del dato y políticas de retención</w:t>
      </w:r>
    </w:p>
    <w:p>
      <w:pPr>
        <w:spacing w:after="120" w:before="60" w:line="320"/>
        <w:jc w:val="both"/>
      </w:pPr>
      <w:r>
        <w:t xml:space="preserve">El dato no es perpetuo. Cada tipo tiene un ciclo que define cuándo se ingiere, cuándo se transforma, cuánto se conserva, y cuándo se archiva o destruye. La política de retención balancea las exigencias regulatorias (la FAA pide siete años para registros de producción) con el costo de almacenamiento y los principios de minimización del GDPR.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tcBorders>
              <w:top w:val="single" w:color="B0B0B0" w:sz="4"/>
              <w:left w:val="single" w:color="B0B0B0" w:sz="4"/>
              <w:bottom w:val="single" w:color="B0B0B0" w:sz="4"/>
              <w:right w:val="single" w:color="B0B0B0" w:sz="4"/>
            </w:tcBorders>
            <w:shd w:fill="D5E8F0" w:val="clear"/>
            <w:tcMar>
              <w:top w:type="dxa" w:w="120"/>
              <w:left w:type="dxa" w:w="140"/>
              <w:bottom w:type="dxa" w:w="120"/>
              <w:right w:type="dxa" w:w="140"/>
            </w:tcMar>
          </w:tcPr>
          <w:p>
            <w:r>
              <w:rPr>
                <w:b/>
                <w:bCs/>
                <w:color w:val="1F4E79"/>
              </w:rPr>
              <w:t xml:space="preserve">Tipo de dato</w:t>
            </w:r>
          </w:p>
        </w:tc>
        <w:tc>
          <w:tcPr>
            <w:tcW w:type="dxa" w:w="2200"/>
            <w:tcBorders>
              <w:top w:val="single" w:color="B0B0B0" w:sz="4"/>
              <w:left w:val="single" w:color="B0B0B0" w:sz="4"/>
              <w:bottom w:val="single" w:color="B0B0B0" w:sz="4"/>
              <w:right w:val="single" w:color="B0B0B0" w:sz="4"/>
            </w:tcBorders>
            <w:shd w:fill="D5E8F0" w:val="clear"/>
            <w:tcMar>
              <w:top w:type="dxa" w:w="120"/>
              <w:left w:type="dxa" w:w="140"/>
              <w:bottom w:type="dxa" w:w="120"/>
              <w:right w:type="dxa" w:w="140"/>
            </w:tcMar>
          </w:tcPr>
          <w:p>
            <w:r>
              <w:rPr>
                <w:b/>
                <w:bCs/>
                <w:color w:val="1F4E79"/>
              </w:rPr>
              <w:t xml:space="preserve">Capa de archivo</w:t>
            </w:r>
          </w:p>
        </w:tc>
        <w:tc>
          <w:tcPr>
            <w:tcW w:type="dxa" w:w="2400"/>
            <w:tcBorders>
              <w:top w:val="single" w:color="B0B0B0" w:sz="4"/>
              <w:left w:val="single" w:color="B0B0B0" w:sz="4"/>
              <w:bottom w:val="single" w:color="B0B0B0" w:sz="4"/>
              <w:right w:val="single" w:color="B0B0B0" w:sz="4"/>
            </w:tcBorders>
            <w:shd w:fill="D5E8F0" w:val="clear"/>
            <w:tcMar>
              <w:top w:type="dxa" w:w="120"/>
              <w:left w:type="dxa" w:w="140"/>
              <w:bottom w:type="dxa" w:w="120"/>
              <w:right w:type="dxa" w:w="140"/>
            </w:tcMar>
          </w:tcPr>
          <w:p>
            <w:r>
              <w:rPr>
                <w:b/>
                <w:bCs/>
                <w:color w:val="1F4E79"/>
              </w:rPr>
              <w:t xml:space="preserve">Retención total</w:t>
            </w:r>
          </w:p>
        </w:tc>
        <w:tc>
          <w:tcPr>
            <w:tcW w:type="dxa" w:w="2560"/>
            <w:tcBorders>
              <w:top w:val="single" w:color="B0B0B0" w:sz="4"/>
              <w:left w:val="single" w:color="B0B0B0" w:sz="4"/>
              <w:bottom w:val="single" w:color="B0B0B0" w:sz="4"/>
              <w:right w:val="single" w:color="B0B0B0" w:sz="4"/>
            </w:tcBorders>
            <w:shd w:fill="D5E8F0" w:val="clear"/>
            <w:tcMar>
              <w:top w:type="dxa" w:w="120"/>
              <w:left w:type="dxa" w:w="140"/>
              <w:bottom w:type="dxa" w:w="120"/>
              <w:right w:type="dxa" w:w="140"/>
            </w:tcMar>
          </w:tcPr>
          <w:p>
            <w:r>
              <w:rPr>
                <w:b/>
                <w:bCs/>
                <w:color w:val="1F4E79"/>
              </w:rPr>
              <w:t xml:space="preserve">Justificación</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Telemetría cruda (Bronze)</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S3 Standard → IA → Glacier</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7 años</w:t>
            </w:r>
          </w:p>
        </w:tc>
        <w:tc>
          <w:tcPr>
            <w:tcW w:type="dxa" w:w="2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Plazo FAA Part 21 para registros de producción.</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Datos normalizados (Silver)</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S3 Standard → IA</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3 años</w:t>
            </w:r>
          </w:p>
        </w:tc>
        <w:tc>
          <w:tcPr>
            <w:tcW w:type="dxa" w:w="2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Soporte a re-entrenamientos de modelos y auditorías recientes.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Features y KPIs (Gold)</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S3 Standard</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5 años</w:t>
            </w:r>
          </w:p>
        </w:tc>
        <w:tc>
          <w:tcPr>
            <w:tcW w:type="dxa" w:w="2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Dashboards históricos comparativos a 5 años.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Identidad de operario en turno</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S3 cifrado + KMS dedicada</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Vigencia laboral + 2 años</w:t>
            </w:r>
          </w:p>
        </w:tc>
        <w:tc>
          <w:tcPr>
            <w:tcW w:type="dxa" w:w="2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Minimización GDPR; soporte a investigaciones posteriores acotadas.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Logs de auditoría</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S3 Object Lock (WORM)</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7 años</w:t>
            </w:r>
          </w:p>
        </w:tc>
        <w:tc>
          <w:tcPr>
            <w:tcW w:type="dxa" w:w="2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Inmutabilidad regulatoria; protección contra alteración accidental o malintencionada.</w:t>
            </w:r>
          </w:p>
        </w:tc>
      </w:tr>
    </w:tbl>
    <w:p>
      <w:pPr>
        <w:spacing w:after="120" w:before="60" w:line="320"/>
        <w:jc w:val="both"/>
      </w:pPr>
      <w:r>
        <w:t xml:space="preserve">Al cumplirse la retención, el dato pasa por un proceso documentado de destrucción segura: borrado lógico, validación por el Data Steward y registro del acto en el log inmutable. La destrucción de datos personales se ejecuta también ante solicitudes de derecho al olvido bajo GDPR.</w:t>
      </w:r>
    </w:p>
    <w:p>
      <w:pPr>
        <w:pStyle w:val="Heading1"/>
        <w:spacing w:after="180" w:before="360"/>
      </w:pPr>
      <w:r>
        <w:t xml:space="preserve">8. Seguridad y privacidad</w:t>
      </w:r>
    </w:p>
    <w:p>
      <w:pPr>
        <w:spacing w:after="120" w:before="60" w:line="320"/>
        <w:jc w:val="both"/>
      </w:pPr>
      <w:r>
        <w:t xml:space="preserve">La estrategia de seguridad sigue el principio de defensa en profundidad: ningún control es la única línea de defensa. Las capas se complementan, y la falla de una no compromete todo el sistema.</w:t>
      </w:r>
    </w:p>
    <w:p>
      <w:pPr>
        <w:pStyle w:val="Heading2"/>
        <w:spacing w:after="140" w:before="280"/>
      </w:pPr>
      <w:r>
        <w:t xml:space="preserve">8.1 Controles técnicos por capa</w:t>
      </w:r>
    </w:p>
    <w:p>
      <w:pPr>
        <w:pStyle w:val="ListParagraph"/>
        <w:numPr>
          <w:ilvl w:val="0"/>
          <w:numId w:val="2"/>
        </w:numPr>
        <w:spacing w:after="80" w:before="40" w:line="300"/>
        <w:jc w:val="both"/>
      </w:pPr>
      <w:r>
        <w:rPr>
          <w:b/>
          <w:bCs/>
        </w:rPr>
        <w:t xml:space="preserve">Red. </w:t>
      </w:r>
      <w:r>
        <w:t xml:space="preserve">VPC privada, subnets dedicadas para los buckets de cada capa, security groups que solo permiten el tráfico mínimo necesario, y endpoints VPC para evitar que el tráfico hacia S3 salga a internet.</w:t>
      </w:r>
    </w:p>
    <w:p>
      <w:pPr>
        <w:pStyle w:val="ListParagraph"/>
        <w:numPr>
          <w:ilvl w:val="0"/>
          <w:numId w:val="2"/>
        </w:numPr>
        <w:spacing w:after="80" w:before="40" w:line="300"/>
        <w:jc w:val="both"/>
      </w:pPr>
      <w:r>
        <w:rPr>
          <w:b/>
          <w:bCs/>
        </w:rPr>
        <w:t xml:space="preserve">Identidad y acceso. </w:t>
      </w:r>
      <w:r>
        <w:t xml:space="preserve">Política de mínimo privilegio implementada con IAM roles, no usuarios; MFA obligatorio para cualquier rol con permisos de escritura sobre Bronze; segregación de funciones entre quien ingesta, quien transforma y quien consume.</w:t>
      </w:r>
    </w:p>
    <w:p>
      <w:pPr>
        <w:pStyle w:val="ListParagraph"/>
        <w:numPr>
          <w:ilvl w:val="0"/>
          <w:numId w:val="2"/>
        </w:numPr>
        <w:spacing w:after="80" w:before="40" w:line="300"/>
        <w:jc w:val="both"/>
      </w:pPr>
      <w:r>
        <w:rPr>
          <w:b/>
          <w:bCs/>
        </w:rPr>
        <w:t xml:space="preserve">Cifrado. </w:t>
      </w:r>
      <w:r>
        <w:t xml:space="preserve">En tránsito con TLS 1.2 o superior; en reposo con SSE-KMS usando llaves gestionadas por el equipo de Seguridad, no por el Data Office. Esta separación es deliberada: evita que un compromiso del Data Office permita descifrar masivamente.</w:t>
      </w:r>
    </w:p>
    <w:p>
      <w:pPr>
        <w:pStyle w:val="ListParagraph"/>
        <w:numPr>
          <w:ilvl w:val="0"/>
          <w:numId w:val="2"/>
        </w:numPr>
        <w:spacing w:after="80" w:before="40" w:line="300"/>
        <w:jc w:val="both"/>
      </w:pPr>
      <w:r>
        <w:rPr>
          <w:b/>
          <w:bCs/>
        </w:rPr>
        <w:t xml:space="preserve">Auditoría. </w:t>
      </w:r>
      <w:r>
        <w:t xml:space="preserve">CloudTrail activo en todas las cuentas; logs almacenados con Object Lock en una cuenta separada de archivo, con permisos de solo escritura para el resto de la organización.</w:t>
      </w:r>
    </w:p>
    <w:p>
      <w:pPr>
        <w:pStyle w:val="ListParagraph"/>
        <w:numPr>
          <w:ilvl w:val="0"/>
          <w:numId w:val="2"/>
        </w:numPr>
        <w:spacing w:after="80" w:before="40" w:line="300"/>
        <w:jc w:val="both"/>
      </w:pPr>
      <w:r>
        <w:rPr>
          <w:b/>
          <w:bCs/>
        </w:rPr>
        <w:t xml:space="preserve">Resiliencia. </w:t>
      </w:r>
      <w:r>
        <w:t xml:space="preserve">Replicación cross-region para las capas Silver y Gold; backups versionados; pruebas trimestrales de restauración documentadas.</w:t>
      </w:r>
    </w:p>
    <w:p>
      <w:pPr>
        <w:pStyle w:val="Heading2"/>
        <w:spacing w:after="140" w:before="280"/>
      </w:pPr>
      <w:r>
        <w:t xml:space="preserve">8.2 Privacidad de operarios y derechos GDPR</w:t>
      </w:r>
    </w:p>
    <w:p>
      <w:pPr>
        <w:spacing w:after="120" w:before="60" w:line="320"/>
        <w:jc w:val="both"/>
      </w:pPr>
      <w:r>
        <w:t xml:space="preserve">Los datos que vinculan eventos de ensamblaje con la identidad de operarios europeos están sujetos a GDPR. Esto obliga a tener una base de legitimación clara (interés legítimo del empleador para la seguridad operacional, documentado mediante una evaluación previa formal), a minimizar la recolección al mínimo necesario para el caso de uso, y a respetar los derechos del titular: acceso, rectificación, oposición, portabilidad y olvido.</w:t>
      </w:r>
    </w:p>
    <w:p>
      <w:pPr>
        <w:spacing w:after="120" w:before="60" w:line="320"/>
        <w:jc w:val="both"/>
      </w:pPr>
      <w:r>
        <w:t xml:space="preserve">En la práctica, todo dato personal entra al pipeline pseudonimizado: el badge del operario se reemplaza por un identificador interno antes de cruzar la capa Bronze, y la tabla de correspondencia se mantiene en una base de datos separada, con acceso restringido al equipo de RRHH y al DPO. Para los análisis estadísticos rutinarios nunca se necesita la identidad real; solo se desanonimiza cuando hay una investigación específica autorizada.</w:t>
      </w:r>
    </w:p>
    <w:p>
      <w:pPr>
        <w:pStyle w:val="Heading1"/>
        <w:spacing w:after="180" w:before="360"/>
      </w:pPr>
      <w:r>
        <w:t xml:space="preserve">9. Gestión de cambios y excepciones</w:t>
      </w:r>
    </w:p>
    <w:p>
      <w:pPr>
        <w:spacing w:after="120" w:before="60" w:line="320"/>
        <w:jc w:val="both"/>
      </w:pPr>
      <w:r>
        <w:t xml:space="preserve">Cualquier cambio que afecte el esquema de las tablas, la lógica de los pipelines, la definición de un KPI o las políticas de acceso pasa por un proceso formal de aprobación. La rigidez es proporcional al impacto.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00"/>
        <w:gridCol w:w="2460"/>
      </w:tblGrid>
      <w:tr>
        <w:tc>
          <w:tcPr>
            <w:tcW w:type="dxa" w:w="1800"/>
            <w:tcBorders>
              <w:top w:val="single" w:color="B0B0B0" w:sz="4"/>
              <w:left w:val="single" w:color="B0B0B0" w:sz="4"/>
              <w:bottom w:val="single" w:color="B0B0B0" w:sz="4"/>
              <w:right w:val="single" w:color="B0B0B0" w:sz="4"/>
            </w:tcBorders>
            <w:shd w:fill="D5E8F0" w:val="clear"/>
            <w:tcMar>
              <w:top w:type="dxa" w:w="120"/>
              <w:left w:type="dxa" w:w="140"/>
              <w:bottom w:type="dxa" w:w="120"/>
              <w:right w:type="dxa" w:w="140"/>
            </w:tcMar>
          </w:tcPr>
          <w:p>
            <w:r>
              <w:rPr>
                <w:b/>
                <w:bCs/>
                <w:color w:val="1F4E79"/>
              </w:rPr>
              <w:t xml:space="preserve">Tipo de cambio</w:t>
            </w:r>
          </w:p>
        </w:tc>
        <w:tc>
          <w:tcPr>
            <w:tcW w:type="dxa" w:w="2400"/>
            <w:tcBorders>
              <w:top w:val="single" w:color="B0B0B0" w:sz="4"/>
              <w:left w:val="single" w:color="B0B0B0" w:sz="4"/>
              <w:bottom w:val="single" w:color="B0B0B0" w:sz="4"/>
              <w:right w:val="single" w:color="B0B0B0" w:sz="4"/>
            </w:tcBorders>
            <w:shd w:fill="D5E8F0" w:val="clear"/>
            <w:tcMar>
              <w:top w:type="dxa" w:w="120"/>
              <w:left w:type="dxa" w:w="140"/>
              <w:bottom w:type="dxa" w:w="120"/>
              <w:right w:type="dxa" w:w="140"/>
            </w:tcMar>
          </w:tcPr>
          <w:p>
            <w:r>
              <w:rPr>
                <w:b/>
                <w:bCs/>
                <w:color w:val="1F4E79"/>
              </w:rPr>
              <w:t xml:space="preserve">Ejemplo</w:t>
            </w:r>
          </w:p>
        </w:tc>
        <w:tc>
          <w:tcPr>
            <w:tcW w:type="dxa" w:w="2700"/>
            <w:tcBorders>
              <w:top w:val="single" w:color="B0B0B0" w:sz="4"/>
              <w:left w:val="single" w:color="B0B0B0" w:sz="4"/>
              <w:bottom w:val="single" w:color="B0B0B0" w:sz="4"/>
              <w:right w:val="single" w:color="B0B0B0" w:sz="4"/>
            </w:tcBorders>
            <w:shd w:fill="D5E8F0" w:val="clear"/>
            <w:tcMar>
              <w:top w:type="dxa" w:w="120"/>
              <w:left w:type="dxa" w:w="140"/>
              <w:bottom w:type="dxa" w:w="120"/>
              <w:right w:type="dxa" w:w="140"/>
            </w:tcMar>
          </w:tcPr>
          <w:p>
            <w:r>
              <w:rPr>
                <w:b/>
                <w:bCs/>
                <w:color w:val="1F4E79"/>
              </w:rPr>
              <w:t xml:space="preserve">Aprobador requerido</w:t>
            </w:r>
          </w:p>
        </w:tc>
        <w:tc>
          <w:tcPr>
            <w:tcW w:type="dxa" w:w="2460"/>
            <w:tcBorders>
              <w:top w:val="single" w:color="B0B0B0" w:sz="4"/>
              <w:left w:val="single" w:color="B0B0B0" w:sz="4"/>
              <w:bottom w:val="single" w:color="B0B0B0" w:sz="4"/>
              <w:right w:val="single" w:color="B0B0B0" w:sz="4"/>
            </w:tcBorders>
            <w:shd w:fill="D5E8F0" w:val="clear"/>
            <w:tcMar>
              <w:top w:type="dxa" w:w="120"/>
              <w:left w:type="dxa" w:w="140"/>
              <w:bottom w:type="dxa" w:w="120"/>
              <w:right w:type="dxa" w:w="140"/>
            </w:tcMar>
          </w:tcPr>
          <w:p>
            <w:r>
              <w:rPr>
                <w:b/>
                <w:bCs/>
                <w:color w:val="1F4E79"/>
              </w:rPr>
              <w:t xml:space="preserve">Plazo típico</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Bajo impacto</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Agregar una columna calculada en Gold.</w:t>
            </w:r>
          </w:p>
        </w:tc>
        <w:tc>
          <w:tcPr>
            <w:tcW w:type="dxa" w:w="2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Data Steward del dominio.</w:t>
            </w:r>
          </w:p>
        </w:tc>
        <w:tc>
          <w:tcPr>
            <w:tcW w:type="dxa" w:w="24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72 horas.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Medio impacto</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Cambiar el esquema de una tabla Silver.</w:t>
            </w:r>
          </w:p>
        </w:tc>
        <w:tc>
          <w:tcPr>
            <w:tcW w:type="dxa" w:w="2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Data Owner + Data Office.</w:t>
            </w:r>
          </w:p>
        </w:tc>
        <w:tc>
          <w:tcPr>
            <w:tcW w:type="dxa" w:w="24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2 semanas con periodo de comunicación previa.</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Alto impacto</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Modificar reglas de retención o controles de acceso.</w:t>
            </w:r>
          </w:p>
        </w:tc>
        <w:tc>
          <w:tcPr>
            <w:tcW w:type="dxa" w:w="2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Comité de Gobierno (sesión ordinaria o extraordinaria).</w:t>
            </w:r>
          </w:p>
        </w:tc>
        <w:tc>
          <w:tcPr>
            <w:tcW w:type="dxa" w:w="24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1 mes; comunicado a auditores externos.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rPr>
              <w:t xml:space="preserve">Excepción urgente</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Concesión temporal de acceso ante un incidente operacional.</w:t>
            </w:r>
          </w:p>
        </w:tc>
        <w:tc>
          <w:tcPr>
            <w:tcW w:type="dxa" w:w="2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CDO + DPO si involucra datos personales.</w:t>
            </w:r>
          </w:p>
        </w:tc>
        <w:tc>
          <w:tcPr>
            <w:tcW w:type="dxa" w:w="24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Activación inmediata; revisión en la siguiente sesión del Comité.</w:t>
            </w:r>
          </w:p>
        </w:tc>
      </w:tr>
    </w:tbl>
    <w:p>
      <w:pPr>
        <w:spacing w:after="120" w:before="60" w:line="320"/>
        <w:jc w:val="both"/>
      </w:pPr>
      <w:r>
        <w:t xml:space="preserve">Toda excepción aprobada queda registrada con fecha de expiración. No existen excepciones permanentes: si una excepción se vuelve recurrente, se convierte en propuesta de modificación de la política para su tratamiento formal.</w:t>
      </w:r>
    </w:p>
    <w:p>
      <w:pPr>
        <w:pStyle w:val="Heading1"/>
        <w:spacing w:after="180" w:before="360"/>
      </w:pPr>
      <w:r>
        <w:t xml:space="preserve">10. Indicadores de gobierno y reporte</w:t>
      </w:r>
    </w:p>
    <w:p>
      <w:pPr>
        <w:spacing w:after="120" w:before="60" w:line="320"/>
        <w:jc w:val="both"/>
      </w:pPr>
      <w:r>
        <w:t xml:space="preserve">El gobierno de datos debe poderse medir. El Data Office reporta trimestralmente al Comité los siguientes indicadores, que se calculan automáticamente sobre los logs y las propias tablas del proyecto:</w:t>
      </w:r>
    </w:p>
    <w:p>
      <w:pPr>
        <w:pStyle w:val="ListParagraph"/>
        <w:numPr>
          <w:ilvl w:val="0"/>
          <w:numId w:val="2"/>
        </w:numPr>
        <w:spacing w:after="80" w:before="40" w:line="300"/>
        <w:jc w:val="both"/>
      </w:pPr>
      <w:r>
        <w:rPr>
          <w:b/>
          <w:bCs/>
        </w:rPr>
        <w:t xml:space="preserve">Cumplimiento de SLA de calidad: </w:t>
      </w:r>
      <w:r>
        <w:t xml:space="preserve">% de tablas que cumplen los umbrales mínimos de las seis dimensiones definidas en la sección 6.</w:t>
      </w:r>
    </w:p>
    <w:p>
      <w:pPr>
        <w:pStyle w:val="ListParagraph"/>
        <w:numPr>
          <w:ilvl w:val="0"/>
          <w:numId w:val="2"/>
        </w:numPr>
        <w:spacing w:after="80" w:before="40" w:line="300"/>
        <w:jc w:val="both"/>
      </w:pPr>
      <w:r>
        <w:rPr>
          <w:b/>
          <w:bCs/>
        </w:rPr>
        <w:t xml:space="preserve">Tiempo medio de resolución de incidentes de datos. </w:t>
      </w:r>
      <w:r>
        <w:t xml:space="preserve">Desde la detección hasta el cierre verificado.</w:t>
      </w:r>
    </w:p>
    <w:p>
      <w:pPr>
        <w:pStyle w:val="ListParagraph"/>
        <w:numPr>
          <w:ilvl w:val="0"/>
          <w:numId w:val="2"/>
        </w:numPr>
        <w:spacing w:after="80" w:before="40" w:line="300"/>
        <w:jc w:val="both"/>
      </w:pPr>
      <w:r>
        <w:rPr>
          <w:b/>
          <w:bCs/>
        </w:rPr>
        <w:t xml:space="preserve">Cobertura del diccionario de datos: </w:t>
      </w:r>
      <w:r>
        <w:t xml:space="preserve">% de tablas y columnas con descripción de negocio, owner y clasificación de sensibilidad documentada.</w:t>
      </w:r>
    </w:p>
    <w:p>
      <w:pPr>
        <w:pStyle w:val="ListParagraph"/>
        <w:numPr>
          <w:ilvl w:val="0"/>
          <w:numId w:val="2"/>
        </w:numPr>
        <w:spacing w:after="80" w:before="40" w:line="300"/>
        <w:jc w:val="both"/>
      </w:pPr>
      <w:r>
        <w:rPr>
          <w:b/>
          <w:bCs/>
        </w:rPr>
        <w:t xml:space="preserve">Frecuencia de revisión de accesos: </w:t>
      </w:r>
      <w:r>
        <w:t xml:space="preserve">% de roles revisados en el último trimestre vs. el universo de roles activos.</w:t>
      </w:r>
    </w:p>
    <w:p>
      <w:pPr>
        <w:pStyle w:val="ListParagraph"/>
        <w:numPr>
          <w:ilvl w:val="0"/>
          <w:numId w:val="2"/>
        </w:numPr>
        <w:spacing w:after="80" w:before="40" w:line="300"/>
        <w:jc w:val="both"/>
      </w:pPr>
      <w:r>
        <w:rPr>
          <w:b/>
          <w:bCs/>
        </w:rPr>
        <w:t xml:space="preserve">Incidentes de seguridad asociados a datos. </w:t>
      </w:r>
      <w:r>
        <w:t xml:space="preserve">Conteo, severidad y tendencia trimestre a trimestre.</w:t>
      </w:r>
    </w:p>
    <w:p>
      <w:pPr>
        <w:pStyle w:val="ListParagraph"/>
        <w:numPr>
          <w:ilvl w:val="0"/>
          <w:numId w:val="2"/>
        </w:numPr>
        <w:spacing w:after="80" w:before="40" w:line="300"/>
        <w:jc w:val="both"/>
      </w:pPr>
      <w:r>
        <w:rPr>
          <w:b/>
          <w:bCs/>
        </w:rPr>
        <w:t xml:space="preserve">Solicitudes GDPR atendidas en plazo: </w:t>
      </w:r>
      <w:r>
        <w:t xml:space="preserve">% atendidas dentro del mes calendario que establece la regulación.</w:t>
      </w:r>
    </w:p>
    <w:p>
      <w:pPr>
        <w:pStyle w:val="Heading1"/>
        <w:spacing w:after="180" w:before="360"/>
      </w:pPr>
      <w:r>
        <w:t xml:space="preserve">11. Hoja de ruta de implementación del gobierno</w:t>
      </w:r>
    </w:p>
    <w:p>
      <w:pPr>
        <w:spacing w:after="120" w:before="60" w:line="320"/>
        <w:jc w:val="both"/>
      </w:pPr>
      <w:r>
        <w:t xml:space="preserve">El gobierno no se enciende de un día para otro. La implementación se alinea con el roadmap de 12 meses de la estrategia corporativa, en cuatro fases progresivas: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B0B0B0" w:sz="4"/>
              <w:left w:val="single" w:color="B0B0B0" w:sz="4"/>
              <w:bottom w:val="single" w:color="B0B0B0" w:sz="4"/>
              <w:right w:val="single" w:color="B0B0B0" w:sz="4"/>
            </w:tcBorders>
            <w:shd w:fill="D5E8F0" w:val="clear"/>
            <w:tcMar>
              <w:top w:type="dxa" w:w="120"/>
              <w:left w:type="dxa" w:w="140"/>
              <w:bottom w:type="dxa" w:w="120"/>
              <w:right w:type="dxa" w:w="140"/>
            </w:tcMar>
          </w:tcPr>
          <w:p>
            <w:r>
              <w:rPr>
                <w:b/>
                <w:bCs/>
                <w:color w:val="1F4E79"/>
              </w:rPr>
              <w:t xml:space="preserve">Fase</w:t>
            </w:r>
          </w:p>
        </w:tc>
        <w:tc>
          <w:tcPr>
            <w:tcW w:type="dxa" w:w="2200"/>
            <w:tcBorders>
              <w:top w:val="single" w:color="B0B0B0" w:sz="4"/>
              <w:left w:val="single" w:color="B0B0B0" w:sz="4"/>
              <w:bottom w:val="single" w:color="B0B0B0" w:sz="4"/>
              <w:right w:val="single" w:color="B0B0B0" w:sz="4"/>
            </w:tcBorders>
            <w:shd w:fill="D5E8F0" w:val="clear"/>
            <w:tcMar>
              <w:top w:type="dxa" w:w="120"/>
              <w:left w:type="dxa" w:w="140"/>
              <w:bottom w:type="dxa" w:w="120"/>
              <w:right w:type="dxa" w:w="140"/>
            </w:tcMar>
          </w:tcPr>
          <w:p>
            <w:r>
              <w:rPr>
                <w:b/>
                <w:bCs/>
                <w:color w:val="1F4E79"/>
              </w:rPr>
              <w:t xml:space="preserve">Período</w:t>
            </w:r>
          </w:p>
        </w:tc>
        <w:tc>
          <w:tcPr>
            <w:tcW w:type="dxa" w:w="5360"/>
            <w:tcBorders>
              <w:top w:val="single" w:color="B0B0B0" w:sz="4"/>
              <w:left w:val="single" w:color="B0B0B0" w:sz="4"/>
              <w:bottom w:val="single" w:color="B0B0B0" w:sz="4"/>
              <w:right w:val="single" w:color="B0B0B0" w:sz="4"/>
            </w:tcBorders>
            <w:shd w:fill="D5E8F0" w:val="clear"/>
            <w:tcMar>
              <w:top w:type="dxa" w:w="120"/>
              <w:left w:type="dxa" w:w="140"/>
              <w:bottom w:type="dxa" w:w="120"/>
              <w:right w:type="dxa" w:w="140"/>
            </w:tcMar>
          </w:tcPr>
          <w:p>
            <w:r>
              <w:rPr>
                <w:b/>
                <w:bCs/>
                <w:color w:val="1F4E79"/>
              </w:rPr>
              <w:t xml:space="preserve">Hitos de gobierno</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color w:val="1F4E79"/>
              </w:rPr>
              <w:t xml:space="preserve">Fase 1 — Cimentación</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Meses 1–3</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Constituir el Comité de Gobierno. Designar Data Owners y Stewards de los dominios piloto (línea de fuselaje 737 MAX). Aprobar políticas base de clasificación, seguridad y calidad. Implementar diccionario inicial sobre las tablas del piloto.</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color w:val="1F4E79"/>
              </w:rPr>
              <w:t xml:space="preserve">Fase 2 — Operacionalización</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Meses 4–6</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Desplegar monitoreo automatizado de las seis dimensiones de calidad. Definir y publicar SLAs por dominio. Capacitar a operarios y mandos medios en el uso responsable del dato (40 h por operario, alineado al roadmap general).</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color w:val="1F4E79"/>
              </w:rPr>
              <w:t xml:space="preserve">Fase 3 — Escalamiento</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Meses 7–9</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Replicar el modelo de gobierno hacia líneas secundarias. Auditoría interna del cumplimiento. Primera revisión formal con la FAA del enfoque de trazabilidad inmutable.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color w:val="1F4E79"/>
              </w:rPr>
              <w:t xml:space="preserve">Fase 4 — Madurez</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Meses 10–12</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Cobertura total de la planta principal. Certificación ISO 27001. Mecanismo de mejora continua: revisión semestral de políticas y métricas con retroalimentación a ingeniería de diseño (cierre del ciclo de gobernanza progresiva descrito en la estrategia corporativa).</w:t>
            </w:r>
          </w:p>
        </w:tc>
      </w:tr>
    </w:tbl>
    <w:p>
      <w:pPr>
        <w:pStyle w:val="Heading1"/>
        <w:spacing w:after="180" w:before="360"/>
      </w:pPr>
      <w:r>
        <w:t xml:space="preserve">12. Conclusión</w:t>
      </w:r>
    </w:p>
    <w:p>
      <w:pPr>
        <w:spacing w:after="120" w:before="60" w:line="320"/>
        <w:jc w:val="both"/>
      </w:pPr>
      <w:r>
        <w:t xml:space="preserve">El gobierno de datos de BoeIoT no es un trámite burocrático paralelo al proyecto técnico: es la condición que hace posible que la transformación digital sostenga sus promesas. Sin trazabilidad inmutable, la FAA no validará el sistema. Sin calidad medida, los modelos predictivos perderán confianza al primer falso positivo crítico. Sin clasificación y controles claros, el primer incidente de privacidad o de seguridad destruirá el caso de negocio antes de que rinda frutos.</w:t>
      </w:r>
    </w:p>
    <w:p>
      <w:pPr>
        <w:spacing w:after="120" w:before="60" w:line="320"/>
        <w:jc w:val="both"/>
      </w:pPr>
      <w:r>
        <w:t xml:space="preserve">El marco propuesto en este documento es deliberadamente exigente, pero su exigencia es proporcional al riesgo del dominio: estamos hablando de aviones que transportan a 200 personas a 10 mil metros de altura. Cumplirlo no es un costo, es el precio mínimo para que el proyecto sobreviva su primer encuentro con un regulador serio. La implementación en cuatro fases asegura que el rigor se construya con la misma cadencia que el resto de la transformación, sin frenar la entrega de valor.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r>
      <w:rPr>
        <w:color w:val="888888"/>
        <w:sz w:val="18"/>
        <w:szCs w:val="18"/>
      </w:rPr>
      <w:t xml:space="preserve"> de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BoeIoT — Gobierno de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80" w:before="36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C143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2026-05-10T23:40:40.520Z</dcterms:created>
  <dcterms:modified xsi:type="dcterms:W3CDTF">2026-05-10T23:40:40.520Z</dcterms:modified>
</cp:coreProperties>
</file>

<file path=docProps/custom.xml><?xml version="1.0" encoding="utf-8"?>
<Properties xmlns="http://schemas.openxmlformats.org/officeDocument/2006/custom-properties" xmlns:vt="http://schemas.openxmlformats.org/officeDocument/2006/docPropsVTypes"/>
</file>