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416FD" w14:textId="77777777" w:rsidR="003A78E3" w:rsidRPr="005051C9" w:rsidRDefault="00000000">
      <w:pPr>
        <w:spacing w:after="80"/>
        <w:rPr>
          <w:lang w:val="it-IT"/>
        </w:rPr>
      </w:pPr>
      <w:r w:rsidRPr="005051C9">
        <w:rPr>
          <w:b/>
          <w:lang w:val="it-IT"/>
        </w:rPr>
        <w:t>Proposta di Tesi</w:t>
      </w:r>
    </w:p>
    <w:p w14:paraId="51B2D681" w14:textId="77777777" w:rsidR="003A78E3" w:rsidRPr="005051C9" w:rsidRDefault="00000000">
      <w:pPr>
        <w:spacing w:after="80"/>
        <w:rPr>
          <w:lang w:val="it-IT"/>
        </w:rPr>
      </w:pPr>
      <w:r w:rsidRPr="005051C9">
        <w:rPr>
          <w:b/>
          <w:lang w:val="it-IT"/>
        </w:rPr>
        <w:t>Obiettivo:</w:t>
      </w:r>
    </w:p>
    <w:p w14:paraId="54DBF099" w14:textId="77777777" w:rsidR="003A78E3" w:rsidRPr="005051C9" w:rsidRDefault="00000000">
      <w:pPr>
        <w:spacing w:after="240"/>
        <w:rPr>
          <w:lang w:val="it-IT"/>
        </w:rPr>
      </w:pPr>
      <w:r w:rsidRPr="005051C9">
        <w:rPr>
          <w:b/>
          <w:color w:val="002060"/>
          <w:sz w:val="26"/>
          <w:lang w:val="it-IT"/>
        </w:rPr>
        <w:t xml:space="preserve">Quantificazione </w:t>
      </w:r>
      <w:proofErr w:type="spellStart"/>
      <w:r w:rsidRPr="005051C9">
        <w:rPr>
          <w:b/>
          <w:color w:val="002060"/>
          <w:sz w:val="26"/>
          <w:lang w:val="it-IT"/>
        </w:rPr>
        <w:t>Citomorfometrica</w:t>
      </w:r>
      <w:proofErr w:type="spellEnd"/>
      <w:r w:rsidRPr="005051C9">
        <w:rPr>
          <w:b/>
          <w:color w:val="002060"/>
          <w:sz w:val="26"/>
          <w:lang w:val="it-IT"/>
        </w:rPr>
        <w:t xml:space="preserve"> e Spaziale della Micro‑Architettura Nucleare per la Classificazione Istopatologica tra Linfoma Follicolare e Tessuto Linfatico Reattivo</w:t>
      </w:r>
    </w:p>
    <w:p w14:paraId="14AA0057" w14:textId="77777777" w:rsidR="003A78E3" w:rsidRPr="005051C9" w:rsidRDefault="00000000">
      <w:pPr>
        <w:spacing w:before="240" w:after="80"/>
        <w:rPr>
          <w:lang w:val="it-IT"/>
        </w:rPr>
      </w:pPr>
      <w:r w:rsidRPr="005051C9">
        <w:rPr>
          <w:b/>
          <w:color w:val="003366"/>
          <w:sz w:val="28"/>
          <w:lang w:val="it-IT"/>
        </w:rPr>
        <w:t>Contesto Scientifico</w:t>
      </w:r>
    </w:p>
    <w:p w14:paraId="58DBCC84" w14:textId="77777777" w:rsidR="003A78E3" w:rsidRDefault="00000000">
      <w:pPr>
        <w:rPr>
          <w:lang w:val="it-IT"/>
        </w:rPr>
      </w:pPr>
      <w:r w:rsidRPr="005051C9">
        <w:rPr>
          <w:lang w:val="it-IT"/>
        </w:rPr>
        <w:t xml:space="preserve">Nel caso dei linfonodi, il linfoma follicolare è caratterizzato da alterazioni della struttura cellulare e nucleare rispetto al tessuto linfatico reattivo. A livello citologico, tali differenze riguardano la forma, la dimensione e l'organizzazione spaziale dei nuclei cellulari. Tuttavia, molte delle differenze morfologiche sono ancora valutate qualitativamente dal patologo. Questa tesi propone lo sviluppo di una pipeline computazionale per segmentare automaticamente i nuclei cellulari mediante tecniche di deep learning e quantificarne la micro‑architettura, generando biomarcatori </w:t>
      </w:r>
      <w:proofErr w:type="spellStart"/>
      <w:r w:rsidRPr="005051C9">
        <w:rPr>
          <w:lang w:val="it-IT"/>
        </w:rPr>
        <w:t>citomorfometrici</w:t>
      </w:r>
      <w:proofErr w:type="spellEnd"/>
      <w:r w:rsidRPr="005051C9">
        <w:rPr>
          <w:lang w:val="it-IT"/>
        </w:rPr>
        <w:t xml:space="preserve"> e spaziali interpretabili.</w:t>
      </w:r>
    </w:p>
    <w:p w14:paraId="33739C7F" w14:textId="77777777" w:rsidR="005051C9" w:rsidRDefault="005051C9">
      <w:pPr>
        <w:rPr>
          <w:lang w:val="it-IT"/>
        </w:rPr>
      </w:pPr>
    </w:p>
    <w:p w14:paraId="521EA90E" w14:textId="77777777" w:rsidR="005051C9" w:rsidRPr="001470B3" w:rsidRDefault="005051C9" w:rsidP="005051C9">
      <w:pPr>
        <w:rPr>
          <w:lang w:val="it-IT"/>
        </w:rPr>
      </w:pPr>
      <w:r w:rsidRPr="001470B3">
        <w:rPr>
          <w:b/>
          <w:bCs/>
          <w:lang w:val="it-IT"/>
        </w:rPr>
        <w:t>Razionale e differenziazione rispetto alla letteratura recente:</w:t>
      </w:r>
    </w:p>
    <w:p w14:paraId="7D485F1D" w14:textId="77777777" w:rsidR="005051C9" w:rsidRPr="001470B3" w:rsidRDefault="005051C9" w:rsidP="005051C9">
      <w:pPr>
        <w:rPr>
          <w:lang w:val="it-IT"/>
        </w:rPr>
      </w:pPr>
      <w:r w:rsidRPr="001470B3">
        <w:rPr>
          <w:lang w:val="it-IT"/>
        </w:rPr>
        <w:t xml:space="preserve">Sebbene studi recenti su larga scala (come </w:t>
      </w:r>
      <w:r w:rsidRPr="001470B3">
        <w:rPr>
          <w:i/>
          <w:iCs/>
          <w:lang w:val="it-IT"/>
        </w:rPr>
        <w:t>Carreras et al., 2025</w:t>
      </w:r>
      <w:r w:rsidRPr="001470B3">
        <w:rPr>
          <w:lang w:val="it-IT"/>
        </w:rPr>
        <w:t xml:space="preserve">) abbiano dimostrato che modelli </w:t>
      </w:r>
      <w:proofErr w:type="spellStart"/>
      <w:r w:rsidRPr="001470B3">
        <w:rPr>
          <w:lang w:val="it-IT"/>
        </w:rPr>
        <w:t>convoluzionali</w:t>
      </w:r>
      <w:proofErr w:type="spellEnd"/>
      <w:r w:rsidRPr="001470B3">
        <w:rPr>
          <w:lang w:val="it-IT"/>
        </w:rPr>
        <w:t xml:space="preserve"> end-to-end (es. ResNet-18) possono raggiungere un'elevata accuratezza diagnostica nella classificazione tra Linfoma Follicolare e tessuto reattivo, tali approcci operano secondo una logica di "black-box". Le tecniche di </w:t>
      </w:r>
      <w:proofErr w:type="spellStart"/>
      <w:r w:rsidRPr="001470B3">
        <w:rPr>
          <w:lang w:val="it-IT"/>
        </w:rPr>
        <w:t>spiegabilità</w:t>
      </w:r>
      <w:proofErr w:type="spellEnd"/>
      <w:r w:rsidRPr="001470B3">
        <w:rPr>
          <w:lang w:val="it-IT"/>
        </w:rPr>
        <w:t xml:space="preserve"> post-hoc comunemente impiegate (es. Grad-CAM o LIME) forniscono esclusivamente mappe di calore qualitative a bassa risoluzione spaziale, indicando le regioni salienti senza però quantificare le caratteristiche cellulari determinanti per la decisione clinica. </w:t>
      </w:r>
    </w:p>
    <w:p w14:paraId="5C75E45A" w14:textId="77777777" w:rsidR="005051C9" w:rsidRPr="001470B3" w:rsidRDefault="005051C9" w:rsidP="005051C9">
      <w:pPr>
        <w:rPr>
          <w:lang w:val="it-IT"/>
        </w:rPr>
      </w:pPr>
      <w:r w:rsidRPr="001470B3">
        <w:rPr>
          <w:lang w:val="it-IT"/>
        </w:rPr>
        <w:t xml:space="preserve">La presente proposta di tesi adotta una strategia complementare e intrinsecamente interpretabile ("white-box"): invece di demandare la diagnosi a feature neurali astratte, la pipeline scompone il problema clinico isolando i singoli nuclei tramite modelli di segmentazione (U-Net / </w:t>
      </w:r>
      <w:proofErr w:type="spellStart"/>
      <w:r w:rsidRPr="001470B3">
        <w:rPr>
          <w:lang w:val="it-IT"/>
        </w:rPr>
        <w:t>StarDist</w:t>
      </w:r>
      <w:proofErr w:type="spellEnd"/>
      <w:r w:rsidRPr="001470B3">
        <w:rPr>
          <w:lang w:val="it-IT"/>
        </w:rPr>
        <w:t xml:space="preserve">) ed estraendo biomarcatori fisici rigorosi (metriche </w:t>
      </w:r>
      <w:proofErr w:type="spellStart"/>
      <w:r w:rsidRPr="001470B3">
        <w:rPr>
          <w:lang w:val="it-IT"/>
        </w:rPr>
        <w:t>citomorfometriche</w:t>
      </w:r>
      <w:proofErr w:type="spellEnd"/>
      <w:r w:rsidRPr="001470B3">
        <w:rPr>
          <w:lang w:val="it-IT"/>
        </w:rPr>
        <w:t xml:space="preserve">, densità cellulare e grafi di organizzazione spaziale espressi in </w:t>
      </w:r>
      <m:oMath>
        <m:r>
          <w:rPr>
            <w:rFonts w:ascii="Cambria Math" w:hAnsi="Cambria Math"/>
            <w:lang w:val="it-IT"/>
          </w:rPr>
          <m:t>μ</m:t>
        </m:r>
        <m:r>
          <m:rPr>
            <m:nor/>
          </m:rPr>
          <w:rPr>
            <w:lang w:val="it-IT"/>
          </w:rPr>
          <m:t>m</m:t>
        </m:r>
      </m:oMath>
      <w:r w:rsidRPr="001470B3">
        <w:rPr>
          <w:lang w:val="it-IT"/>
        </w:rPr>
        <w:t xml:space="preserve"> e </w:t>
      </w:r>
      <m:oMath>
        <m:r>
          <w:rPr>
            <w:rFonts w:ascii="Cambria Math" w:hAnsi="Cambria Math"/>
            <w:lang w:val="it-IT"/>
          </w:rPr>
          <m:t>μ</m:t>
        </m:r>
        <m:sSup>
          <m:sSupPr>
            <m:ctrlPr>
              <w:rPr>
                <w:rFonts w:ascii="Cambria Math" w:hAnsi="Cambria Math"/>
                <w:lang w:val="it-IT"/>
              </w:rPr>
            </m:ctrlPr>
          </m:sSupPr>
          <m:e>
            <m:r>
              <m:rPr>
                <m:nor/>
              </m:rPr>
              <w:rPr>
                <w:lang w:val="it-IT"/>
              </w:rPr>
              <m:t>m</m:t>
            </m:r>
          </m:e>
          <m:sup>
            <m:r>
              <w:rPr>
                <w:rFonts w:ascii="Cambria Math" w:hAnsi="Cambria Math"/>
                <w:lang w:val="it-IT"/>
              </w:rPr>
              <m:t>2</m:t>
            </m:r>
          </m:sup>
        </m:sSup>
      </m:oMath>
      <w:r w:rsidRPr="001470B3">
        <w:rPr>
          <w:lang w:val="it-IT"/>
        </w:rPr>
        <w:t xml:space="preserve">). Tale approccio garantisce trasparenza clinica, piena spiegabilità del modello di machine learning tabulare e un allineamento diretto con i criteri descrittivi dell'istopatologia classica. </w:t>
      </w:r>
    </w:p>
    <w:p w14:paraId="30DABA02" w14:textId="77777777" w:rsidR="005051C9" w:rsidRPr="005051C9" w:rsidRDefault="005051C9">
      <w:pPr>
        <w:rPr>
          <w:lang w:val="it-IT"/>
        </w:rPr>
      </w:pPr>
    </w:p>
    <w:p w14:paraId="0341C5AA" w14:textId="77777777" w:rsidR="003A78E3" w:rsidRPr="005051C9" w:rsidRDefault="00000000">
      <w:pPr>
        <w:spacing w:before="240" w:after="80"/>
        <w:rPr>
          <w:lang w:val="it-IT"/>
        </w:rPr>
      </w:pPr>
      <w:r w:rsidRPr="005051C9">
        <w:rPr>
          <w:b/>
          <w:color w:val="003366"/>
          <w:sz w:val="28"/>
          <w:lang w:val="it-IT"/>
        </w:rPr>
        <w:t>Obiettivi della Tesi</w:t>
      </w:r>
    </w:p>
    <w:p w14:paraId="0D48B8D8" w14:textId="77777777" w:rsidR="003A78E3" w:rsidRPr="005051C9" w:rsidRDefault="00000000">
      <w:pPr>
        <w:spacing w:after="80"/>
        <w:rPr>
          <w:lang w:val="it-IT"/>
        </w:rPr>
      </w:pPr>
      <w:r w:rsidRPr="005051C9">
        <w:rPr>
          <w:lang w:val="it-IT"/>
        </w:rPr>
        <w:t>Gli obiettivi principali sono:</w:t>
      </w:r>
    </w:p>
    <w:p w14:paraId="39E7DEC9" w14:textId="77777777" w:rsidR="003A78E3" w:rsidRPr="005051C9" w:rsidRDefault="00000000">
      <w:pPr>
        <w:pStyle w:val="Puntoelenco"/>
        <w:spacing w:after="60"/>
        <w:rPr>
          <w:lang w:val="it-IT"/>
        </w:rPr>
      </w:pPr>
      <w:r w:rsidRPr="005051C9">
        <w:rPr>
          <w:lang w:val="it-IT"/>
        </w:rPr>
        <w:t>Segmentazione automatica dei nuclei cellulari nelle immagini istologiche.</w:t>
      </w:r>
    </w:p>
    <w:p w14:paraId="0F5A84DA" w14:textId="77777777" w:rsidR="003A78E3" w:rsidRPr="005051C9" w:rsidRDefault="00000000">
      <w:pPr>
        <w:pStyle w:val="Puntoelenco"/>
        <w:spacing w:after="60"/>
        <w:rPr>
          <w:lang w:val="it-IT"/>
        </w:rPr>
      </w:pPr>
      <w:r w:rsidRPr="005051C9">
        <w:rPr>
          <w:lang w:val="it-IT"/>
        </w:rPr>
        <w:t>Caratterizzazione delle sotto‑popolazioni e della densità cellulare.</w:t>
      </w:r>
    </w:p>
    <w:p w14:paraId="1EA76076" w14:textId="77777777" w:rsidR="003A78E3" w:rsidRPr="005051C9" w:rsidRDefault="00000000">
      <w:pPr>
        <w:pStyle w:val="Puntoelenco"/>
        <w:spacing w:after="60"/>
        <w:rPr>
          <w:lang w:val="it-IT"/>
        </w:rPr>
      </w:pPr>
      <w:r w:rsidRPr="005051C9">
        <w:rPr>
          <w:lang w:val="it-IT"/>
        </w:rPr>
        <w:t xml:space="preserve">Estrazione di biomarcatori </w:t>
      </w:r>
      <w:proofErr w:type="spellStart"/>
      <w:r w:rsidRPr="005051C9">
        <w:rPr>
          <w:lang w:val="it-IT"/>
        </w:rPr>
        <w:t>citomorfometrici</w:t>
      </w:r>
      <w:proofErr w:type="spellEnd"/>
      <w:r w:rsidRPr="005051C9">
        <w:rPr>
          <w:lang w:val="it-IT"/>
        </w:rPr>
        <w:t xml:space="preserve"> e topologici dei nuclei.</w:t>
      </w:r>
    </w:p>
    <w:p w14:paraId="162C4A5D" w14:textId="77777777" w:rsidR="003A78E3" w:rsidRPr="005051C9" w:rsidRDefault="00000000">
      <w:pPr>
        <w:pStyle w:val="Puntoelenco"/>
        <w:spacing w:after="60"/>
        <w:rPr>
          <w:lang w:val="it-IT"/>
        </w:rPr>
      </w:pPr>
      <w:r w:rsidRPr="005051C9">
        <w:rPr>
          <w:lang w:val="it-IT"/>
        </w:rPr>
        <w:t>Analisi statistica, apprendimento non supervisionato e machine learning per discriminare tra linfoma follicolare e tessuto reattivo.</w:t>
      </w:r>
    </w:p>
    <w:p w14:paraId="3C2D8DCE" w14:textId="77777777" w:rsidR="003A78E3" w:rsidRPr="005051C9" w:rsidRDefault="00000000">
      <w:pPr>
        <w:pStyle w:val="Puntoelenco"/>
        <w:spacing w:after="60"/>
        <w:rPr>
          <w:lang w:val="it-IT"/>
        </w:rPr>
      </w:pPr>
      <w:r w:rsidRPr="005051C9">
        <w:rPr>
          <w:lang w:val="it-IT"/>
        </w:rPr>
        <w:t xml:space="preserve">Interpretazione clinica e </w:t>
      </w:r>
      <w:proofErr w:type="spellStart"/>
      <w:r w:rsidRPr="005051C9">
        <w:rPr>
          <w:lang w:val="it-IT"/>
        </w:rPr>
        <w:t>spiegabilità</w:t>
      </w:r>
      <w:proofErr w:type="spellEnd"/>
      <w:r w:rsidRPr="005051C9">
        <w:rPr>
          <w:lang w:val="it-IT"/>
        </w:rPr>
        <w:t xml:space="preserve"> dei biomarcatori identificati.</w:t>
      </w:r>
    </w:p>
    <w:p w14:paraId="3AA5DE45" w14:textId="77777777" w:rsidR="003A78E3" w:rsidRPr="005051C9" w:rsidRDefault="00000000">
      <w:pPr>
        <w:spacing w:before="240" w:after="80"/>
        <w:rPr>
          <w:lang w:val="it-IT"/>
        </w:rPr>
      </w:pPr>
      <w:r w:rsidRPr="005051C9">
        <w:rPr>
          <w:b/>
          <w:color w:val="003366"/>
          <w:sz w:val="28"/>
          <w:lang w:val="it-IT"/>
        </w:rPr>
        <w:lastRenderedPageBreak/>
        <w:t>Dataset</w:t>
      </w:r>
    </w:p>
    <w:p w14:paraId="084CCD05" w14:textId="77777777" w:rsidR="003A78E3" w:rsidRPr="005051C9" w:rsidRDefault="00000000">
      <w:pPr>
        <w:rPr>
          <w:lang w:val="it-IT"/>
        </w:rPr>
      </w:pPr>
      <w:r w:rsidRPr="005051C9">
        <w:rPr>
          <w:lang w:val="it-IT"/>
        </w:rPr>
        <w:t>Il dataset utilizzato è composto da immagini istopatologiche H&amp;E ad alto ingrandimento a risoluzione 224×224 pixel, suddivise in modo bilanciato tra campioni di linfoma follicolare (300 immagini) e tessuto linfatico reattivo (300 immagini). Le immagini consentono un'analisi accurata a livello cellulare e della micro‑architettura nucleare. Link: https://zenodo.org/records/15702609</w:t>
      </w:r>
    </w:p>
    <w:p w14:paraId="58411E9D" w14:textId="4F69C3E9" w:rsidR="004A3073" w:rsidRPr="004A3073" w:rsidRDefault="00000000" w:rsidP="004A3073">
      <w:pPr>
        <w:rPr>
          <w:i/>
          <w:lang w:val="it-IT"/>
        </w:rPr>
      </w:pPr>
      <w:r w:rsidRPr="005051C9">
        <w:rPr>
          <w:b/>
          <w:i/>
          <w:lang w:val="it-IT"/>
        </w:rPr>
        <w:t xml:space="preserve">Nota sulle unità di misura e calibrazione spaziale: </w:t>
      </w:r>
      <w:r w:rsidRPr="005051C9">
        <w:rPr>
          <w:i/>
          <w:lang w:val="it-IT"/>
        </w:rPr>
        <w:t>Le 600 patch presentano una risoluzione di 224×224 pixel ad alto ingrandimento. In conformità con le specifiche dello scanner di digitalizzazione impiegato nello studio sorgente (Hamamatsu NanoZoomer S360 con obiettivo 40×), il fattore di calibrazione spaziale è di 1 px ≈ 0.23 µm (pari a un campo visivo di circa 51.5 × 51.5 µm² per patch). I biomarcatori morfometrici e topologici sono pertanto espressi in unità di misura fisiche reali (µm per perimetri e distanze inter-nucleari, µm² per le aree nucleari), garantendo interpretabilità clinica immediata e piena confrontabilità con la letteratura istopatologica.</w:t>
      </w:r>
      <w:r w:rsidR="004A3073" w:rsidRPr="004A3073">
        <w:rPr>
          <w:rFonts w:ascii="Times New Roman" w:eastAsia="Times New Roman" w:hAnsi="Times New Roman" w:cs="Times New Roman"/>
          <w:color w:val="auto"/>
          <w:sz w:val="24"/>
          <w:szCs w:val="24"/>
          <w:lang w:val="it-IT" w:eastAsia="it-IT"/>
        </w:rPr>
        <w:t xml:space="preserve"> </w:t>
      </w:r>
      <w:r w:rsidR="004A3073" w:rsidRPr="004A3073">
        <w:rPr>
          <w:i/>
          <w:lang w:val="it-IT"/>
        </w:rPr>
        <w:t xml:space="preserve">Si precisa che, data l'estensione del campo visivo (circa </w:t>
      </w:r>
      <m:oMath>
        <m:r>
          <w:rPr>
            <w:rFonts w:ascii="Cambria Math" w:hAnsi="Cambria Math"/>
            <w:lang w:val="it-IT"/>
          </w:rPr>
          <m:t>51.5×51.5 μ</m:t>
        </m:r>
        <m:sSup>
          <m:sSupPr>
            <m:ctrlPr>
              <w:rPr>
                <w:rFonts w:ascii="Cambria Math" w:hAnsi="Cambria Math"/>
                <w:i/>
                <w:lang w:val="it-IT"/>
              </w:rPr>
            </m:ctrlPr>
          </m:sSupPr>
          <m:e>
            <m:r>
              <m:rPr>
                <m:nor/>
              </m:rPr>
              <w:rPr>
                <w:i/>
                <w:lang w:val="it-IT"/>
              </w:rPr>
              <m:t>m</m:t>
            </m:r>
          </m:e>
          <m:sup>
            <m:r>
              <w:rPr>
                <w:rFonts w:ascii="Cambria Math" w:hAnsi="Cambria Math"/>
                <w:lang w:val="it-IT"/>
              </w:rPr>
              <m:t>2</m:t>
            </m:r>
          </m:sup>
        </m:sSup>
      </m:oMath>
      <w:r w:rsidR="004A3073" w:rsidRPr="004A3073">
        <w:rPr>
          <w:i/>
          <w:lang w:val="it-IT"/>
        </w:rPr>
        <w:t>), l'analisi topologica e l'estrazione dei grafi spaziali sono focalizzate sulla micro-organizzazione e sul micro-ambiente inter-nucleare a livello locale, piuttosto che sull'architettura macro-follicolare dell'intero linfonodo.</w:t>
      </w:r>
    </w:p>
    <w:p w14:paraId="0561E507" w14:textId="55403FAE" w:rsidR="003A78E3" w:rsidRPr="005051C9" w:rsidRDefault="003A78E3">
      <w:pPr>
        <w:rPr>
          <w:lang w:val="it-IT"/>
        </w:rPr>
      </w:pPr>
    </w:p>
    <w:p w14:paraId="179BF777" w14:textId="77777777" w:rsidR="003A78E3" w:rsidRDefault="00000000">
      <w:pPr>
        <w:spacing w:before="240" w:after="80"/>
      </w:pPr>
      <w:r>
        <w:rPr>
          <w:b/>
          <w:color w:val="003366"/>
          <w:sz w:val="28"/>
        </w:rPr>
        <w:t xml:space="preserve">Workflow </w:t>
      </w:r>
      <w:proofErr w:type="spellStart"/>
      <w:r>
        <w:rPr>
          <w:b/>
          <w:color w:val="003366"/>
          <w:sz w:val="28"/>
        </w:rPr>
        <w:t>Metodologico</w:t>
      </w:r>
      <w:proofErr w:type="spellEnd"/>
    </w:p>
    <w:p w14:paraId="5571535E" w14:textId="77777777" w:rsidR="003A78E3" w:rsidRDefault="00000000">
      <w:pPr>
        <w:spacing w:after="60"/>
      </w:pPr>
      <w:r>
        <w:rPr>
          <w:b/>
        </w:rPr>
        <w:t xml:space="preserve">1. Preprocessing delle </w:t>
      </w:r>
      <w:proofErr w:type="spellStart"/>
      <w:r>
        <w:rPr>
          <w:b/>
        </w:rPr>
        <w:t>immagini</w:t>
      </w:r>
      <w:proofErr w:type="spellEnd"/>
    </w:p>
    <w:p w14:paraId="77980D65" w14:textId="77777777" w:rsidR="003A78E3" w:rsidRPr="005051C9" w:rsidRDefault="00000000">
      <w:pPr>
        <w:pStyle w:val="Puntoelenco"/>
        <w:spacing w:after="60"/>
        <w:rPr>
          <w:lang w:val="it-IT"/>
        </w:rPr>
      </w:pPr>
      <w:r w:rsidRPr="005051C9">
        <w:rPr>
          <w:lang w:val="it-IT"/>
        </w:rPr>
        <w:t>Normalizzazione del colore (</w:t>
      </w:r>
      <w:proofErr w:type="spellStart"/>
      <w:r w:rsidRPr="005051C9">
        <w:rPr>
          <w:lang w:val="it-IT"/>
        </w:rPr>
        <w:t>stain</w:t>
      </w:r>
      <w:proofErr w:type="spellEnd"/>
      <w:r w:rsidRPr="005051C9">
        <w:rPr>
          <w:lang w:val="it-IT"/>
        </w:rPr>
        <w:t xml:space="preserve"> </w:t>
      </w:r>
      <w:proofErr w:type="spellStart"/>
      <w:r w:rsidRPr="005051C9">
        <w:rPr>
          <w:lang w:val="it-IT"/>
        </w:rPr>
        <w:t>normalization</w:t>
      </w:r>
      <w:proofErr w:type="spellEnd"/>
      <w:r w:rsidRPr="005051C9">
        <w:rPr>
          <w:lang w:val="it-IT"/>
        </w:rPr>
        <w:t>).</w:t>
      </w:r>
    </w:p>
    <w:p w14:paraId="1F46CA23" w14:textId="77777777" w:rsidR="003A78E3" w:rsidRPr="005051C9" w:rsidRDefault="00000000">
      <w:pPr>
        <w:pStyle w:val="Puntoelenco"/>
        <w:spacing w:after="60"/>
        <w:rPr>
          <w:lang w:val="it-IT"/>
        </w:rPr>
      </w:pPr>
      <w:r w:rsidRPr="005051C9">
        <w:rPr>
          <w:lang w:val="it-IT"/>
        </w:rPr>
        <w:t>Riduzione del rumore e miglioramento del contrasto sulle patch istologiche.</w:t>
      </w:r>
    </w:p>
    <w:p w14:paraId="79C570A9" w14:textId="77777777" w:rsidR="003A78E3" w:rsidRPr="005051C9" w:rsidRDefault="00000000">
      <w:pPr>
        <w:spacing w:after="60"/>
        <w:rPr>
          <w:lang w:val="it-IT"/>
        </w:rPr>
      </w:pPr>
      <w:r w:rsidRPr="005051C9">
        <w:rPr>
          <w:b/>
          <w:lang w:val="it-IT"/>
        </w:rPr>
        <w:t>2. Segmentazione dei nuclei cellulari</w:t>
      </w:r>
    </w:p>
    <w:p w14:paraId="267FFC55" w14:textId="77777777" w:rsidR="003A78E3" w:rsidRPr="005051C9" w:rsidRDefault="00000000">
      <w:pPr>
        <w:spacing w:after="60"/>
        <w:rPr>
          <w:lang w:val="it-IT"/>
        </w:rPr>
      </w:pPr>
      <w:r w:rsidRPr="005051C9">
        <w:rPr>
          <w:lang w:val="it-IT"/>
        </w:rPr>
        <w:t xml:space="preserve">Sviluppo di un modello di segmentazione basato su deep learning (U-Net con </w:t>
      </w:r>
      <w:proofErr w:type="spellStart"/>
      <w:r w:rsidRPr="005051C9">
        <w:rPr>
          <w:lang w:val="it-IT"/>
        </w:rPr>
        <w:t>backbone</w:t>
      </w:r>
      <w:proofErr w:type="spellEnd"/>
      <w:r w:rsidRPr="005051C9">
        <w:rPr>
          <w:lang w:val="it-IT"/>
        </w:rPr>
        <w:t xml:space="preserve"> ResNet-34) per individuare ed isolare automaticamente i nuclei cellulari nelle patch.</w:t>
      </w:r>
    </w:p>
    <w:p w14:paraId="170002F3" w14:textId="77777777" w:rsidR="003A78E3" w:rsidRPr="005051C9" w:rsidRDefault="00000000">
      <w:pPr>
        <w:rPr>
          <w:lang w:val="it-IT"/>
        </w:rPr>
      </w:pPr>
      <w:r w:rsidRPr="005051C9">
        <w:rPr>
          <w:b/>
          <w:lang w:val="it-IT"/>
        </w:rPr>
        <w:t xml:space="preserve">Annotazione manuale della Ground Truth e addestramento diretto di U-Net: </w:t>
      </w:r>
      <w:r w:rsidRPr="005051C9">
        <w:rPr>
          <w:lang w:val="it-IT"/>
        </w:rPr>
        <w:t xml:space="preserve">Creazione delle maschere di segmentazione nucleare di riferimento (Ground Truth) su un sottoinsieme rappresentativo di patch estratte direttamente dal dataset di tesi (es. 20–30 patch) mediante strumenti dedicati (es. </w:t>
      </w:r>
      <w:proofErr w:type="spellStart"/>
      <w:r w:rsidRPr="005051C9">
        <w:rPr>
          <w:lang w:val="it-IT"/>
        </w:rPr>
        <w:t>QuPath</w:t>
      </w:r>
      <w:proofErr w:type="spellEnd"/>
      <w:r w:rsidRPr="005051C9">
        <w:rPr>
          <w:lang w:val="it-IT"/>
        </w:rPr>
        <w:t xml:space="preserve"> / </w:t>
      </w:r>
      <w:proofErr w:type="spellStart"/>
      <w:r w:rsidRPr="005051C9">
        <w:rPr>
          <w:lang w:val="it-IT"/>
        </w:rPr>
        <w:t>ImageJ</w:t>
      </w:r>
      <w:proofErr w:type="spellEnd"/>
      <w:r w:rsidRPr="005051C9">
        <w:rPr>
          <w:lang w:val="it-IT"/>
        </w:rPr>
        <w:t xml:space="preserve">). Il modello U-Net (con </w:t>
      </w:r>
      <w:proofErr w:type="spellStart"/>
      <w:r w:rsidRPr="005051C9">
        <w:rPr>
          <w:lang w:val="it-IT"/>
        </w:rPr>
        <w:t>backbone</w:t>
      </w:r>
      <w:proofErr w:type="spellEnd"/>
      <w:r w:rsidRPr="005051C9">
        <w:rPr>
          <w:lang w:val="it-IT"/>
        </w:rPr>
        <w:t xml:space="preserve"> ResNet-34) viene addestrato e validato direttamente su queste annotazioni di dominio, quantificando le prestazioni tramite Dice </w:t>
      </w:r>
      <w:proofErr w:type="spellStart"/>
      <w:r w:rsidRPr="005051C9">
        <w:rPr>
          <w:lang w:val="it-IT"/>
        </w:rPr>
        <w:t>Coefficient</w:t>
      </w:r>
      <w:proofErr w:type="spellEnd"/>
      <w:r w:rsidRPr="005051C9">
        <w:rPr>
          <w:lang w:val="it-IT"/>
        </w:rPr>
        <w:t xml:space="preserve"> e </w:t>
      </w:r>
      <w:proofErr w:type="spellStart"/>
      <w:r w:rsidRPr="005051C9">
        <w:rPr>
          <w:lang w:val="it-IT"/>
        </w:rPr>
        <w:t>IoU</w:t>
      </w:r>
      <w:proofErr w:type="spellEnd"/>
      <w:r w:rsidRPr="005051C9">
        <w:rPr>
          <w:lang w:val="it-IT"/>
        </w:rPr>
        <w:t>.</w:t>
      </w:r>
    </w:p>
    <w:p w14:paraId="767DF559" w14:textId="77777777" w:rsidR="003A78E3" w:rsidRPr="005051C9" w:rsidRDefault="00000000">
      <w:pPr>
        <w:rPr>
          <w:lang w:val="it-IT"/>
        </w:rPr>
      </w:pPr>
      <w:r w:rsidRPr="005051C9">
        <w:rPr>
          <w:b/>
          <w:lang w:val="it-IT"/>
        </w:rPr>
        <w:t xml:space="preserve">Confronto con </w:t>
      </w:r>
      <w:proofErr w:type="spellStart"/>
      <w:r w:rsidRPr="005051C9">
        <w:rPr>
          <w:b/>
          <w:lang w:val="it-IT"/>
        </w:rPr>
        <w:t>StarDist</w:t>
      </w:r>
      <w:proofErr w:type="spellEnd"/>
      <w:r w:rsidRPr="005051C9">
        <w:rPr>
          <w:b/>
          <w:lang w:val="it-IT"/>
        </w:rPr>
        <w:t xml:space="preserve"> come benchmark zero-shot: </w:t>
      </w:r>
      <w:r w:rsidRPr="005051C9">
        <w:rPr>
          <w:lang w:val="it-IT"/>
        </w:rPr>
        <w:t xml:space="preserve">Le maschere generate dal modello U-Net addestrato sul proprio dataset vengono confrontate sia con la Ground Truth manuale che con quelle ottenute tramite </w:t>
      </w:r>
      <w:proofErr w:type="spellStart"/>
      <w:r w:rsidRPr="005051C9">
        <w:rPr>
          <w:lang w:val="it-IT"/>
        </w:rPr>
        <w:t>StarDist</w:t>
      </w:r>
      <w:proofErr w:type="spellEnd"/>
      <w:r w:rsidRPr="005051C9">
        <w:rPr>
          <w:lang w:val="it-IT"/>
        </w:rPr>
        <w:t xml:space="preserve"> (2D_versatile_he), modello </w:t>
      </w:r>
      <w:proofErr w:type="spellStart"/>
      <w:r w:rsidRPr="005051C9">
        <w:rPr>
          <w:lang w:val="it-IT"/>
        </w:rPr>
        <w:t>pre</w:t>
      </w:r>
      <w:proofErr w:type="spellEnd"/>
      <w:r w:rsidRPr="005051C9">
        <w:rPr>
          <w:lang w:val="it-IT"/>
        </w:rPr>
        <w:t>-addestrato su tessuti H&amp;E, al fine di valutare quantitativamente l'efficacia dell'addestramento specifico sul tessuto linfatico rispetto a modelli generici.</w:t>
      </w:r>
    </w:p>
    <w:p w14:paraId="593A45B3" w14:textId="77777777" w:rsidR="003A78E3" w:rsidRDefault="00000000">
      <w:pPr>
        <w:spacing w:after="60"/>
      </w:pPr>
      <w:r>
        <w:t xml:space="preserve">Output </w:t>
      </w:r>
      <w:proofErr w:type="spellStart"/>
      <w:r>
        <w:t>atteso</w:t>
      </w:r>
      <w:proofErr w:type="spellEnd"/>
      <w:r>
        <w:t>:</w:t>
      </w:r>
    </w:p>
    <w:p w14:paraId="2B90D34C" w14:textId="77777777" w:rsidR="003A78E3" w:rsidRPr="005051C9" w:rsidRDefault="00000000">
      <w:pPr>
        <w:pStyle w:val="Puntoelenco"/>
        <w:spacing w:after="60"/>
        <w:rPr>
          <w:lang w:val="it-IT"/>
        </w:rPr>
      </w:pPr>
      <w:r w:rsidRPr="005051C9">
        <w:rPr>
          <w:lang w:val="it-IT"/>
        </w:rPr>
        <w:t>Maschere di segmentazione dei nuclei cellulari.</w:t>
      </w:r>
    </w:p>
    <w:p w14:paraId="6E06DA55" w14:textId="77777777" w:rsidR="003A78E3" w:rsidRPr="005051C9" w:rsidRDefault="00000000">
      <w:pPr>
        <w:pStyle w:val="Puntoelenco"/>
        <w:spacing w:after="60"/>
        <w:rPr>
          <w:lang w:val="it-IT"/>
        </w:rPr>
      </w:pPr>
      <w:r w:rsidRPr="005051C9">
        <w:rPr>
          <w:lang w:val="it-IT"/>
        </w:rPr>
        <w:t>Localizzazione spaziale e centri geometrici dei nuclei nel campo visivo.</w:t>
      </w:r>
    </w:p>
    <w:p w14:paraId="17F2D2E9" w14:textId="77777777" w:rsidR="003A78E3" w:rsidRPr="005051C9" w:rsidRDefault="00000000">
      <w:pPr>
        <w:pStyle w:val="Puntoelenco"/>
        <w:rPr>
          <w:lang w:val="it-IT"/>
        </w:rPr>
      </w:pPr>
      <w:r w:rsidRPr="005051C9">
        <w:rPr>
          <w:lang w:val="it-IT"/>
        </w:rPr>
        <w:lastRenderedPageBreak/>
        <w:t>Report di validazione quantitativa della segmentazione (Dice/</w:t>
      </w:r>
      <w:proofErr w:type="spellStart"/>
      <w:r w:rsidRPr="005051C9">
        <w:rPr>
          <w:lang w:val="it-IT"/>
        </w:rPr>
        <w:t>IoU</w:t>
      </w:r>
      <w:proofErr w:type="spellEnd"/>
      <w:r w:rsidRPr="005051C9">
        <w:rPr>
          <w:lang w:val="it-IT"/>
        </w:rPr>
        <w:t xml:space="preserve"> su Ground Truth locale e confronto con </w:t>
      </w:r>
      <w:proofErr w:type="spellStart"/>
      <w:r w:rsidRPr="005051C9">
        <w:rPr>
          <w:lang w:val="it-IT"/>
        </w:rPr>
        <w:t>StarDist</w:t>
      </w:r>
      <w:proofErr w:type="spellEnd"/>
      <w:r w:rsidRPr="005051C9">
        <w:rPr>
          <w:lang w:val="it-IT"/>
        </w:rPr>
        <w:t>).</w:t>
      </w:r>
    </w:p>
    <w:p w14:paraId="63AA0B86" w14:textId="77777777" w:rsidR="005051C9" w:rsidRDefault="005051C9" w:rsidP="005051C9">
      <w:pPr>
        <w:pStyle w:val="Puntoelenco"/>
        <w:numPr>
          <w:ilvl w:val="0"/>
          <w:numId w:val="0"/>
        </w:numPr>
        <w:ind w:left="360"/>
        <w:rPr>
          <w:lang w:val="it-IT"/>
        </w:rPr>
      </w:pPr>
    </w:p>
    <w:p w14:paraId="7DE007BA" w14:textId="77777777" w:rsidR="005051C9" w:rsidRPr="005051C9" w:rsidRDefault="005051C9" w:rsidP="005051C9">
      <w:pPr>
        <w:pStyle w:val="Puntoelenco"/>
        <w:numPr>
          <w:ilvl w:val="0"/>
          <w:numId w:val="0"/>
        </w:numPr>
        <w:ind w:left="360"/>
        <w:rPr>
          <w:lang w:val="it-IT"/>
        </w:rPr>
      </w:pPr>
      <w:r w:rsidRPr="005051C9">
        <w:rPr>
          <w:b/>
          <w:bCs/>
          <w:lang w:val="it-IT"/>
        </w:rPr>
        <w:t>Strategia di validazione e gestione della granularità dei dati:</w:t>
      </w:r>
    </w:p>
    <w:p w14:paraId="169563F5" w14:textId="534740DE" w:rsidR="005051C9" w:rsidRPr="005051C9" w:rsidRDefault="005051C9" w:rsidP="005051C9">
      <w:pPr>
        <w:pStyle w:val="Puntoelenco"/>
        <w:numPr>
          <w:ilvl w:val="0"/>
          <w:numId w:val="0"/>
        </w:numPr>
        <w:ind w:left="360"/>
        <w:rPr>
          <w:lang w:val="it-IT"/>
        </w:rPr>
      </w:pPr>
      <w:r w:rsidRPr="005051C9">
        <w:rPr>
          <w:lang w:val="it-IT"/>
        </w:rPr>
        <w:t xml:space="preserve">Il dataset pubblico di riferimento fornisce campioni di immagini istologiche H&amp;E ad alto ingrandimento resi anonimi a livello di singola patch, senza metadati associati all'identificativo dei pazienti di origine. </w:t>
      </w:r>
    </w:p>
    <w:p w14:paraId="7C286B5E" w14:textId="2C8D5234" w:rsidR="005051C9" w:rsidRPr="005051C9" w:rsidRDefault="005051C9" w:rsidP="005051C9">
      <w:pPr>
        <w:pStyle w:val="Puntoelenco"/>
        <w:numPr>
          <w:ilvl w:val="0"/>
          <w:numId w:val="0"/>
        </w:numPr>
        <w:ind w:left="360"/>
        <w:rPr>
          <w:lang w:val="it-IT"/>
        </w:rPr>
      </w:pPr>
      <w:r w:rsidRPr="005051C9">
        <w:rPr>
          <w:lang w:val="it-IT"/>
        </w:rPr>
        <w:t xml:space="preserve">Per garantire la robustezza metodologica della pipeline ed evitare sovrastime di generalizzazione, la validazione dei modelli di machine learning non supervisionato e supervisionato verrà condotta tramite uno schema di </w:t>
      </w:r>
      <w:proofErr w:type="spellStart"/>
      <w:r w:rsidRPr="005051C9">
        <w:rPr>
          <w:b/>
          <w:bCs/>
          <w:lang w:val="it-IT"/>
        </w:rPr>
        <w:t>Stratified</w:t>
      </w:r>
      <w:proofErr w:type="spellEnd"/>
      <w:r w:rsidRPr="005051C9">
        <w:rPr>
          <w:b/>
          <w:bCs/>
          <w:lang w:val="it-IT"/>
        </w:rPr>
        <w:t xml:space="preserve"> K-Fold Cross-</w:t>
      </w:r>
      <w:proofErr w:type="spellStart"/>
      <w:r w:rsidRPr="005051C9">
        <w:rPr>
          <w:b/>
          <w:bCs/>
          <w:lang w:val="it-IT"/>
        </w:rPr>
        <w:t>Validation</w:t>
      </w:r>
      <w:proofErr w:type="spellEnd"/>
      <w:r w:rsidRPr="005051C9">
        <w:rPr>
          <w:b/>
          <w:bCs/>
          <w:lang w:val="it-IT"/>
        </w:rPr>
        <w:t xml:space="preserve"> a livello di patch</w:t>
      </w:r>
      <w:r w:rsidRPr="005051C9">
        <w:rPr>
          <w:lang w:val="it-IT"/>
        </w:rPr>
        <w:t>. Questa procedura consente di quantificare la stabilità statistica delle metriche di performance (</w:t>
      </w:r>
      <w:proofErr w:type="spellStart"/>
      <w:r w:rsidRPr="005051C9">
        <w:rPr>
          <w:lang w:val="it-IT"/>
        </w:rPr>
        <w:t>Accuracy</w:t>
      </w:r>
      <w:proofErr w:type="spellEnd"/>
      <w:r w:rsidRPr="005051C9">
        <w:rPr>
          <w:lang w:val="it-IT"/>
        </w:rPr>
        <w:t>, Precision, Recall, AUC-ROC). Nella discussione dei risultati si terrà conto della granularità a livello di patch come caratteristica intrinseca del dataset aperto utilizzato.</w:t>
      </w:r>
    </w:p>
    <w:p w14:paraId="5AEFC343" w14:textId="77777777" w:rsidR="005051C9" w:rsidRPr="005051C9" w:rsidRDefault="005051C9" w:rsidP="005051C9">
      <w:pPr>
        <w:pStyle w:val="Puntoelenco"/>
        <w:numPr>
          <w:ilvl w:val="0"/>
          <w:numId w:val="0"/>
        </w:numPr>
        <w:ind w:left="360"/>
        <w:rPr>
          <w:lang w:val="it-IT"/>
        </w:rPr>
      </w:pPr>
    </w:p>
    <w:p w14:paraId="5991FB00" w14:textId="77777777" w:rsidR="003A78E3" w:rsidRPr="005051C9" w:rsidRDefault="00000000">
      <w:pPr>
        <w:spacing w:after="60"/>
        <w:rPr>
          <w:lang w:val="it-IT"/>
        </w:rPr>
      </w:pPr>
      <w:r w:rsidRPr="005051C9">
        <w:rPr>
          <w:b/>
          <w:lang w:val="it-IT"/>
        </w:rPr>
        <w:t>3. Segmentazione ed analisi delle sotto‑regioni cellulari</w:t>
      </w:r>
    </w:p>
    <w:p w14:paraId="50571E58" w14:textId="77777777" w:rsidR="003A78E3" w:rsidRPr="005051C9" w:rsidRDefault="00000000">
      <w:pPr>
        <w:spacing w:after="80"/>
        <w:rPr>
          <w:lang w:val="it-IT"/>
        </w:rPr>
      </w:pPr>
      <w:r w:rsidRPr="005051C9">
        <w:rPr>
          <w:lang w:val="it-IT"/>
        </w:rPr>
        <w:t>Caratterizzazione delle variazioni cromatico-spettrali e dei gradienti di densità cellulare all'interno delle patch.</w:t>
      </w:r>
    </w:p>
    <w:p w14:paraId="3933ECA9" w14:textId="77777777" w:rsidR="003A78E3" w:rsidRPr="005051C9" w:rsidRDefault="00000000">
      <w:pPr>
        <w:spacing w:after="60"/>
        <w:rPr>
          <w:lang w:val="it-IT"/>
        </w:rPr>
      </w:pPr>
      <w:r w:rsidRPr="005051C9">
        <w:rPr>
          <w:b/>
          <w:lang w:val="it-IT"/>
        </w:rPr>
        <w:t xml:space="preserve">4. Estrazione dei biomarcatori </w:t>
      </w:r>
      <w:proofErr w:type="spellStart"/>
      <w:r w:rsidRPr="005051C9">
        <w:rPr>
          <w:b/>
          <w:lang w:val="it-IT"/>
        </w:rPr>
        <w:t>citomorfometrici</w:t>
      </w:r>
      <w:proofErr w:type="spellEnd"/>
      <w:r w:rsidRPr="005051C9">
        <w:rPr>
          <w:b/>
          <w:lang w:val="it-IT"/>
        </w:rPr>
        <w:t xml:space="preserve"> e spaziali</w:t>
      </w:r>
    </w:p>
    <w:p w14:paraId="180AEF4E" w14:textId="77777777" w:rsidR="003A78E3" w:rsidRPr="005051C9" w:rsidRDefault="00000000">
      <w:pPr>
        <w:spacing w:after="60"/>
        <w:rPr>
          <w:lang w:val="it-IT"/>
        </w:rPr>
      </w:pPr>
      <w:r w:rsidRPr="005051C9">
        <w:rPr>
          <w:lang w:val="it-IT"/>
        </w:rPr>
        <w:t>Per ciascun campione verranno calcolate le seguenti metriche (espresse in unità fisiche µm e µm², grazie alla calibrazione 1 px ≈ 0.23 µm):</w:t>
      </w:r>
    </w:p>
    <w:p w14:paraId="768B49FE" w14:textId="77777777" w:rsidR="003A78E3" w:rsidRPr="005051C9" w:rsidRDefault="00000000">
      <w:pPr>
        <w:pStyle w:val="Puntoelenco"/>
        <w:spacing w:after="60"/>
        <w:rPr>
          <w:lang w:val="it-IT"/>
        </w:rPr>
      </w:pPr>
      <w:r w:rsidRPr="005051C9">
        <w:rPr>
          <w:lang w:val="it-IT"/>
        </w:rPr>
        <w:t>Dimensione e forma del nucleo (area in µm², perimetro in µm, circolarità, eccentricità, solidezza ≤ 1)</w:t>
      </w:r>
    </w:p>
    <w:p w14:paraId="58A27A20" w14:textId="77777777" w:rsidR="003A78E3" w:rsidRPr="005051C9" w:rsidRDefault="00000000">
      <w:pPr>
        <w:pStyle w:val="Puntoelenco"/>
        <w:spacing w:after="60"/>
        <w:rPr>
          <w:lang w:val="it-IT"/>
        </w:rPr>
      </w:pPr>
      <w:r w:rsidRPr="005051C9">
        <w:rPr>
          <w:lang w:val="it-IT"/>
        </w:rPr>
        <w:t xml:space="preserve">Pleomorfismo e variabilità della geometria nucleare (deviazione standard e </w:t>
      </w:r>
      <w:proofErr w:type="spellStart"/>
      <w:r w:rsidRPr="005051C9">
        <w:rPr>
          <w:lang w:val="it-IT"/>
        </w:rPr>
        <w:t>skewness</w:t>
      </w:r>
      <w:proofErr w:type="spellEnd"/>
      <w:r w:rsidRPr="005051C9">
        <w:rPr>
          <w:lang w:val="it-IT"/>
        </w:rPr>
        <w:t xml:space="preserve"> dell'area in µm² e della circolarità intra-patch)</w:t>
      </w:r>
    </w:p>
    <w:p w14:paraId="6C340A58" w14:textId="77777777" w:rsidR="003A78E3" w:rsidRPr="005051C9" w:rsidRDefault="00000000">
      <w:pPr>
        <w:pStyle w:val="Puntoelenco"/>
        <w:spacing w:after="60"/>
        <w:rPr>
          <w:lang w:val="it-IT"/>
        </w:rPr>
      </w:pPr>
      <w:r w:rsidRPr="005051C9">
        <w:rPr>
          <w:lang w:val="it-IT"/>
        </w:rPr>
        <w:t>Densità cellulare (occupazione nucleare percentuale), definita come rapporto tra l'area totale dei nuclei segmentati e l'area totale del campo visivo (51.5 × 51.5 µm²)</w:t>
      </w:r>
    </w:p>
    <w:p w14:paraId="237DC150" w14:textId="77777777" w:rsidR="003A78E3" w:rsidRPr="005051C9" w:rsidRDefault="00000000">
      <w:pPr>
        <w:pStyle w:val="Puntoelenco"/>
        <w:spacing w:after="60"/>
        <w:rPr>
          <w:lang w:val="it-IT"/>
        </w:rPr>
      </w:pPr>
      <w:r w:rsidRPr="005051C9">
        <w:rPr>
          <w:lang w:val="it-IT"/>
        </w:rPr>
        <w:t>Distanza media tra nuclei adiacenti espressa in µm (k-NN con k = 1, 3, 5)</w:t>
      </w:r>
    </w:p>
    <w:p w14:paraId="2A6DF0E8" w14:textId="77777777" w:rsidR="003A78E3" w:rsidRPr="005051C9" w:rsidRDefault="00000000">
      <w:pPr>
        <w:pStyle w:val="Puntoelenco"/>
        <w:spacing w:after="60"/>
        <w:rPr>
          <w:lang w:val="it-IT"/>
        </w:rPr>
      </w:pPr>
      <w:r w:rsidRPr="005051C9">
        <w:rPr>
          <w:lang w:val="it-IT"/>
        </w:rPr>
        <w:t>Distribuzione spaziale dei nuclei mediante grafi di vicinanza (Delaunay, MST con lunghezze dei lati in µm)</w:t>
      </w:r>
    </w:p>
    <w:p w14:paraId="56BFBBC3" w14:textId="77777777" w:rsidR="003A78E3" w:rsidRPr="005051C9" w:rsidRDefault="00000000">
      <w:pPr>
        <w:pStyle w:val="Puntoelenco"/>
        <w:spacing w:after="60"/>
        <w:rPr>
          <w:lang w:val="it-IT"/>
        </w:rPr>
      </w:pPr>
      <w:r w:rsidRPr="005051C9">
        <w:rPr>
          <w:lang w:val="it-IT"/>
        </w:rPr>
        <w:t xml:space="preserve">Proprietà di tessitura e colore del tessuto (GLCM </w:t>
      </w:r>
      <w:proofErr w:type="spellStart"/>
      <w:r w:rsidRPr="005051C9">
        <w:rPr>
          <w:lang w:val="it-IT"/>
        </w:rPr>
        <w:t>Haralick</w:t>
      </w:r>
      <w:proofErr w:type="spellEnd"/>
      <w:r w:rsidRPr="005051C9">
        <w:rPr>
          <w:lang w:val="it-IT"/>
        </w:rPr>
        <w:t>, LBP, momenti cromatici CIE-LAB)</w:t>
      </w:r>
    </w:p>
    <w:p w14:paraId="14930C9F" w14:textId="77777777" w:rsidR="003A78E3" w:rsidRPr="005051C9" w:rsidRDefault="00000000">
      <w:pPr>
        <w:spacing w:after="60"/>
        <w:rPr>
          <w:lang w:val="it-IT"/>
        </w:rPr>
      </w:pPr>
      <w:r w:rsidRPr="005051C9">
        <w:rPr>
          <w:b/>
          <w:lang w:val="it-IT"/>
        </w:rPr>
        <w:t>5. Analisi statistica e Machine Learning</w:t>
      </w:r>
    </w:p>
    <w:p w14:paraId="6857EF00" w14:textId="77777777" w:rsidR="003A78E3" w:rsidRPr="005051C9" w:rsidRDefault="00000000">
      <w:pPr>
        <w:spacing w:after="60"/>
        <w:rPr>
          <w:lang w:val="it-IT"/>
        </w:rPr>
      </w:pPr>
      <w:r w:rsidRPr="005051C9">
        <w:rPr>
          <w:lang w:val="it-IT"/>
        </w:rPr>
        <w:t xml:space="preserve">I biomarcatori </w:t>
      </w:r>
      <w:proofErr w:type="spellStart"/>
      <w:r w:rsidRPr="005051C9">
        <w:rPr>
          <w:lang w:val="it-IT"/>
        </w:rPr>
        <w:t>citomorfometrici</w:t>
      </w:r>
      <w:proofErr w:type="spellEnd"/>
      <w:r w:rsidRPr="005051C9">
        <w:rPr>
          <w:lang w:val="it-IT"/>
        </w:rPr>
        <w:t xml:space="preserve"> estratti verranno utilizzati per addestrare modelli di classificazione (Random Forest, SVM o modelli neurali) con l’obiettivo di distinguere tra linfoma follicolare e tessuto reattivo.</w:t>
      </w:r>
    </w:p>
    <w:p w14:paraId="1078B888" w14:textId="77777777" w:rsidR="003A78E3" w:rsidRDefault="00000000">
      <w:pPr>
        <w:spacing w:after="60"/>
      </w:pPr>
      <w:proofErr w:type="spellStart"/>
      <w:r>
        <w:t>Saranno</w:t>
      </w:r>
      <w:proofErr w:type="spellEnd"/>
      <w:r>
        <w:t xml:space="preserve"> </w:t>
      </w:r>
      <w:proofErr w:type="spellStart"/>
      <w:r>
        <w:t>valutate</w:t>
      </w:r>
      <w:proofErr w:type="spellEnd"/>
      <w:r>
        <w:t xml:space="preserve"> </w:t>
      </w:r>
      <w:proofErr w:type="spellStart"/>
      <w:r>
        <w:t>metriche</w:t>
      </w:r>
      <w:proofErr w:type="spellEnd"/>
      <w:r>
        <w:t xml:space="preserve"> come:</w:t>
      </w:r>
    </w:p>
    <w:p w14:paraId="024BF19B" w14:textId="77777777" w:rsidR="003A78E3" w:rsidRDefault="00000000">
      <w:pPr>
        <w:pStyle w:val="Puntoelenco"/>
        <w:spacing w:after="60"/>
      </w:pPr>
      <w:r>
        <w:t>Accuracy</w:t>
      </w:r>
    </w:p>
    <w:p w14:paraId="368083A0" w14:textId="77777777" w:rsidR="003A78E3" w:rsidRDefault="00000000">
      <w:pPr>
        <w:pStyle w:val="Puntoelenco"/>
        <w:spacing w:after="60"/>
      </w:pPr>
      <w:r>
        <w:t>Precision</w:t>
      </w:r>
    </w:p>
    <w:p w14:paraId="7B46736E" w14:textId="77777777" w:rsidR="003A78E3" w:rsidRDefault="00000000">
      <w:pPr>
        <w:pStyle w:val="Puntoelenco"/>
        <w:spacing w:after="60"/>
      </w:pPr>
      <w:r>
        <w:t>Recall</w:t>
      </w:r>
    </w:p>
    <w:p w14:paraId="58C73FCA" w14:textId="77777777" w:rsidR="003A78E3" w:rsidRDefault="00000000">
      <w:pPr>
        <w:pStyle w:val="Puntoelenco"/>
        <w:spacing w:after="60"/>
      </w:pPr>
      <w:r>
        <w:t>AUC-ROC</w:t>
      </w:r>
    </w:p>
    <w:p w14:paraId="7FBDA844" w14:textId="77777777" w:rsidR="004A3073" w:rsidRDefault="004A3073" w:rsidP="004A3073">
      <w:pPr>
        <w:pStyle w:val="Puntoelenco"/>
        <w:numPr>
          <w:ilvl w:val="0"/>
          <w:numId w:val="0"/>
        </w:numPr>
        <w:spacing w:after="60"/>
        <w:ind w:left="360"/>
      </w:pPr>
    </w:p>
    <w:p w14:paraId="6EE719E6" w14:textId="77777777" w:rsidR="003A78E3" w:rsidRDefault="00000000">
      <w:pPr>
        <w:spacing w:after="60"/>
      </w:pPr>
      <w:r>
        <w:rPr>
          <w:b/>
        </w:rPr>
        <w:lastRenderedPageBreak/>
        <w:t xml:space="preserve">6. </w:t>
      </w:r>
      <w:proofErr w:type="spellStart"/>
      <w:r>
        <w:rPr>
          <w:b/>
        </w:rPr>
        <w:t>Interpretazione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clinica</w:t>
      </w:r>
      <w:proofErr w:type="spellEnd"/>
    </w:p>
    <w:p w14:paraId="32D96D83" w14:textId="77777777" w:rsidR="003A78E3" w:rsidRDefault="00000000">
      <w:pPr>
        <w:rPr>
          <w:lang w:val="it-IT"/>
        </w:rPr>
      </w:pPr>
      <w:r w:rsidRPr="005051C9">
        <w:rPr>
          <w:lang w:val="it-IT"/>
        </w:rPr>
        <w:t>Analisi dei biomarcatori più rilevanti per comprendere quali caratteristiche morfologiche e topologiche contribuiscono maggiormente alla diagnosi automatica.</w:t>
      </w:r>
    </w:p>
    <w:p w14:paraId="7BBD8EF5" w14:textId="77777777" w:rsidR="004A3073" w:rsidRDefault="004A3073" w:rsidP="004A3073">
      <w:pPr>
        <w:spacing w:before="240" w:after="80"/>
        <w:rPr>
          <w:lang w:val="it-IT"/>
        </w:rPr>
      </w:pPr>
      <w:r w:rsidRPr="0049291A">
        <w:rPr>
          <w:lang w:val="it-IT"/>
        </w:rPr>
        <w:t xml:space="preserve">Analisi di </w:t>
      </w:r>
      <w:proofErr w:type="spellStart"/>
      <w:r w:rsidRPr="0049291A">
        <w:rPr>
          <w:lang w:val="it-IT"/>
        </w:rPr>
        <w:t>Spiegabilità</w:t>
      </w:r>
      <w:proofErr w:type="spellEnd"/>
      <w:r w:rsidRPr="0049291A">
        <w:rPr>
          <w:lang w:val="it-IT"/>
        </w:rPr>
        <w:t xml:space="preserve"> (XAI) mediante SHAP (</w:t>
      </w:r>
      <w:proofErr w:type="spellStart"/>
      <w:r w:rsidRPr="0049291A">
        <w:rPr>
          <w:lang w:val="it-IT"/>
        </w:rPr>
        <w:t>SHapley</w:t>
      </w:r>
      <w:proofErr w:type="spellEnd"/>
      <w:r w:rsidRPr="0049291A">
        <w:rPr>
          <w:lang w:val="it-IT"/>
        </w:rPr>
        <w:t xml:space="preserve"> Additive </w:t>
      </w:r>
      <w:proofErr w:type="spellStart"/>
      <w:r w:rsidRPr="0049291A">
        <w:rPr>
          <w:lang w:val="it-IT"/>
        </w:rPr>
        <w:t>exPlanations</w:t>
      </w:r>
      <w:proofErr w:type="spellEnd"/>
      <w:r w:rsidRPr="0049291A">
        <w:rPr>
          <w:lang w:val="it-IT"/>
        </w:rPr>
        <w:t xml:space="preserve">) e </w:t>
      </w:r>
      <w:proofErr w:type="spellStart"/>
      <w:r w:rsidRPr="0049291A">
        <w:rPr>
          <w:lang w:val="it-IT"/>
        </w:rPr>
        <w:t>Permutation</w:t>
      </w:r>
      <w:proofErr w:type="spellEnd"/>
      <w:r w:rsidRPr="0049291A">
        <w:rPr>
          <w:lang w:val="it-IT"/>
        </w:rPr>
        <w:t xml:space="preserve"> Feature </w:t>
      </w:r>
      <w:proofErr w:type="spellStart"/>
      <w:r w:rsidRPr="0049291A">
        <w:rPr>
          <w:lang w:val="it-IT"/>
        </w:rPr>
        <w:t>Importance</w:t>
      </w:r>
      <w:proofErr w:type="spellEnd"/>
      <w:r w:rsidRPr="0049291A">
        <w:rPr>
          <w:lang w:val="it-IT"/>
        </w:rPr>
        <w:t xml:space="preserve"> per quantificare l'impatto clinico-diagnostico dei singoli biomarcatori.</w:t>
      </w:r>
    </w:p>
    <w:p w14:paraId="0B9EBA30" w14:textId="77777777" w:rsidR="004A3073" w:rsidRPr="005051C9" w:rsidRDefault="004A3073">
      <w:pPr>
        <w:rPr>
          <w:lang w:val="it-IT"/>
        </w:rPr>
      </w:pPr>
    </w:p>
    <w:p w14:paraId="5A4B163A" w14:textId="77777777" w:rsidR="003A78E3" w:rsidRPr="005051C9" w:rsidRDefault="00000000">
      <w:pPr>
        <w:spacing w:before="240" w:after="80"/>
        <w:rPr>
          <w:lang w:val="it-IT"/>
        </w:rPr>
      </w:pPr>
      <w:r w:rsidRPr="005051C9">
        <w:rPr>
          <w:b/>
          <w:color w:val="003366"/>
          <w:sz w:val="28"/>
          <w:lang w:val="it-IT"/>
        </w:rPr>
        <w:t>Risultati Attesi</w:t>
      </w:r>
    </w:p>
    <w:p w14:paraId="0DA08E88" w14:textId="77777777" w:rsidR="003A78E3" w:rsidRPr="005051C9" w:rsidRDefault="00000000">
      <w:pPr>
        <w:rPr>
          <w:lang w:val="it-IT"/>
        </w:rPr>
      </w:pPr>
      <w:r w:rsidRPr="005051C9">
        <w:rPr>
          <w:lang w:val="it-IT"/>
        </w:rPr>
        <w:t xml:space="preserve">La tesi porterà allo sviluppo di un sistema computazionale capace di estrarre biomarcatori </w:t>
      </w:r>
      <w:proofErr w:type="spellStart"/>
      <w:r w:rsidRPr="005051C9">
        <w:rPr>
          <w:lang w:val="it-IT"/>
        </w:rPr>
        <w:t>citomorfometrici</w:t>
      </w:r>
      <w:proofErr w:type="spellEnd"/>
      <w:r w:rsidRPr="005051C9">
        <w:rPr>
          <w:lang w:val="it-IT"/>
        </w:rPr>
        <w:t xml:space="preserve"> ed interpretabili dalla micro‑architettura nucleare. Questi biomarcatori potranno contribuire alla diagnosi assistita da AI e all’identificazione di pattern morfologici e spaziali associati al linfoma follicolare.</w:t>
      </w:r>
    </w:p>
    <w:sectPr w:rsidR="003A78E3" w:rsidRPr="005051C9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0234878">
    <w:abstractNumId w:val="8"/>
  </w:num>
  <w:num w:numId="2" w16cid:durableId="1702434438">
    <w:abstractNumId w:val="6"/>
  </w:num>
  <w:num w:numId="3" w16cid:durableId="795298187">
    <w:abstractNumId w:val="5"/>
  </w:num>
  <w:num w:numId="4" w16cid:durableId="712777214">
    <w:abstractNumId w:val="4"/>
  </w:num>
  <w:num w:numId="5" w16cid:durableId="1674185680">
    <w:abstractNumId w:val="7"/>
  </w:num>
  <w:num w:numId="6" w16cid:durableId="1214927219">
    <w:abstractNumId w:val="3"/>
  </w:num>
  <w:num w:numId="7" w16cid:durableId="1812357864">
    <w:abstractNumId w:val="2"/>
  </w:num>
  <w:num w:numId="8" w16cid:durableId="1761947816">
    <w:abstractNumId w:val="1"/>
  </w:num>
  <w:num w:numId="9" w16cid:durableId="1573663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0C4B"/>
    <w:rsid w:val="00326F90"/>
    <w:rsid w:val="00330748"/>
    <w:rsid w:val="003A78E3"/>
    <w:rsid w:val="004A3073"/>
    <w:rsid w:val="005051C9"/>
    <w:rsid w:val="00AA1D8D"/>
    <w:rsid w:val="00AA6B8B"/>
    <w:rsid w:val="00B47730"/>
    <w:rsid w:val="00C3240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238EC99"/>
  <w14:defaultImageDpi w14:val="300"/>
  <w15:docId w15:val="{D08AF16F-0F72-4C42-A426-2CB54BAE0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pPr>
      <w:spacing w:after="120"/>
    </w:pPr>
    <w:rPr>
      <w:rFonts w:ascii="Calibri" w:hAnsi="Calibri"/>
      <w:color w:val="333333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Testosegnaposto">
    <w:name w:val="Placeholder Text"/>
    <w:basedOn w:val="Carpredefinitoparagrafo"/>
    <w:uiPriority w:val="99"/>
    <w:semiHidden/>
    <w:rsid w:val="002C0C4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1258</Words>
  <Characters>7171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ROSARIA CERVINO</cp:lastModifiedBy>
  <cp:revision>4</cp:revision>
  <dcterms:created xsi:type="dcterms:W3CDTF">2013-12-23T23:15:00Z</dcterms:created>
  <dcterms:modified xsi:type="dcterms:W3CDTF">2026-08-17T09:11:00Z</dcterms:modified>
  <cp:category/>
</cp:coreProperties>
</file>