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D0400F" w14:textId="77777777" w:rsidR="00861FCD" w:rsidRDefault="00861FCD" w:rsidP="00861FCD">
      <w:pPr>
        <w:ind w:left="360" w:hanging="360"/>
        <w:jc w:val="both"/>
      </w:pPr>
    </w:p>
    <w:p w14:paraId="2B044090" w14:textId="77777777" w:rsidR="00861FCD" w:rsidRPr="004B3A6E" w:rsidRDefault="00861FCD" w:rsidP="00861FCD">
      <w:pPr>
        <w:jc w:val="both"/>
        <w:rPr>
          <w:rFonts w:ascii="Times New Roman" w:hAnsi="Times New Roman" w:cs="Times New Roman"/>
          <w:b/>
          <w:bCs/>
        </w:rPr>
      </w:pPr>
      <w:r>
        <w:rPr>
          <w:noProof/>
        </w:rPr>
        <w:drawing>
          <wp:anchor distT="0" distB="0" distL="114300" distR="114300" simplePos="0" relativeHeight="251659264" behindDoc="1" locked="0" layoutInCell="1" allowOverlap="1" wp14:anchorId="2E443669" wp14:editId="09E83017">
            <wp:simplePos x="0" y="0"/>
            <wp:positionH relativeFrom="margin">
              <wp:posOffset>958788</wp:posOffset>
            </wp:positionH>
            <wp:positionV relativeFrom="paragraph">
              <wp:posOffset>4439</wp:posOffset>
            </wp:positionV>
            <wp:extent cx="4203207" cy="2059107"/>
            <wp:effectExtent l="0" t="0" r="0" b="0"/>
            <wp:wrapNone/>
            <wp:docPr id="1740752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227430" cy="207097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D2D9E91" w14:textId="77777777" w:rsidR="00861FCD" w:rsidRPr="004B3A6E" w:rsidRDefault="00861FCD" w:rsidP="00861FCD">
      <w:pPr>
        <w:jc w:val="both"/>
        <w:rPr>
          <w:rFonts w:ascii="Times New Roman" w:hAnsi="Times New Roman" w:cs="Times New Roman"/>
          <w:b/>
          <w:bCs/>
        </w:rPr>
      </w:pPr>
    </w:p>
    <w:p w14:paraId="3A28FABE" w14:textId="77777777" w:rsidR="00861FCD" w:rsidRPr="004B3A6E" w:rsidRDefault="00861FCD" w:rsidP="00861FCD">
      <w:pPr>
        <w:jc w:val="both"/>
        <w:rPr>
          <w:rFonts w:ascii="Times New Roman" w:hAnsi="Times New Roman" w:cs="Times New Roman"/>
          <w:b/>
          <w:bCs/>
        </w:rPr>
      </w:pPr>
    </w:p>
    <w:p w14:paraId="51280B3C" w14:textId="77777777" w:rsidR="00861FCD" w:rsidRPr="004B3A6E" w:rsidRDefault="00861FCD" w:rsidP="00861FCD">
      <w:pPr>
        <w:spacing w:line="360" w:lineRule="auto"/>
        <w:jc w:val="both"/>
        <w:rPr>
          <w:rFonts w:ascii="Times New Roman" w:hAnsi="Times New Roman" w:cs="Times New Roman"/>
          <w:b/>
          <w:bCs/>
        </w:rPr>
      </w:pPr>
    </w:p>
    <w:p w14:paraId="0843F031" w14:textId="77777777" w:rsidR="00861FCD" w:rsidRDefault="00861FCD" w:rsidP="00861FCD">
      <w:pPr>
        <w:spacing w:line="360" w:lineRule="auto"/>
        <w:rPr>
          <w:rFonts w:ascii="Times New Roman" w:hAnsi="Times New Roman" w:cs="Times New Roman"/>
        </w:rPr>
      </w:pPr>
    </w:p>
    <w:p w14:paraId="316230CA" w14:textId="77777777" w:rsidR="00861FCD" w:rsidRDefault="00861FCD" w:rsidP="00861FCD">
      <w:pPr>
        <w:spacing w:line="360" w:lineRule="auto"/>
        <w:jc w:val="center"/>
        <w:rPr>
          <w:rFonts w:ascii="Algerian" w:hAnsi="Algerian" w:cs="Aldhabi"/>
          <w:sz w:val="72"/>
          <w:szCs w:val="72"/>
        </w:rPr>
      </w:pPr>
    </w:p>
    <w:p w14:paraId="1EF67693" w14:textId="77777777" w:rsidR="00861FCD" w:rsidRDefault="00861FCD" w:rsidP="00861FCD">
      <w:pPr>
        <w:spacing w:line="360" w:lineRule="auto"/>
        <w:jc w:val="center"/>
        <w:rPr>
          <w:rFonts w:ascii="Algerian" w:hAnsi="Algerian" w:cs="Aldhabi"/>
          <w:sz w:val="72"/>
          <w:szCs w:val="72"/>
        </w:rPr>
      </w:pPr>
      <w:r w:rsidRPr="00105200">
        <w:rPr>
          <w:rFonts w:ascii="Algerian" w:hAnsi="Algerian" w:cs="Aldhabi"/>
          <w:sz w:val="72"/>
          <w:szCs w:val="72"/>
        </w:rPr>
        <w:t>SWOT Analysis</w:t>
      </w:r>
    </w:p>
    <w:p w14:paraId="702F99ED" w14:textId="4B9FDFA9" w:rsidR="00861FCD" w:rsidRPr="00105200" w:rsidRDefault="00861FCD" w:rsidP="00861FCD">
      <w:pPr>
        <w:spacing w:line="360" w:lineRule="auto"/>
        <w:jc w:val="center"/>
        <w:rPr>
          <w:rFonts w:ascii="Times New Roman" w:hAnsi="Times New Roman" w:cs="Times New Roman"/>
          <w:b/>
          <w:bCs/>
          <w:sz w:val="40"/>
          <w:szCs w:val="40"/>
        </w:rPr>
      </w:pPr>
      <w:r w:rsidRPr="00105200">
        <w:rPr>
          <w:rFonts w:ascii="Times New Roman" w:hAnsi="Times New Roman" w:cs="Times New Roman"/>
          <w:b/>
          <w:bCs/>
          <w:sz w:val="40"/>
          <w:szCs w:val="40"/>
        </w:rPr>
        <w:t xml:space="preserve">Module </w:t>
      </w:r>
      <w:r>
        <w:rPr>
          <w:rFonts w:ascii="Times New Roman" w:hAnsi="Times New Roman" w:cs="Times New Roman"/>
          <w:b/>
          <w:bCs/>
          <w:sz w:val="40"/>
          <w:szCs w:val="40"/>
        </w:rPr>
        <w:t>3</w:t>
      </w:r>
      <w:r w:rsidRPr="00105200">
        <w:rPr>
          <w:rFonts w:ascii="Times New Roman" w:hAnsi="Times New Roman" w:cs="Times New Roman"/>
          <w:b/>
          <w:bCs/>
          <w:sz w:val="40"/>
          <w:szCs w:val="40"/>
        </w:rPr>
        <w:t xml:space="preserve"> Project</w:t>
      </w:r>
    </w:p>
    <w:p w14:paraId="6D30FF99" w14:textId="77777777" w:rsidR="00861FCD" w:rsidRPr="00105200" w:rsidRDefault="00861FCD" w:rsidP="00861FCD">
      <w:pPr>
        <w:spacing w:line="360" w:lineRule="auto"/>
        <w:jc w:val="center"/>
        <w:rPr>
          <w:rFonts w:ascii="Times New Roman" w:hAnsi="Times New Roman" w:cs="Times New Roman"/>
          <w:b/>
          <w:bCs/>
          <w:sz w:val="40"/>
          <w:szCs w:val="40"/>
        </w:rPr>
      </w:pPr>
      <w:r w:rsidRPr="00105200">
        <w:rPr>
          <w:rFonts w:ascii="Times New Roman" w:hAnsi="Times New Roman" w:cs="Times New Roman"/>
          <w:b/>
          <w:bCs/>
          <w:sz w:val="40"/>
          <w:szCs w:val="40"/>
        </w:rPr>
        <w:t>  ALY6120: Leadership in Analytics</w:t>
      </w:r>
    </w:p>
    <w:p w14:paraId="0BCA7D02" w14:textId="77777777" w:rsidR="00861FCD" w:rsidRPr="00105200" w:rsidRDefault="00861FCD" w:rsidP="00861FCD">
      <w:pPr>
        <w:spacing w:line="360" w:lineRule="auto"/>
        <w:jc w:val="center"/>
        <w:rPr>
          <w:rFonts w:ascii="Times New Roman" w:hAnsi="Times New Roman" w:cs="Times New Roman"/>
          <w:b/>
          <w:bCs/>
          <w:sz w:val="40"/>
          <w:szCs w:val="40"/>
        </w:rPr>
      </w:pPr>
      <w:r w:rsidRPr="00105200">
        <w:rPr>
          <w:rFonts w:ascii="Times New Roman" w:hAnsi="Times New Roman" w:cs="Times New Roman"/>
          <w:b/>
          <w:bCs/>
          <w:sz w:val="40"/>
          <w:szCs w:val="40"/>
        </w:rPr>
        <w:t>Group 4</w:t>
      </w:r>
    </w:p>
    <w:p w14:paraId="722A62E8" w14:textId="77777777" w:rsidR="00861FCD" w:rsidRPr="00105200" w:rsidRDefault="00861FCD" w:rsidP="00861FCD">
      <w:pPr>
        <w:spacing w:line="360" w:lineRule="auto"/>
        <w:jc w:val="center"/>
        <w:rPr>
          <w:rFonts w:ascii="Times New Roman" w:hAnsi="Times New Roman" w:cs="Times New Roman"/>
          <w:b/>
          <w:bCs/>
          <w:sz w:val="28"/>
          <w:szCs w:val="28"/>
        </w:rPr>
      </w:pPr>
      <w:r w:rsidRPr="00105200">
        <w:rPr>
          <w:rFonts w:ascii="Times New Roman" w:hAnsi="Times New Roman" w:cs="Times New Roman"/>
          <w:b/>
          <w:bCs/>
          <w:sz w:val="28"/>
          <w:szCs w:val="28"/>
        </w:rPr>
        <w:t>Presented By</w:t>
      </w:r>
    </w:p>
    <w:p w14:paraId="5F214C6D" w14:textId="77777777" w:rsidR="00861FCD" w:rsidRPr="00105200" w:rsidRDefault="00861FCD" w:rsidP="00861FCD">
      <w:pPr>
        <w:spacing w:line="360" w:lineRule="auto"/>
        <w:jc w:val="center"/>
        <w:rPr>
          <w:rFonts w:ascii="Times New Roman" w:hAnsi="Times New Roman" w:cs="Times New Roman"/>
          <w:b/>
          <w:bCs/>
          <w:sz w:val="28"/>
          <w:szCs w:val="28"/>
        </w:rPr>
      </w:pPr>
      <w:r w:rsidRPr="00105200">
        <w:rPr>
          <w:rFonts w:ascii="Times New Roman" w:hAnsi="Times New Roman" w:cs="Times New Roman"/>
          <w:b/>
          <w:bCs/>
          <w:sz w:val="28"/>
          <w:szCs w:val="28"/>
        </w:rPr>
        <w:t>Evans Coffie, Rita Manzie, Nighat Sultana, Rosy Pineda</w:t>
      </w:r>
    </w:p>
    <w:p w14:paraId="1B7DCC0A" w14:textId="77777777" w:rsidR="00861FCD" w:rsidRPr="00105200" w:rsidRDefault="00861FCD" w:rsidP="00861FCD">
      <w:pPr>
        <w:spacing w:line="360" w:lineRule="auto"/>
        <w:jc w:val="center"/>
        <w:rPr>
          <w:rFonts w:ascii="Times New Roman" w:hAnsi="Times New Roman" w:cs="Times New Roman"/>
          <w:b/>
          <w:bCs/>
          <w:sz w:val="28"/>
          <w:szCs w:val="28"/>
        </w:rPr>
      </w:pPr>
      <w:r w:rsidRPr="00105200">
        <w:rPr>
          <w:rFonts w:ascii="Times New Roman" w:hAnsi="Times New Roman" w:cs="Times New Roman"/>
          <w:b/>
          <w:bCs/>
          <w:sz w:val="28"/>
          <w:szCs w:val="28"/>
        </w:rPr>
        <w:t>Presented To</w:t>
      </w:r>
    </w:p>
    <w:p w14:paraId="44095853" w14:textId="77777777" w:rsidR="00861FCD" w:rsidRPr="00105200" w:rsidRDefault="00861FCD" w:rsidP="00861FCD">
      <w:pPr>
        <w:spacing w:line="360" w:lineRule="auto"/>
        <w:jc w:val="center"/>
        <w:rPr>
          <w:rFonts w:ascii="Times New Roman" w:hAnsi="Times New Roman" w:cs="Times New Roman"/>
          <w:b/>
          <w:bCs/>
          <w:sz w:val="28"/>
          <w:szCs w:val="28"/>
        </w:rPr>
      </w:pPr>
      <w:r w:rsidRPr="00105200">
        <w:rPr>
          <w:rFonts w:ascii="Times New Roman" w:hAnsi="Times New Roman" w:cs="Times New Roman"/>
          <w:b/>
          <w:bCs/>
          <w:sz w:val="28"/>
          <w:szCs w:val="28"/>
        </w:rPr>
        <w:t>Professor Abeba N. Turi</w:t>
      </w:r>
    </w:p>
    <w:p w14:paraId="358E46F0" w14:textId="51F18694" w:rsidR="00861FCD" w:rsidRPr="00105200" w:rsidRDefault="00861FCD" w:rsidP="00861FCD">
      <w:pPr>
        <w:spacing w:line="360" w:lineRule="auto"/>
        <w:jc w:val="center"/>
        <w:rPr>
          <w:rFonts w:ascii="Times New Roman" w:hAnsi="Times New Roman" w:cs="Times New Roman"/>
          <w:b/>
          <w:bCs/>
          <w:sz w:val="28"/>
          <w:szCs w:val="28"/>
        </w:rPr>
      </w:pPr>
      <w:r w:rsidRPr="00105200">
        <w:rPr>
          <w:rFonts w:ascii="Times New Roman" w:hAnsi="Times New Roman" w:cs="Times New Roman"/>
          <w:b/>
          <w:bCs/>
          <w:sz w:val="28"/>
          <w:szCs w:val="28"/>
        </w:rPr>
        <w:t xml:space="preserve">November </w:t>
      </w:r>
      <w:r>
        <w:rPr>
          <w:rFonts w:ascii="Times New Roman" w:hAnsi="Times New Roman" w:cs="Times New Roman"/>
          <w:b/>
          <w:bCs/>
          <w:sz w:val="28"/>
          <w:szCs w:val="28"/>
        </w:rPr>
        <w:t>14</w:t>
      </w:r>
      <w:r w:rsidRPr="00105200">
        <w:rPr>
          <w:rFonts w:ascii="Times New Roman" w:hAnsi="Times New Roman" w:cs="Times New Roman"/>
          <w:b/>
          <w:bCs/>
          <w:sz w:val="28"/>
          <w:szCs w:val="28"/>
        </w:rPr>
        <w:t>, 2025</w:t>
      </w:r>
    </w:p>
    <w:p w14:paraId="0BDADD4D" w14:textId="77777777" w:rsidR="00861FCD" w:rsidRPr="00861FCD" w:rsidRDefault="00861FCD" w:rsidP="00861FCD">
      <w:pPr>
        <w:jc w:val="both"/>
        <w:rPr>
          <w:rFonts w:ascii="Times New Roman" w:hAnsi="Times New Roman" w:cs="Times New Roman"/>
          <w:b/>
          <w:bCs/>
          <w:sz w:val="24"/>
          <w:szCs w:val="24"/>
        </w:rPr>
      </w:pPr>
    </w:p>
    <w:p w14:paraId="54C986A0" w14:textId="77777777" w:rsidR="00861FCD" w:rsidRPr="00861FCD" w:rsidRDefault="00861FCD" w:rsidP="00861FCD">
      <w:pPr>
        <w:jc w:val="both"/>
        <w:rPr>
          <w:rFonts w:ascii="Times New Roman" w:hAnsi="Times New Roman" w:cs="Times New Roman"/>
          <w:b/>
          <w:bCs/>
          <w:sz w:val="24"/>
          <w:szCs w:val="24"/>
        </w:rPr>
      </w:pPr>
    </w:p>
    <w:p w14:paraId="4709247E" w14:textId="77777777" w:rsidR="00861FCD" w:rsidRPr="00861FCD" w:rsidRDefault="00861FCD" w:rsidP="00861FCD">
      <w:pPr>
        <w:jc w:val="both"/>
        <w:rPr>
          <w:rFonts w:ascii="Times New Roman" w:hAnsi="Times New Roman" w:cs="Times New Roman"/>
          <w:b/>
          <w:bCs/>
          <w:sz w:val="24"/>
          <w:szCs w:val="24"/>
        </w:rPr>
      </w:pPr>
    </w:p>
    <w:p w14:paraId="5C0BECB5" w14:textId="523E9C90" w:rsidR="00861FCD" w:rsidRPr="00861FCD" w:rsidRDefault="00861FCD" w:rsidP="00861FCD">
      <w:pPr>
        <w:pStyle w:val="ListParagraph"/>
        <w:numPr>
          <w:ilvl w:val="0"/>
          <w:numId w:val="1"/>
        </w:numPr>
        <w:jc w:val="both"/>
        <w:rPr>
          <w:rFonts w:ascii="Times New Roman" w:hAnsi="Times New Roman" w:cs="Times New Roman"/>
          <w:b/>
          <w:bCs/>
          <w:sz w:val="24"/>
          <w:szCs w:val="24"/>
        </w:rPr>
      </w:pPr>
      <w:r w:rsidRPr="00861FCD">
        <w:rPr>
          <w:rFonts w:ascii="Times New Roman" w:hAnsi="Times New Roman" w:cs="Times New Roman"/>
          <w:b/>
          <w:bCs/>
          <w:sz w:val="24"/>
          <w:szCs w:val="24"/>
        </w:rPr>
        <w:lastRenderedPageBreak/>
        <w:t>Explain why you have chosen that data</w:t>
      </w:r>
      <w:r w:rsidRPr="00861FCD">
        <w:rPr>
          <w:rFonts w:ascii="Times New Roman" w:hAnsi="Times New Roman" w:cs="Times New Roman"/>
          <w:b/>
          <w:bCs/>
          <w:sz w:val="24"/>
          <w:szCs w:val="24"/>
        </w:rPr>
        <w:t>:</w:t>
      </w:r>
    </w:p>
    <w:p w14:paraId="4069ABB7" w14:textId="7A7E583C" w:rsidR="00861FCD" w:rsidRDefault="00861FCD" w:rsidP="00861FCD">
      <w:pPr>
        <w:jc w:val="both"/>
        <w:rPr>
          <w:rFonts w:ascii="Times New Roman" w:hAnsi="Times New Roman" w:cs="Times New Roman"/>
          <w:sz w:val="24"/>
          <w:szCs w:val="24"/>
        </w:rPr>
      </w:pPr>
      <w:r w:rsidRPr="00861FCD">
        <w:rPr>
          <w:rFonts w:ascii="Times New Roman" w:hAnsi="Times New Roman" w:cs="Times New Roman"/>
          <w:sz w:val="24"/>
          <w:szCs w:val="24"/>
        </w:rPr>
        <w:t xml:space="preserve">We </w:t>
      </w:r>
      <w:r w:rsidRPr="008C4A69">
        <w:rPr>
          <w:rFonts w:ascii="Times New Roman" w:hAnsi="Times New Roman" w:cs="Times New Roman"/>
          <w:sz w:val="24"/>
          <w:szCs w:val="24"/>
        </w:rPr>
        <w:t xml:space="preserve">chose this dataset </w:t>
      </w:r>
      <w:r w:rsidRPr="00861FCD">
        <w:rPr>
          <w:rFonts w:ascii="Times New Roman" w:hAnsi="Times New Roman" w:cs="Times New Roman"/>
          <w:sz w:val="24"/>
          <w:szCs w:val="24"/>
        </w:rPr>
        <w:t xml:space="preserve"> because it contains the exact behavioral, transactional, demographic, and satisfaction-based features needed to model customer churn in an online retail environment. Churn is rarely caused by one event. It usually reflects a gradual decline in engagement, dissatisfaction with service, operational friction, or shifts in customer needs. A dataset must therefore capture multiple dimensions of customer behavior to support reliable churn prediction. This dataset includes established churn predictors such as tenure, engagement frequency, satisfaction, complaint history, spending behavior, and platform usage patterns. These types of variables are widely recommended in churn-prediction research because they map directly to retention drivers (</w:t>
      </w:r>
      <w:proofErr w:type="spellStart"/>
      <w:r w:rsidRPr="00861FCD">
        <w:rPr>
          <w:rFonts w:ascii="Times New Roman" w:hAnsi="Times New Roman" w:cs="Times New Roman"/>
          <w:sz w:val="24"/>
          <w:szCs w:val="24"/>
        </w:rPr>
        <w:t>Neslin</w:t>
      </w:r>
      <w:proofErr w:type="spellEnd"/>
      <w:r w:rsidRPr="00861FCD">
        <w:rPr>
          <w:rFonts w:ascii="Times New Roman" w:hAnsi="Times New Roman" w:cs="Times New Roman"/>
          <w:sz w:val="24"/>
          <w:szCs w:val="24"/>
        </w:rPr>
        <w:t xml:space="preserve"> et al., 2006; Verbeke et al., 2012).</w:t>
      </w:r>
    </w:p>
    <w:p w14:paraId="36F5E10F" w14:textId="313D8F17" w:rsidR="00861FCD" w:rsidRPr="00861FCD" w:rsidRDefault="00861FCD" w:rsidP="00861FCD">
      <w:pPr>
        <w:pStyle w:val="ListParagraph"/>
        <w:numPr>
          <w:ilvl w:val="0"/>
          <w:numId w:val="1"/>
        </w:numPr>
        <w:jc w:val="both"/>
        <w:rPr>
          <w:rFonts w:ascii="Times New Roman" w:hAnsi="Times New Roman" w:cs="Times New Roman"/>
          <w:b/>
          <w:bCs/>
          <w:sz w:val="24"/>
          <w:szCs w:val="24"/>
        </w:rPr>
      </w:pPr>
      <w:r w:rsidRPr="00861FCD">
        <w:rPr>
          <w:rFonts w:ascii="Times New Roman" w:hAnsi="Times New Roman" w:cs="Times New Roman"/>
          <w:b/>
          <w:bCs/>
          <w:sz w:val="24"/>
          <w:szCs w:val="24"/>
        </w:rPr>
        <w:t>Include possible sources for the data</w:t>
      </w:r>
      <w:r w:rsidRPr="00861FCD">
        <w:rPr>
          <w:rFonts w:ascii="Times New Roman" w:hAnsi="Times New Roman" w:cs="Times New Roman"/>
          <w:b/>
          <w:bCs/>
          <w:sz w:val="24"/>
          <w:szCs w:val="24"/>
        </w:rPr>
        <w:t>:</w:t>
      </w:r>
    </w:p>
    <w:p w14:paraId="30ED6ED6" w14:textId="7D27CB3D" w:rsidR="00861FCD" w:rsidRDefault="00861FCD" w:rsidP="00861FCD">
      <w:pPr>
        <w:jc w:val="both"/>
        <w:rPr>
          <w:rFonts w:ascii="Times New Roman" w:hAnsi="Times New Roman" w:cs="Times New Roman"/>
          <w:sz w:val="24"/>
          <w:szCs w:val="24"/>
        </w:rPr>
      </w:pPr>
      <w:r w:rsidRPr="00861FCD">
        <w:rPr>
          <w:rFonts w:ascii="Times New Roman" w:hAnsi="Times New Roman" w:cs="Times New Roman"/>
          <w:sz w:val="24"/>
          <w:szCs w:val="24"/>
        </w:rPr>
        <w:t>Possible data sources for this dataset align with typical internal systems used by e-commerce firms. Behavioral attributes such as Hour</w:t>
      </w:r>
      <w:r>
        <w:rPr>
          <w:rFonts w:ascii="Times New Roman" w:hAnsi="Times New Roman" w:cs="Times New Roman"/>
          <w:sz w:val="24"/>
          <w:szCs w:val="24"/>
        </w:rPr>
        <w:t xml:space="preserve"> </w:t>
      </w:r>
      <w:r w:rsidRPr="00861FCD">
        <w:rPr>
          <w:rFonts w:ascii="Times New Roman" w:hAnsi="Times New Roman" w:cs="Times New Roman"/>
          <w:sz w:val="24"/>
          <w:szCs w:val="24"/>
        </w:rPr>
        <w:t>Spend</w:t>
      </w:r>
      <w:r>
        <w:rPr>
          <w:rFonts w:ascii="Times New Roman" w:hAnsi="Times New Roman" w:cs="Times New Roman"/>
          <w:sz w:val="24"/>
          <w:szCs w:val="24"/>
        </w:rPr>
        <w:t xml:space="preserve"> </w:t>
      </w:r>
      <w:proofErr w:type="gramStart"/>
      <w:r w:rsidRPr="00861FCD">
        <w:rPr>
          <w:rFonts w:ascii="Times New Roman" w:hAnsi="Times New Roman" w:cs="Times New Roman"/>
          <w:sz w:val="24"/>
          <w:szCs w:val="24"/>
        </w:rPr>
        <w:t>On</w:t>
      </w:r>
      <w:proofErr w:type="gramEnd"/>
      <w:r>
        <w:rPr>
          <w:rFonts w:ascii="Times New Roman" w:hAnsi="Times New Roman" w:cs="Times New Roman"/>
          <w:sz w:val="24"/>
          <w:szCs w:val="24"/>
        </w:rPr>
        <w:t xml:space="preserve"> </w:t>
      </w:r>
      <w:r w:rsidRPr="00861FCD">
        <w:rPr>
          <w:rFonts w:ascii="Times New Roman" w:hAnsi="Times New Roman" w:cs="Times New Roman"/>
          <w:sz w:val="24"/>
          <w:szCs w:val="24"/>
        </w:rPr>
        <w:t>App and Preferred</w:t>
      </w:r>
      <w:r>
        <w:rPr>
          <w:rFonts w:ascii="Times New Roman" w:hAnsi="Times New Roman" w:cs="Times New Roman"/>
          <w:sz w:val="24"/>
          <w:szCs w:val="24"/>
        </w:rPr>
        <w:t xml:space="preserve"> </w:t>
      </w:r>
      <w:r w:rsidRPr="00861FCD">
        <w:rPr>
          <w:rFonts w:ascii="Times New Roman" w:hAnsi="Times New Roman" w:cs="Times New Roman"/>
          <w:sz w:val="24"/>
          <w:szCs w:val="24"/>
        </w:rPr>
        <w:t>Login</w:t>
      </w:r>
      <w:r>
        <w:rPr>
          <w:rFonts w:ascii="Times New Roman" w:hAnsi="Times New Roman" w:cs="Times New Roman"/>
          <w:sz w:val="24"/>
          <w:szCs w:val="24"/>
        </w:rPr>
        <w:t xml:space="preserve"> </w:t>
      </w:r>
      <w:r w:rsidRPr="00861FCD">
        <w:rPr>
          <w:rFonts w:ascii="Times New Roman" w:hAnsi="Times New Roman" w:cs="Times New Roman"/>
          <w:sz w:val="24"/>
          <w:szCs w:val="24"/>
        </w:rPr>
        <w:t>Device are commonly collected through mobile analytics platforms like Firebase or Mix</w:t>
      </w:r>
      <w:r>
        <w:rPr>
          <w:rFonts w:ascii="Times New Roman" w:hAnsi="Times New Roman" w:cs="Times New Roman"/>
          <w:sz w:val="24"/>
          <w:szCs w:val="24"/>
        </w:rPr>
        <w:t xml:space="preserve"> </w:t>
      </w:r>
      <w:r w:rsidRPr="00861FCD">
        <w:rPr>
          <w:rFonts w:ascii="Times New Roman" w:hAnsi="Times New Roman" w:cs="Times New Roman"/>
          <w:sz w:val="24"/>
          <w:szCs w:val="24"/>
        </w:rPr>
        <w:t>panel. Transactional fields including Order</w:t>
      </w:r>
      <w:r>
        <w:rPr>
          <w:rFonts w:ascii="Times New Roman" w:hAnsi="Times New Roman" w:cs="Times New Roman"/>
          <w:sz w:val="24"/>
          <w:szCs w:val="24"/>
        </w:rPr>
        <w:t xml:space="preserve"> </w:t>
      </w:r>
      <w:r w:rsidRPr="00861FCD">
        <w:rPr>
          <w:rFonts w:ascii="Times New Roman" w:hAnsi="Times New Roman" w:cs="Times New Roman"/>
          <w:sz w:val="24"/>
          <w:szCs w:val="24"/>
        </w:rPr>
        <w:t>Count, Coupon</w:t>
      </w:r>
      <w:r>
        <w:rPr>
          <w:rFonts w:ascii="Times New Roman" w:hAnsi="Times New Roman" w:cs="Times New Roman"/>
          <w:sz w:val="24"/>
          <w:szCs w:val="24"/>
        </w:rPr>
        <w:t xml:space="preserve"> </w:t>
      </w:r>
      <w:r w:rsidRPr="00861FCD">
        <w:rPr>
          <w:rFonts w:ascii="Times New Roman" w:hAnsi="Times New Roman" w:cs="Times New Roman"/>
          <w:sz w:val="24"/>
          <w:szCs w:val="24"/>
        </w:rPr>
        <w:t>Used, and Order</w:t>
      </w:r>
      <w:r>
        <w:rPr>
          <w:rFonts w:ascii="Times New Roman" w:hAnsi="Times New Roman" w:cs="Times New Roman"/>
          <w:sz w:val="24"/>
          <w:szCs w:val="24"/>
        </w:rPr>
        <w:t xml:space="preserve"> </w:t>
      </w:r>
      <w:r w:rsidRPr="00861FCD">
        <w:rPr>
          <w:rFonts w:ascii="Times New Roman" w:hAnsi="Times New Roman" w:cs="Times New Roman"/>
          <w:sz w:val="24"/>
          <w:szCs w:val="24"/>
        </w:rPr>
        <w:t>Amount</w:t>
      </w:r>
      <w:r>
        <w:rPr>
          <w:rFonts w:ascii="Times New Roman" w:hAnsi="Times New Roman" w:cs="Times New Roman"/>
          <w:sz w:val="24"/>
          <w:szCs w:val="24"/>
        </w:rPr>
        <w:t xml:space="preserve"> </w:t>
      </w:r>
      <w:r w:rsidRPr="00861FCD">
        <w:rPr>
          <w:rFonts w:ascii="Times New Roman" w:hAnsi="Times New Roman" w:cs="Times New Roman"/>
          <w:sz w:val="24"/>
          <w:szCs w:val="24"/>
        </w:rPr>
        <w:t>Hike</w:t>
      </w:r>
      <w:r>
        <w:rPr>
          <w:rFonts w:ascii="Times New Roman" w:hAnsi="Times New Roman" w:cs="Times New Roman"/>
          <w:sz w:val="24"/>
          <w:szCs w:val="24"/>
        </w:rPr>
        <w:t xml:space="preserve"> </w:t>
      </w:r>
      <w:proofErr w:type="gramStart"/>
      <w:r w:rsidRPr="00861FCD">
        <w:rPr>
          <w:rFonts w:ascii="Times New Roman" w:hAnsi="Times New Roman" w:cs="Times New Roman"/>
          <w:sz w:val="24"/>
          <w:szCs w:val="24"/>
        </w:rPr>
        <w:t>From</w:t>
      </w:r>
      <w:proofErr w:type="gramEnd"/>
      <w:r>
        <w:rPr>
          <w:rFonts w:ascii="Times New Roman" w:hAnsi="Times New Roman" w:cs="Times New Roman"/>
          <w:sz w:val="24"/>
          <w:szCs w:val="24"/>
        </w:rPr>
        <w:t xml:space="preserve"> </w:t>
      </w:r>
      <w:r w:rsidRPr="00861FCD">
        <w:rPr>
          <w:rFonts w:ascii="Times New Roman" w:hAnsi="Times New Roman" w:cs="Times New Roman"/>
          <w:sz w:val="24"/>
          <w:szCs w:val="24"/>
        </w:rPr>
        <w:t>Last</w:t>
      </w:r>
      <w:r>
        <w:rPr>
          <w:rFonts w:ascii="Times New Roman" w:hAnsi="Times New Roman" w:cs="Times New Roman"/>
          <w:sz w:val="24"/>
          <w:szCs w:val="24"/>
        </w:rPr>
        <w:t xml:space="preserve"> </w:t>
      </w:r>
      <w:r w:rsidRPr="00861FCD">
        <w:rPr>
          <w:rFonts w:ascii="Times New Roman" w:hAnsi="Times New Roman" w:cs="Times New Roman"/>
          <w:sz w:val="24"/>
          <w:szCs w:val="24"/>
        </w:rPr>
        <w:t>Year originate from CRM databases and order-management systems. Satisfaction</w:t>
      </w:r>
      <w:r>
        <w:rPr>
          <w:rFonts w:ascii="Times New Roman" w:hAnsi="Times New Roman" w:cs="Times New Roman"/>
          <w:sz w:val="24"/>
          <w:szCs w:val="24"/>
        </w:rPr>
        <w:t xml:space="preserve"> </w:t>
      </w:r>
      <w:r w:rsidRPr="00861FCD">
        <w:rPr>
          <w:rFonts w:ascii="Times New Roman" w:hAnsi="Times New Roman" w:cs="Times New Roman"/>
          <w:sz w:val="24"/>
          <w:szCs w:val="24"/>
        </w:rPr>
        <w:t>Score and Complain entries are typically retrieved from customer service platforms or feedback applications. Operational metrics such as Warehouse</w:t>
      </w:r>
      <w:r>
        <w:rPr>
          <w:rFonts w:ascii="Times New Roman" w:hAnsi="Times New Roman" w:cs="Times New Roman"/>
          <w:sz w:val="24"/>
          <w:szCs w:val="24"/>
        </w:rPr>
        <w:t xml:space="preserve"> </w:t>
      </w:r>
      <w:proofErr w:type="gramStart"/>
      <w:r w:rsidRPr="00861FCD">
        <w:rPr>
          <w:rFonts w:ascii="Times New Roman" w:hAnsi="Times New Roman" w:cs="Times New Roman"/>
          <w:sz w:val="24"/>
          <w:szCs w:val="24"/>
        </w:rPr>
        <w:t>To</w:t>
      </w:r>
      <w:proofErr w:type="gramEnd"/>
      <w:r>
        <w:rPr>
          <w:rFonts w:ascii="Times New Roman" w:hAnsi="Times New Roman" w:cs="Times New Roman"/>
          <w:sz w:val="24"/>
          <w:szCs w:val="24"/>
        </w:rPr>
        <w:t xml:space="preserve"> </w:t>
      </w:r>
      <w:r w:rsidRPr="00861FCD">
        <w:rPr>
          <w:rFonts w:ascii="Times New Roman" w:hAnsi="Times New Roman" w:cs="Times New Roman"/>
          <w:sz w:val="24"/>
          <w:szCs w:val="24"/>
        </w:rPr>
        <w:t>Home or Cashback</w:t>
      </w:r>
      <w:r>
        <w:rPr>
          <w:rFonts w:ascii="Times New Roman" w:hAnsi="Times New Roman" w:cs="Times New Roman"/>
          <w:sz w:val="24"/>
          <w:szCs w:val="24"/>
        </w:rPr>
        <w:t xml:space="preserve"> </w:t>
      </w:r>
      <w:r w:rsidRPr="00861FCD">
        <w:rPr>
          <w:rFonts w:ascii="Times New Roman" w:hAnsi="Times New Roman" w:cs="Times New Roman"/>
          <w:sz w:val="24"/>
          <w:szCs w:val="24"/>
        </w:rPr>
        <w:t>Amount generally come from logistics, fulfillment, and financial rebate systems. Combining these internal sources follows standard practice in customer analytics, where integrating operational, behavioral, and experience-based data improves predictive performance and supports CRISP-DM data-understanding objectives (Wierenga, 2021). Although the public version was uploaded to Kaggle by Ankit Verma, the structure of the variables strongly suggests the original data came from an internal retail database.</w:t>
      </w:r>
    </w:p>
    <w:p w14:paraId="72605564" w14:textId="4D185555" w:rsidR="00861FCD" w:rsidRPr="00861FCD" w:rsidRDefault="00861FCD" w:rsidP="00861FCD">
      <w:pPr>
        <w:pStyle w:val="ListParagraph"/>
        <w:numPr>
          <w:ilvl w:val="0"/>
          <w:numId w:val="1"/>
        </w:numPr>
        <w:jc w:val="both"/>
        <w:rPr>
          <w:rFonts w:ascii="Times New Roman" w:hAnsi="Times New Roman" w:cs="Times New Roman"/>
          <w:b/>
          <w:bCs/>
          <w:sz w:val="24"/>
          <w:szCs w:val="24"/>
        </w:rPr>
      </w:pPr>
      <w:r w:rsidRPr="00861FCD">
        <w:rPr>
          <w:rFonts w:ascii="Times New Roman" w:hAnsi="Times New Roman" w:cs="Times New Roman"/>
          <w:b/>
          <w:bCs/>
          <w:sz w:val="24"/>
          <w:szCs w:val="24"/>
        </w:rPr>
        <w:t>Key data elements to address the business problem and why</w:t>
      </w:r>
      <w:r w:rsidRPr="00861FCD">
        <w:rPr>
          <w:rFonts w:ascii="Times New Roman" w:hAnsi="Times New Roman" w:cs="Times New Roman"/>
          <w:b/>
          <w:bCs/>
          <w:sz w:val="24"/>
          <w:szCs w:val="24"/>
        </w:rPr>
        <w:t>:</w:t>
      </w:r>
    </w:p>
    <w:p w14:paraId="6B232C5E" w14:textId="0BC7C783" w:rsidR="00861FCD" w:rsidRPr="00861FCD" w:rsidRDefault="00861FCD" w:rsidP="00861FCD">
      <w:pPr>
        <w:jc w:val="both"/>
        <w:rPr>
          <w:rFonts w:ascii="Times New Roman" w:hAnsi="Times New Roman" w:cs="Times New Roman"/>
          <w:sz w:val="24"/>
          <w:szCs w:val="24"/>
        </w:rPr>
      </w:pPr>
      <w:r w:rsidRPr="00861FCD">
        <w:rPr>
          <w:rFonts w:ascii="Times New Roman" w:hAnsi="Times New Roman" w:cs="Times New Roman"/>
          <w:sz w:val="24"/>
          <w:szCs w:val="24"/>
        </w:rPr>
        <w:t>The key data elements selected directly address the business problem of identifying and reducing customer churn. Tenure is a fundamental predictor because long-term customers typically have established habits and show lower churn probability unless a disruption occurs (Verbeke et al., 2012). Order</w:t>
      </w:r>
      <w:r>
        <w:rPr>
          <w:rFonts w:ascii="Times New Roman" w:hAnsi="Times New Roman" w:cs="Times New Roman"/>
          <w:sz w:val="24"/>
          <w:szCs w:val="24"/>
        </w:rPr>
        <w:t xml:space="preserve"> </w:t>
      </w:r>
      <w:r w:rsidRPr="00861FCD">
        <w:rPr>
          <w:rFonts w:ascii="Times New Roman" w:hAnsi="Times New Roman" w:cs="Times New Roman"/>
          <w:sz w:val="24"/>
          <w:szCs w:val="24"/>
        </w:rPr>
        <w:t>Count and Day</w:t>
      </w:r>
      <w:r>
        <w:rPr>
          <w:rFonts w:ascii="Times New Roman" w:hAnsi="Times New Roman" w:cs="Times New Roman"/>
          <w:sz w:val="24"/>
          <w:szCs w:val="24"/>
        </w:rPr>
        <w:t xml:space="preserve"> </w:t>
      </w:r>
      <w:r w:rsidRPr="00861FCD">
        <w:rPr>
          <w:rFonts w:ascii="Times New Roman" w:hAnsi="Times New Roman" w:cs="Times New Roman"/>
          <w:sz w:val="24"/>
          <w:szCs w:val="24"/>
        </w:rPr>
        <w:t>Since</w:t>
      </w:r>
      <w:r>
        <w:rPr>
          <w:rFonts w:ascii="Times New Roman" w:hAnsi="Times New Roman" w:cs="Times New Roman"/>
          <w:sz w:val="24"/>
          <w:szCs w:val="24"/>
        </w:rPr>
        <w:t xml:space="preserve"> </w:t>
      </w:r>
      <w:r w:rsidRPr="00861FCD">
        <w:rPr>
          <w:rFonts w:ascii="Times New Roman" w:hAnsi="Times New Roman" w:cs="Times New Roman"/>
          <w:sz w:val="24"/>
          <w:szCs w:val="24"/>
        </w:rPr>
        <w:t>Last</w:t>
      </w:r>
      <w:r>
        <w:rPr>
          <w:rFonts w:ascii="Times New Roman" w:hAnsi="Times New Roman" w:cs="Times New Roman"/>
          <w:sz w:val="24"/>
          <w:szCs w:val="24"/>
        </w:rPr>
        <w:t xml:space="preserve"> </w:t>
      </w:r>
      <w:r w:rsidRPr="00861FCD">
        <w:rPr>
          <w:rFonts w:ascii="Times New Roman" w:hAnsi="Times New Roman" w:cs="Times New Roman"/>
          <w:sz w:val="24"/>
          <w:szCs w:val="24"/>
        </w:rPr>
        <w:t>Order capture engagement frequency and recency, which are known early-warning signals since declining activity usually precedes attrition (</w:t>
      </w:r>
      <w:proofErr w:type="spellStart"/>
      <w:r w:rsidRPr="00861FCD">
        <w:rPr>
          <w:rFonts w:ascii="Times New Roman" w:hAnsi="Times New Roman" w:cs="Times New Roman"/>
          <w:sz w:val="24"/>
          <w:szCs w:val="24"/>
        </w:rPr>
        <w:t>Neslin</w:t>
      </w:r>
      <w:proofErr w:type="spellEnd"/>
      <w:r w:rsidRPr="00861FCD">
        <w:rPr>
          <w:rFonts w:ascii="Times New Roman" w:hAnsi="Times New Roman" w:cs="Times New Roman"/>
          <w:sz w:val="24"/>
          <w:szCs w:val="24"/>
        </w:rPr>
        <w:t xml:space="preserve"> et al., 2006). Satisfaction</w:t>
      </w:r>
      <w:r>
        <w:rPr>
          <w:rFonts w:ascii="Times New Roman" w:hAnsi="Times New Roman" w:cs="Times New Roman"/>
          <w:sz w:val="24"/>
          <w:szCs w:val="24"/>
        </w:rPr>
        <w:t xml:space="preserve"> </w:t>
      </w:r>
      <w:r w:rsidRPr="00861FCD">
        <w:rPr>
          <w:rFonts w:ascii="Times New Roman" w:hAnsi="Times New Roman" w:cs="Times New Roman"/>
          <w:sz w:val="24"/>
          <w:szCs w:val="24"/>
        </w:rPr>
        <w:t>Score and Complain provide sentiment indicators. Research shows that negative experiences or unresolved complaints significantly increase churn likelihood (Homburg et al., 2006). Behavioral features such as Hour</w:t>
      </w:r>
      <w:r>
        <w:rPr>
          <w:rFonts w:ascii="Times New Roman" w:hAnsi="Times New Roman" w:cs="Times New Roman"/>
          <w:sz w:val="24"/>
          <w:szCs w:val="24"/>
        </w:rPr>
        <w:t xml:space="preserve"> </w:t>
      </w:r>
      <w:r w:rsidRPr="00861FCD">
        <w:rPr>
          <w:rFonts w:ascii="Times New Roman" w:hAnsi="Times New Roman" w:cs="Times New Roman"/>
          <w:sz w:val="24"/>
          <w:szCs w:val="24"/>
        </w:rPr>
        <w:t>Spend</w:t>
      </w:r>
      <w:r>
        <w:rPr>
          <w:rFonts w:ascii="Times New Roman" w:hAnsi="Times New Roman" w:cs="Times New Roman"/>
          <w:sz w:val="24"/>
          <w:szCs w:val="24"/>
        </w:rPr>
        <w:t xml:space="preserve"> </w:t>
      </w:r>
      <w:proofErr w:type="gramStart"/>
      <w:r w:rsidRPr="00861FCD">
        <w:rPr>
          <w:rFonts w:ascii="Times New Roman" w:hAnsi="Times New Roman" w:cs="Times New Roman"/>
          <w:sz w:val="24"/>
          <w:szCs w:val="24"/>
        </w:rPr>
        <w:t>On</w:t>
      </w:r>
      <w:proofErr w:type="gramEnd"/>
      <w:r>
        <w:rPr>
          <w:rFonts w:ascii="Times New Roman" w:hAnsi="Times New Roman" w:cs="Times New Roman"/>
          <w:sz w:val="24"/>
          <w:szCs w:val="24"/>
        </w:rPr>
        <w:t xml:space="preserve"> </w:t>
      </w:r>
      <w:r w:rsidRPr="00861FCD">
        <w:rPr>
          <w:rFonts w:ascii="Times New Roman" w:hAnsi="Times New Roman" w:cs="Times New Roman"/>
          <w:sz w:val="24"/>
          <w:szCs w:val="24"/>
        </w:rPr>
        <w:t>App and Number</w:t>
      </w:r>
      <w:r>
        <w:rPr>
          <w:rFonts w:ascii="Times New Roman" w:hAnsi="Times New Roman" w:cs="Times New Roman"/>
          <w:sz w:val="24"/>
          <w:szCs w:val="24"/>
        </w:rPr>
        <w:t xml:space="preserve"> </w:t>
      </w:r>
      <w:proofErr w:type="gramStart"/>
      <w:r w:rsidRPr="00861FCD">
        <w:rPr>
          <w:rFonts w:ascii="Times New Roman" w:hAnsi="Times New Roman" w:cs="Times New Roman"/>
          <w:sz w:val="24"/>
          <w:szCs w:val="24"/>
        </w:rPr>
        <w:t>Of</w:t>
      </w:r>
      <w:proofErr w:type="gramEnd"/>
      <w:r>
        <w:rPr>
          <w:rFonts w:ascii="Times New Roman" w:hAnsi="Times New Roman" w:cs="Times New Roman"/>
          <w:sz w:val="24"/>
          <w:szCs w:val="24"/>
        </w:rPr>
        <w:t xml:space="preserve"> </w:t>
      </w:r>
      <w:r w:rsidRPr="00861FCD">
        <w:rPr>
          <w:rFonts w:ascii="Times New Roman" w:hAnsi="Times New Roman" w:cs="Times New Roman"/>
          <w:sz w:val="24"/>
          <w:szCs w:val="24"/>
        </w:rPr>
        <w:t>Device</w:t>
      </w:r>
      <w:r>
        <w:rPr>
          <w:rFonts w:ascii="Times New Roman" w:hAnsi="Times New Roman" w:cs="Times New Roman"/>
          <w:sz w:val="24"/>
          <w:szCs w:val="24"/>
        </w:rPr>
        <w:t xml:space="preserve"> </w:t>
      </w:r>
      <w:r w:rsidRPr="00861FCD">
        <w:rPr>
          <w:rFonts w:ascii="Times New Roman" w:hAnsi="Times New Roman" w:cs="Times New Roman"/>
          <w:sz w:val="24"/>
          <w:szCs w:val="24"/>
        </w:rPr>
        <w:t>Registered reveal shifts in digital engagement patterns. When customers begin interacting less with the platform, it often signals emerging dissatisfaction or interest in competitors.</w:t>
      </w:r>
      <w:r>
        <w:rPr>
          <w:rFonts w:ascii="Times New Roman" w:hAnsi="Times New Roman" w:cs="Times New Roman"/>
          <w:sz w:val="24"/>
          <w:szCs w:val="24"/>
        </w:rPr>
        <w:t xml:space="preserve"> </w:t>
      </w:r>
      <w:r w:rsidRPr="00861FCD">
        <w:rPr>
          <w:rFonts w:ascii="Times New Roman" w:hAnsi="Times New Roman" w:cs="Times New Roman"/>
          <w:sz w:val="24"/>
          <w:szCs w:val="24"/>
        </w:rPr>
        <w:t>Economic behavior variables including Coupon</w:t>
      </w:r>
      <w:r>
        <w:rPr>
          <w:rFonts w:ascii="Times New Roman" w:hAnsi="Times New Roman" w:cs="Times New Roman"/>
          <w:sz w:val="24"/>
          <w:szCs w:val="24"/>
        </w:rPr>
        <w:t xml:space="preserve"> </w:t>
      </w:r>
      <w:r w:rsidRPr="00861FCD">
        <w:rPr>
          <w:rFonts w:ascii="Times New Roman" w:hAnsi="Times New Roman" w:cs="Times New Roman"/>
          <w:sz w:val="24"/>
          <w:szCs w:val="24"/>
        </w:rPr>
        <w:t>Used, Cashback</w:t>
      </w:r>
      <w:r>
        <w:rPr>
          <w:rFonts w:ascii="Times New Roman" w:hAnsi="Times New Roman" w:cs="Times New Roman"/>
          <w:sz w:val="24"/>
          <w:szCs w:val="24"/>
        </w:rPr>
        <w:t xml:space="preserve"> </w:t>
      </w:r>
      <w:r w:rsidRPr="00861FCD">
        <w:rPr>
          <w:rFonts w:ascii="Times New Roman" w:hAnsi="Times New Roman" w:cs="Times New Roman"/>
          <w:sz w:val="24"/>
          <w:szCs w:val="24"/>
        </w:rPr>
        <w:t>Amount, and Order</w:t>
      </w:r>
      <w:r>
        <w:rPr>
          <w:rFonts w:ascii="Times New Roman" w:hAnsi="Times New Roman" w:cs="Times New Roman"/>
          <w:sz w:val="24"/>
          <w:szCs w:val="24"/>
        </w:rPr>
        <w:t xml:space="preserve"> </w:t>
      </w:r>
      <w:r w:rsidRPr="00861FCD">
        <w:rPr>
          <w:rFonts w:ascii="Times New Roman" w:hAnsi="Times New Roman" w:cs="Times New Roman"/>
          <w:sz w:val="24"/>
          <w:szCs w:val="24"/>
        </w:rPr>
        <w:t>Amount</w:t>
      </w:r>
      <w:r>
        <w:rPr>
          <w:rFonts w:ascii="Times New Roman" w:hAnsi="Times New Roman" w:cs="Times New Roman"/>
          <w:sz w:val="24"/>
          <w:szCs w:val="24"/>
        </w:rPr>
        <w:t xml:space="preserve"> </w:t>
      </w:r>
      <w:r w:rsidRPr="00861FCD">
        <w:rPr>
          <w:rFonts w:ascii="Times New Roman" w:hAnsi="Times New Roman" w:cs="Times New Roman"/>
          <w:sz w:val="24"/>
          <w:szCs w:val="24"/>
        </w:rPr>
        <w:t>Hike</w:t>
      </w:r>
      <w:r>
        <w:rPr>
          <w:rFonts w:ascii="Times New Roman" w:hAnsi="Times New Roman" w:cs="Times New Roman"/>
          <w:sz w:val="24"/>
          <w:szCs w:val="24"/>
        </w:rPr>
        <w:t xml:space="preserve">  </w:t>
      </w:r>
      <w:proofErr w:type="gramStart"/>
      <w:r w:rsidRPr="00861FCD">
        <w:rPr>
          <w:rFonts w:ascii="Times New Roman" w:hAnsi="Times New Roman" w:cs="Times New Roman"/>
          <w:sz w:val="24"/>
          <w:szCs w:val="24"/>
        </w:rPr>
        <w:t>From</w:t>
      </w:r>
      <w:proofErr w:type="gramEnd"/>
      <w:r>
        <w:rPr>
          <w:rFonts w:ascii="Times New Roman" w:hAnsi="Times New Roman" w:cs="Times New Roman"/>
          <w:sz w:val="24"/>
          <w:szCs w:val="24"/>
        </w:rPr>
        <w:t xml:space="preserve"> </w:t>
      </w:r>
      <w:r w:rsidRPr="00861FCD">
        <w:rPr>
          <w:rFonts w:ascii="Times New Roman" w:hAnsi="Times New Roman" w:cs="Times New Roman"/>
          <w:sz w:val="24"/>
          <w:szCs w:val="24"/>
        </w:rPr>
        <w:t>Last</w:t>
      </w:r>
      <w:r>
        <w:rPr>
          <w:rFonts w:ascii="Times New Roman" w:hAnsi="Times New Roman" w:cs="Times New Roman"/>
          <w:sz w:val="24"/>
          <w:szCs w:val="24"/>
        </w:rPr>
        <w:t xml:space="preserve"> </w:t>
      </w:r>
      <w:r w:rsidRPr="00861FCD">
        <w:rPr>
          <w:rFonts w:ascii="Times New Roman" w:hAnsi="Times New Roman" w:cs="Times New Roman"/>
          <w:sz w:val="24"/>
          <w:szCs w:val="24"/>
        </w:rPr>
        <w:t>Year help detect price sensitivity, which is a major driver of churn in retail and subscription environments (Reichheld &amp; Sasser, 1990). Finally, demographic attributes such as City</w:t>
      </w:r>
      <w:r>
        <w:rPr>
          <w:rFonts w:ascii="Times New Roman" w:hAnsi="Times New Roman" w:cs="Times New Roman"/>
          <w:sz w:val="24"/>
          <w:szCs w:val="24"/>
        </w:rPr>
        <w:t xml:space="preserve"> </w:t>
      </w:r>
      <w:r w:rsidRPr="00861FCD">
        <w:rPr>
          <w:rFonts w:ascii="Times New Roman" w:hAnsi="Times New Roman" w:cs="Times New Roman"/>
          <w:sz w:val="24"/>
          <w:szCs w:val="24"/>
        </w:rPr>
        <w:t>Tier, Marital</w:t>
      </w:r>
      <w:r>
        <w:rPr>
          <w:rFonts w:ascii="Times New Roman" w:hAnsi="Times New Roman" w:cs="Times New Roman"/>
          <w:sz w:val="24"/>
          <w:szCs w:val="24"/>
        </w:rPr>
        <w:t xml:space="preserve"> </w:t>
      </w:r>
      <w:r w:rsidRPr="00861FCD">
        <w:rPr>
          <w:rFonts w:ascii="Times New Roman" w:hAnsi="Times New Roman" w:cs="Times New Roman"/>
          <w:sz w:val="24"/>
          <w:szCs w:val="24"/>
        </w:rPr>
        <w:t>Status, and Gender allow segmentation to determine whether churn is concentrated in specific groups. This supports targeted retention programs instead of broad, costly interventions.</w:t>
      </w:r>
    </w:p>
    <w:p w14:paraId="3F6A0FF4" w14:textId="77777777" w:rsidR="00861FCD" w:rsidRPr="00861FCD" w:rsidRDefault="00861FCD" w:rsidP="00861FCD">
      <w:pPr>
        <w:jc w:val="both"/>
        <w:rPr>
          <w:rFonts w:ascii="Times New Roman" w:hAnsi="Times New Roman" w:cs="Times New Roman"/>
          <w:sz w:val="24"/>
          <w:szCs w:val="24"/>
        </w:rPr>
      </w:pPr>
      <w:r w:rsidRPr="00861FCD">
        <w:rPr>
          <w:rFonts w:ascii="Times New Roman" w:hAnsi="Times New Roman" w:cs="Times New Roman"/>
          <w:sz w:val="24"/>
          <w:szCs w:val="24"/>
        </w:rPr>
        <w:lastRenderedPageBreak/>
        <w:t>Together, these variables provide a multidimensional profile of customer behavior, experience, and operational context. This enables the development of machine-learning models that identify at-risk customers early and support evidence-driven retention strategies.</w:t>
      </w:r>
    </w:p>
    <w:p w14:paraId="62F2DC94" w14:textId="54E22697" w:rsidR="00861FCD" w:rsidRPr="00861FCD" w:rsidRDefault="00861FCD" w:rsidP="00861FCD">
      <w:pPr>
        <w:jc w:val="both"/>
        <w:rPr>
          <w:rFonts w:ascii="Times New Roman" w:hAnsi="Times New Roman" w:cs="Times New Roman"/>
          <w:sz w:val="24"/>
          <w:szCs w:val="24"/>
        </w:rPr>
      </w:pPr>
    </w:p>
    <w:p w14:paraId="1A050AE9" w14:textId="77777777" w:rsidR="00861FCD" w:rsidRPr="00861FCD" w:rsidRDefault="00861FCD" w:rsidP="00861FCD">
      <w:pPr>
        <w:jc w:val="both"/>
        <w:rPr>
          <w:rFonts w:ascii="Times New Roman" w:hAnsi="Times New Roman" w:cs="Times New Roman"/>
          <w:b/>
          <w:bCs/>
          <w:sz w:val="24"/>
          <w:szCs w:val="24"/>
        </w:rPr>
      </w:pPr>
      <w:r w:rsidRPr="00861FCD">
        <w:rPr>
          <w:rFonts w:ascii="Times New Roman" w:hAnsi="Times New Roman" w:cs="Times New Roman"/>
          <w:b/>
          <w:bCs/>
          <w:sz w:val="24"/>
          <w:szCs w:val="24"/>
        </w:rPr>
        <w:t>References</w:t>
      </w:r>
    </w:p>
    <w:p w14:paraId="4E804AC2" w14:textId="77777777" w:rsidR="00861FCD" w:rsidRPr="00861FCD" w:rsidRDefault="00861FCD" w:rsidP="00861FCD">
      <w:pPr>
        <w:jc w:val="both"/>
        <w:rPr>
          <w:rFonts w:ascii="Times New Roman" w:hAnsi="Times New Roman" w:cs="Times New Roman"/>
          <w:sz w:val="24"/>
          <w:szCs w:val="24"/>
        </w:rPr>
      </w:pPr>
      <w:r w:rsidRPr="00861FCD">
        <w:rPr>
          <w:rFonts w:ascii="Times New Roman" w:hAnsi="Times New Roman" w:cs="Times New Roman"/>
          <w:sz w:val="24"/>
          <w:szCs w:val="24"/>
        </w:rPr>
        <w:t xml:space="preserve">Homburg, C., </w:t>
      </w:r>
      <w:proofErr w:type="spellStart"/>
      <w:r w:rsidRPr="00861FCD">
        <w:rPr>
          <w:rFonts w:ascii="Times New Roman" w:hAnsi="Times New Roman" w:cs="Times New Roman"/>
          <w:sz w:val="24"/>
          <w:szCs w:val="24"/>
        </w:rPr>
        <w:t>Koschate</w:t>
      </w:r>
      <w:proofErr w:type="spellEnd"/>
      <w:r w:rsidRPr="00861FCD">
        <w:rPr>
          <w:rFonts w:ascii="Times New Roman" w:hAnsi="Times New Roman" w:cs="Times New Roman"/>
          <w:sz w:val="24"/>
          <w:szCs w:val="24"/>
        </w:rPr>
        <w:t xml:space="preserve">, N., &amp; Hoyer, W. D. (2006). The role of cognition and affect in the formation of customer satisfaction: A dynamic perspective. </w:t>
      </w:r>
      <w:r w:rsidRPr="00861FCD">
        <w:rPr>
          <w:rFonts w:ascii="Times New Roman" w:hAnsi="Times New Roman" w:cs="Times New Roman"/>
          <w:i/>
          <w:iCs/>
          <w:sz w:val="24"/>
          <w:szCs w:val="24"/>
        </w:rPr>
        <w:t>Journal of Marketing, 70</w:t>
      </w:r>
      <w:r w:rsidRPr="00861FCD">
        <w:rPr>
          <w:rFonts w:ascii="Times New Roman" w:hAnsi="Times New Roman" w:cs="Times New Roman"/>
          <w:sz w:val="24"/>
          <w:szCs w:val="24"/>
        </w:rPr>
        <w:t>(3), 21–31.</w:t>
      </w:r>
    </w:p>
    <w:p w14:paraId="2AC0E492" w14:textId="77777777" w:rsidR="00861FCD" w:rsidRPr="00861FCD" w:rsidRDefault="00861FCD" w:rsidP="00861FCD">
      <w:pPr>
        <w:jc w:val="both"/>
        <w:rPr>
          <w:rFonts w:ascii="Times New Roman" w:hAnsi="Times New Roman" w:cs="Times New Roman"/>
          <w:sz w:val="24"/>
          <w:szCs w:val="24"/>
        </w:rPr>
      </w:pPr>
      <w:proofErr w:type="spellStart"/>
      <w:r w:rsidRPr="00861FCD">
        <w:rPr>
          <w:rFonts w:ascii="Times New Roman" w:hAnsi="Times New Roman" w:cs="Times New Roman"/>
          <w:sz w:val="24"/>
          <w:szCs w:val="24"/>
        </w:rPr>
        <w:t>Neslin</w:t>
      </w:r>
      <w:proofErr w:type="spellEnd"/>
      <w:r w:rsidRPr="00861FCD">
        <w:rPr>
          <w:rFonts w:ascii="Times New Roman" w:hAnsi="Times New Roman" w:cs="Times New Roman"/>
          <w:sz w:val="24"/>
          <w:szCs w:val="24"/>
        </w:rPr>
        <w:t xml:space="preserve">, S. A., Gupta, S., Kamakura, W., Lu, J., &amp; Mason, C. H. (2006). Defection detection: Measuring and understanding the predictive accuracy of customer churn models. </w:t>
      </w:r>
      <w:r w:rsidRPr="00861FCD">
        <w:rPr>
          <w:rFonts w:ascii="Times New Roman" w:hAnsi="Times New Roman" w:cs="Times New Roman"/>
          <w:i/>
          <w:iCs/>
          <w:sz w:val="24"/>
          <w:szCs w:val="24"/>
        </w:rPr>
        <w:t>Journal of Marketing Research, 43</w:t>
      </w:r>
      <w:r w:rsidRPr="00861FCD">
        <w:rPr>
          <w:rFonts w:ascii="Times New Roman" w:hAnsi="Times New Roman" w:cs="Times New Roman"/>
          <w:sz w:val="24"/>
          <w:szCs w:val="24"/>
        </w:rPr>
        <w:t>(2), 204–211.</w:t>
      </w:r>
    </w:p>
    <w:p w14:paraId="450D84B0" w14:textId="77777777" w:rsidR="00861FCD" w:rsidRPr="00861FCD" w:rsidRDefault="00861FCD" w:rsidP="00861FCD">
      <w:pPr>
        <w:jc w:val="both"/>
        <w:rPr>
          <w:rFonts w:ascii="Times New Roman" w:hAnsi="Times New Roman" w:cs="Times New Roman"/>
          <w:sz w:val="24"/>
          <w:szCs w:val="24"/>
        </w:rPr>
      </w:pPr>
      <w:r w:rsidRPr="00861FCD">
        <w:rPr>
          <w:rFonts w:ascii="Times New Roman" w:hAnsi="Times New Roman" w:cs="Times New Roman"/>
          <w:sz w:val="24"/>
          <w:szCs w:val="24"/>
        </w:rPr>
        <w:t xml:space="preserve">Reichheld, F. F., &amp; Sasser, W. E. (1990). Zero defections: Quality comes to services. </w:t>
      </w:r>
      <w:r w:rsidRPr="00861FCD">
        <w:rPr>
          <w:rFonts w:ascii="Times New Roman" w:hAnsi="Times New Roman" w:cs="Times New Roman"/>
          <w:i/>
          <w:iCs/>
          <w:sz w:val="24"/>
          <w:szCs w:val="24"/>
        </w:rPr>
        <w:t>Harvard Business Review, 68</w:t>
      </w:r>
      <w:r w:rsidRPr="00861FCD">
        <w:rPr>
          <w:rFonts w:ascii="Times New Roman" w:hAnsi="Times New Roman" w:cs="Times New Roman"/>
          <w:sz w:val="24"/>
          <w:szCs w:val="24"/>
        </w:rPr>
        <w:t>(5), 105–111.</w:t>
      </w:r>
    </w:p>
    <w:p w14:paraId="32A83100" w14:textId="77777777" w:rsidR="00861FCD" w:rsidRPr="00861FCD" w:rsidRDefault="00861FCD" w:rsidP="00861FCD">
      <w:pPr>
        <w:jc w:val="both"/>
        <w:rPr>
          <w:rFonts w:ascii="Times New Roman" w:hAnsi="Times New Roman" w:cs="Times New Roman"/>
          <w:sz w:val="24"/>
          <w:szCs w:val="24"/>
        </w:rPr>
      </w:pPr>
      <w:r w:rsidRPr="00861FCD">
        <w:rPr>
          <w:rFonts w:ascii="Times New Roman" w:hAnsi="Times New Roman" w:cs="Times New Roman"/>
          <w:sz w:val="24"/>
          <w:szCs w:val="24"/>
        </w:rPr>
        <w:t xml:space="preserve">Verbeke, W., Dejaeger, K., Martens, D., Hur, J., &amp; </w:t>
      </w:r>
      <w:proofErr w:type="spellStart"/>
      <w:r w:rsidRPr="00861FCD">
        <w:rPr>
          <w:rFonts w:ascii="Times New Roman" w:hAnsi="Times New Roman" w:cs="Times New Roman"/>
          <w:sz w:val="24"/>
          <w:szCs w:val="24"/>
        </w:rPr>
        <w:t>Baesens</w:t>
      </w:r>
      <w:proofErr w:type="spellEnd"/>
      <w:r w:rsidRPr="00861FCD">
        <w:rPr>
          <w:rFonts w:ascii="Times New Roman" w:hAnsi="Times New Roman" w:cs="Times New Roman"/>
          <w:sz w:val="24"/>
          <w:szCs w:val="24"/>
        </w:rPr>
        <w:t xml:space="preserve">, B. (2012). New insights into churn prediction in the telecommunication sector. </w:t>
      </w:r>
      <w:r w:rsidRPr="00861FCD">
        <w:rPr>
          <w:rFonts w:ascii="Times New Roman" w:hAnsi="Times New Roman" w:cs="Times New Roman"/>
          <w:i/>
          <w:iCs/>
          <w:sz w:val="24"/>
          <w:szCs w:val="24"/>
        </w:rPr>
        <w:t>European Journal of Operational Research, 218</w:t>
      </w:r>
      <w:r w:rsidRPr="00861FCD">
        <w:rPr>
          <w:rFonts w:ascii="Times New Roman" w:hAnsi="Times New Roman" w:cs="Times New Roman"/>
          <w:sz w:val="24"/>
          <w:szCs w:val="24"/>
        </w:rPr>
        <w:t>(1), 211–229.</w:t>
      </w:r>
    </w:p>
    <w:p w14:paraId="796C9767" w14:textId="77777777" w:rsidR="00861FCD" w:rsidRPr="00861FCD" w:rsidRDefault="00861FCD" w:rsidP="00861FCD">
      <w:pPr>
        <w:jc w:val="both"/>
        <w:rPr>
          <w:rFonts w:ascii="Times New Roman" w:hAnsi="Times New Roman" w:cs="Times New Roman"/>
          <w:sz w:val="24"/>
          <w:szCs w:val="24"/>
        </w:rPr>
      </w:pPr>
      <w:r w:rsidRPr="00861FCD">
        <w:rPr>
          <w:rFonts w:ascii="Times New Roman" w:hAnsi="Times New Roman" w:cs="Times New Roman"/>
          <w:sz w:val="24"/>
          <w:szCs w:val="24"/>
        </w:rPr>
        <w:t xml:space="preserve">Wierenga, B. (2021). </w:t>
      </w:r>
      <w:r w:rsidRPr="00861FCD">
        <w:rPr>
          <w:rFonts w:ascii="Times New Roman" w:hAnsi="Times New Roman" w:cs="Times New Roman"/>
          <w:i/>
          <w:iCs/>
          <w:sz w:val="24"/>
          <w:szCs w:val="24"/>
        </w:rPr>
        <w:t>Marketing analytics: A practical guide to real marketing science.</w:t>
      </w:r>
      <w:r w:rsidRPr="00861FCD">
        <w:rPr>
          <w:rFonts w:ascii="Times New Roman" w:hAnsi="Times New Roman" w:cs="Times New Roman"/>
          <w:sz w:val="24"/>
          <w:szCs w:val="24"/>
        </w:rPr>
        <w:t xml:space="preserve"> Springer.</w:t>
      </w:r>
    </w:p>
    <w:p w14:paraId="3119F60E" w14:textId="77777777" w:rsidR="00143A80" w:rsidRPr="00861FCD" w:rsidRDefault="00143A80" w:rsidP="00861FCD">
      <w:pPr>
        <w:jc w:val="both"/>
        <w:rPr>
          <w:rFonts w:ascii="Times New Roman" w:hAnsi="Times New Roman" w:cs="Times New Roman"/>
          <w:sz w:val="24"/>
          <w:szCs w:val="24"/>
        </w:rPr>
      </w:pPr>
    </w:p>
    <w:sectPr w:rsidR="00143A80" w:rsidRPr="00861FC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lgerian">
    <w:panose1 w:val="04020705040A02060702"/>
    <w:charset w:val="00"/>
    <w:family w:val="decorative"/>
    <w:pitch w:val="variable"/>
    <w:sig w:usb0="00000003" w:usb1="00000000" w:usb2="00000000" w:usb3="00000000" w:csb0="00000001" w:csb1="00000000"/>
  </w:font>
  <w:font w:name="Aldhabi">
    <w:charset w:val="B2"/>
    <w:family w:val="auto"/>
    <w:pitch w:val="variable"/>
    <w:sig w:usb0="80002007" w:usb1="80000000" w:usb2="00000008" w:usb3="00000000" w:csb0="0000004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316972"/>
    <w:multiLevelType w:val="hybridMultilevel"/>
    <w:tmpl w:val="FF10A3A2"/>
    <w:lvl w:ilvl="0" w:tplc="1009000F">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num w:numId="1" w16cid:durableId="7287730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1FCD"/>
    <w:rsid w:val="00143A80"/>
    <w:rsid w:val="00300221"/>
    <w:rsid w:val="00363764"/>
    <w:rsid w:val="00861FCD"/>
    <w:rsid w:val="00E4714C"/>
    <w:rsid w:val="00F170E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35A8DB"/>
  <w15:chartTrackingRefBased/>
  <w15:docId w15:val="{E6BB9011-28A5-4F39-8EB4-637969A9B8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1F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1F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1F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1F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1F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1F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1F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1F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1F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1F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1F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1F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1F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1F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1F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1F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1F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1FCD"/>
    <w:rPr>
      <w:rFonts w:eastAsiaTheme="majorEastAsia" w:cstheme="majorBidi"/>
      <w:color w:val="272727" w:themeColor="text1" w:themeTint="D8"/>
    </w:rPr>
  </w:style>
  <w:style w:type="paragraph" w:styleId="Title">
    <w:name w:val="Title"/>
    <w:basedOn w:val="Normal"/>
    <w:next w:val="Normal"/>
    <w:link w:val="TitleChar"/>
    <w:uiPriority w:val="10"/>
    <w:qFormat/>
    <w:rsid w:val="00861F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1F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1F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1F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1FCD"/>
    <w:pPr>
      <w:spacing w:before="160"/>
      <w:jc w:val="center"/>
    </w:pPr>
    <w:rPr>
      <w:i/>
      <w:iCs/>
      <w:color w:val="404040" w:themeColor="text1" w:themeTint="BF"/>
    </w:rPr>
  </w:style>
  <w:style w:type="character" w:customStyle="1" w:styleId="QuoteChar">
    <w:name w:val="Quote Char"/>
    <w:basedOn w:val="DefaultParagraphFont"/>
    <w:link w:val="Quote"/>
    <w:uiPriority w:val="29"/>
    <w:rsid w:val="00861FCD"/>
    <w:rPr>
      <w:i/>
      <w:iCs/>
      <w:color w:val="404040" w:themeColor="text1" w:themeTint="BF"/>
    </w:rPr>
  </w:style>
  <w:style w:type="paragraph" w:styleId="ListParagraph">
    <w:name w:val="List Paragraph"/>
    <w:basedOn w:val="Normal"/>
    <w:uiPriority w:val="34"/>
    <w:qFormat/>
    <w:rsid w:val="00861FCD"/>
    <w:pPr>
      <w:ind w:left="720"/>
      <w:contextualSpacing/>
    </w:pPr>
  </w:style>
  <w:style w:type="character" w:styleId="IntenseEmphasis">
    <w:name w:val="Intense Emphasis"/>
    <w:basedOn w:val="DefaultParagraphFont"/>
    <w:uiPriority w:val="21"/>
    <w:qFormat/>
    <w:rsid w:val="00861FCD"/>
    <w:rPr>
      <w:i/>
      <w:iCs/>
      <w:color w:val="0F4761" w:themeColor="accent1" w:themeShade="BF"/>
    </w:rPr>
  </w:style>
  <w:style w:type="paragraph" w:styleId="IntenseQuote">
    <w:name w:val="Intense Quote"/>
    <w:basedOn w:val="Normal"/>
    <w:next w:val="Normal"/>
    <w:link w:val="IntenseQuoteChar"/>
    <w:uiPriority w:val="30"/>
    <w:qFormat/>
    <w:rsid w:val="00861F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1FCD"/>
    <w:rPr>
      <w:i/>
      <w:iCs/>
      <w:color w:val="0F4761" w:themeColor="accent1" w:themeShade="BF"/>
    </w:rPr>
  </w:style>
  <w:style w:type="character" w:styleId="IntenseReference">
    <w:name w:val="Intense Reference"/>
    <w:basedOn w:val="DefaultParagraphFont"/>
    <w:uiPriority w:val="32"/>
    <w:qFormat/>
    <w:rsid w:val="00861FC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3</Pages>
  <Words>711</Words>
  <Characters>4056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Nighat Sultana</dc:creator>
  <cp:keywords/>
  <dc:description/>
  <cp:lastModifiedBy>Nighat Sultana</cp:lastModifiedBy>
  <cp:revision>1</cp:revision>
  <dcterms:created xsi:type="dcterms:W3CDTF">2025-11-14T20:01:00Z</dcterms:created>
  <dcterms:modified xsi:type="dcterms:W3CDTF">2025-11-14T20:12:00Z</dcterms:modified>
</cp:coreProperties>
</file>