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E227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76A0F">
        <w:rPr>
          <w:rFonts w:ascii="Calibri" w:hAnsi="Calibri" w:cs="Calibri"/>
          <w:b/>
          <w:bCs/>
          <w:sz w:val="24"/>
          <w:szCs w:val="24"/>
        </w:rPr>
        <w:t>DEPLOYMENT PLAN</w:t>
      </w:r>
      <w:r>
        <w:rPr>
          <w:rFonts w:ascii="Calibri" w:hAnsi="Calibri" w:cs="Calibri"/>
          <w:b/>
          <w:bCs/>
          <w:sz w:val="24"/>
          <w:szCs w:val="24"/>
        </w:rPr>
        <w:t>:</w:t>
      </w:r>
    </w:p>
    <w:p w14:paraId="3F79D02A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Technical deployment approach</w:t>
      </w:r>
      <w:r>
        <w:rPr>
          <w:rFonts w:ascii="Calibri" w:hAnsi="Calibri" w:cs="Calibri"/>
          <w:b/>
          <w:bCs/>
        </w:rPr>
        <w:t>:</w:t>
      </w:r>
    </w:p>
    <w:p w14:paraId="3F33C339" w14:textId="77777777" w:rsidR="00EA0796" w:rsidRPr="00676A0F" w:rsidRDefault="00EA0796" w:rsidP="00EA0796">
      <w:pPr>
        <w:spacing w:after="0" w:line="240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The churn model can be deployed using a batch-scoring pipeline. Customer data flows into a warehouse daily or hourly. A scheduled job scores customers based on the trained model. API endpoints allow real-time scoring for actions like website personalization, mobile notifications, and in-session incentives.</w:t>
      </w:r>
    </w:p>
    <w:p w14:paraId="3FD52957" w14:textId="77777777" w:rsidR="00EA0796" w:rsidRDefault="00EA0796" w:rsidP="00EA0796">
      <w:pPr>
        <w:spacing w:after="160" w:line="259" w:lineRule="auto"/>
        <w:rPr>
          <w:rFonts w:ascii="Calibri" w:hAnsi="Calibri" w:cs="Calibri"/>
          <w:b/>
          <w:bCs/>
        </w:rPr>
      </w:pPr>
    </w:p>
    <w:p w14:paraId="6F9FBAF4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Integration points</w:t>
      </w:r>
      <w:r>
        <w:rPr>
          <w:rFonts w:ascii="Calibri" w:hAnsi="Calibri" w:cs="Calibri"/>
          <w:b/>
          <w:bCs/>
        </w:rPr>
        <w:t>:</w:t>
      </w:r>
    </w:p>
    <w:p w14:paraId="5DD4265D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• Marketing automation systems for sending targeted retention offers</w:t>
      </w:r>
      <w:r w:rsidRPr="00676A0F">
        <w:rPr>
          <w:rFonts w:ascii="Calibri" w:hAnsi="Calibri" w:cs="Calibri"/>
        </w:rPr>
        <w:br/>
        <w:t>• CRM platforms for flagging high-risk customers automatically</w:t>
      </w:r>
      <w:r w:rsidRPr="00676A0F">
        <w:rPr>
          <w:rFonts w:ascii="Calibri" w:hAnsi="Calibri" w:cs="Calibri"/>
        </w:rPr>
        <w:br/>
        <w:t>• Customer service dashboards for prioritizing outreach</w:t>
      </w:r>
      <w:r w:rsidRPr="00676A0F">
        <w:rPr>
          <w:rFonts w:ascii="Calibri" w:hAnsi="Calibri" w:cs="Calibri"/>
        </w:rPr>
        <w:br/>
        <w:t>• Loyalty program engines for delivering dynamic reward levels</w:t>
      </w:r>
    </w:p>
    <w:p w14:paraId="2ED0A437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This design ensures alignment between predictive analytics and customer-facing actions.</w:t>
      </w:r>
    </w:p>
    <w:p w14:paraId="15389113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CHANGE MANAGEMENT AND ADOPTION</w:t>
      </w:r>
      <w:r>
        <w:rPr>
          <w:rFonts w:ascii="Calibri" w:hAnsi="Calibri" w:cs="Calibri"/>
          <w:b/>
          <w:bCs/>
        </w:rPr>
        <w:t>:</w:t>
      </w:r>
    </w:p>
    <w:p w14:paraId="36223722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Intervention workflows</w:t>
      </w:r>
      <w:r>
        <w:rPr>
          <w:rFonts w:ascii="Calibri" w:hAnsi="Calibri" w:cs="Calibri"/>
          <w:b/>
          <w:bCs/>
        </w:rPr>
        <w:t>:</w:t>
      </w:r>
    </w:p>
    <w:p w14:paraId="59A9D3CA" w14:textId="77777777" w:rsidR="00EA0796" w:rsidRDefault="00EA0796" w:rsidP="00EA0796">
      <w:pPr>
        <w:spacing w:after="0" w:line="240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When a customer is flagged as high churn-risk, three interventions activate:</w:t>
      </w:r>
    </w:p>
    <w:p w14:paraId="632ECE50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</w:rPr>
      </w:pPr>
    </w:p>
    <w:p w14:paraId="15ADBC6A" w14:textId="77777777" w:rsidR="00EA0796" w:rsidRPr="00676A0F" w:rsidRDefault="00EA0796" w:rsidP="00EA0796">
      <w:pPr>
        <w:numPr>
          <w:ilvl w:val="0"/>
          <w:numId w:val="1"/>
        </w:numPr>
        <w:spacing w:after="160" w:line="259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Automated personalized offer delivered through email or app</w:t>
      </w:r>
    </w:p>
    <w:p w14:paraId="4521F0D2" w14:textId="77777777" w:rsidR="00EA0796" w:rsidRPr="00676A0F" w:rsidRDefault="00EA0796" w:rsidP="00EA0796">
      <w:pPr>
        <w:numPr>
          <w:ilvl w:val="0"/>
          <w:numId w:val="1"/>
        </w:numPr>
        <w:spacing w:after="160" w:line="259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Service follow-up if satisfaction score is low</w:t>
      </w:r>
    </w:p>
    <w:p w14:paraId="4220789D" w14:textId="77777777" w:rsidR="00EA0796" w:rsidRPr="00676A0F" w:rsidRDefault="00EA0796" w:rsidP="00EA0796">
      <w:pPr>
        <w:numPr>
          <w:ilvl w:val="0"/>
          <w:numId w:val="1"/>
        </w:numPr>
        <w:spacing w:after="160" w:line="259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Behavioral nudge, such as product recommendations or reminders</w:t>
      </w:r>
    </w:p>
    <w:p w14:paraId="72BFEE15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Approach to driving adoption</w:t>
      </w:r>
      <w:r>
        <w:rPr>
          <w:rFonts w:ascii="Calibri" w:hAnsi="Calibri" w:cs="Calibri"/>
          <w:b/>
          <w:bCs/>
        </w:rPr>
        <w:t>:</w:t>
      </w:r>
    </w:p>
    <w:p w14:paraId="481D8DAB" w14:textId="77777777" w:rsidR="00EA0796" w:rsidRDefault="00EA0796" w:rsidP="00EA0796">
      <w:pPr>
        <w:spacing w:after="0" w:line="240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Teams must trust the churn model. Training sessions show non-technical staff how the model works, its confidence range, and its business value. Shadow periods allow comparison between predictions and actual outcomes before full deployment.</w:t>
      </w:r>
    </w:p>
    <w:p w14:paraId="30D0C4A5" w14:textId="77777777" w:rsidR="00EA0796" w:rsidRPr="00676A0F" w:rsidRDefault="00EA0796" w:rsidP="00EA0796">
      <w:pPr>
        <w:spacing w:after="0" w:line="240" w:lineRule="auto"/>
        <w:jc w:val="both"/>
        <w:rPr>
          <w:rFonts w:ascii="Calibri" w:hAnsi="Calibri" w:cs="Calibri"/>
        </w:rPr>
      </w:pPr>
    </w:p>
    <w:p w14:paraId="5414BA84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How this addresses SWOT weaknesses</w:t>
      </w:r>
      <w:r>
        <w:rPr>
          <w:rFonts w:ascii="Calibri" w:hAnsi="Calibri" w:cs="Calibri"/>
          <w:b/>
          <w:bCs/>
        </w:rPr>
        <w:t>:</w:t>
      </w:r>
    </w:p>
    <w:p w14:paraId="3A444C38" w14:textId="77777777" w:rsidR="00EA0796" w:rsidRPr="00676A0F" w:rsidRDefault="00EA0796" w:rsidP="00EA0796">
      <w:pPr>
        <w:spacing w:after="0" w:line="240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SWOT analysis shows the team struggles with overcomplexity, overcommitment, and avoiding conflict. A structured retention workflow reduces ambiguity, sets clear boundaries on responsibilities, and introduces transparency that encourages open communication instead of conflict avoidance.</w:t>
      </w:r>
    </w:p>
    <w:p w14:paraId="692CDA41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</w:rPr>
      </w:pPr>
    </w:p>
    <w:p w14:paraId="78BDEE9D" w14:textId="77777777" w:rsidR="00EA0796" w:rsidRDefault="00EA0796" w:rsidP="00EA0796">
      <w:pPr>
        <w:spacing w:after="160" w:line="259" w:lineRule="auto"/>
        <w:rPr>
          <w:rFonts w:ascii="Calibri" w:hAnsi="Calibri" w:cs="Calibri"/>
          <w:b/>
          <w:bCs/>
        </w:rPr>
      </w:pPr>
    </w:p>
    <w:p w14:paraId="2977F8AB" w14:textId="77777777" w:rsidR="00EA0796" w:rsidRDefault="00EA0796" w:rsidP="00EA0796">
      <w:pPr>
        <w:spacing w:after="160" w:line="259" w:lineRule="auto"/>
        <w:rPr>
          <w:rFonts w:ascii="Calibri" w:hAnsi="Calibri" w:cs="Calibri"/>
          <w:b/>
          <w:bCs/>
        </w:rPr>
      </w:pPr>
    </w:p>
    <w:p w14:paraId="7A8B86DE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76A0F">
        <w:rPr>
          <w:rFonts w:ascii="Calibri" w:hAnsi="Calibri" w:cs="Calibri"/>
          <w:b/>
          <w:bCs/>
          <w:sz w:val="24"/>
          <w:szCs w:val="24"/>
        </w:rPr>
        <w:t>MONITORING, GOVERNANCE, AND CONTINUOUS IMPROVEMENT</w:t>
      </w:r>
      <w:r w:rsidRPr="00E90CC8">
        <w:rPr>
          <w:rFonts w:ascii="Calibri" w:hAnsi="Calibri" w:cs="Calibri"/>
          <w:b/>
          <w:bCs/>
          <w:sz w:val="24"/>
          <w:szCs w:val="24"/>
        </w:rPr>
        <w:t>:</w:t>
      </w:r>
    </w:p>
    <w:p w14:paraId="55C1EF2E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CRISP–DM iteration process</w:t>
      </w:r>
      <w:r>
        <w:rPr>
          <w:rFonts w:ascii="Calibri" w:hAnsi="Calibri" w:cs="Calibri"/>
          <w:b/>
          <w:bCs/>
        </w:rPr>
        <w:t>:</w:t>
      </w:r>
    </w:p>
    <w:p w14:paraId="0C018D5C" w14:textId="77777777" w:rsidR="00EA0796" w:rsidRPr="00676A0F" w:rsidRDefault="00EA0796" w:rsidP="00EA0796">
      <w:pPr>
        <w:spacing w:after="0" w:line="240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CRISP–DM is cyclical. Deployment is not the end; results feed back into new iterations of Business Understanding and Data Understanding.</w:t>
      </w:r>
    </w:p>
    <w:p w14:paraId="3298A723" w14:textId="77777777" w:rsidR="00EA0796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</w:p>
    <w:p w14:paraId="2550C3B5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Feedback loops</w:t>
      </w:r>
      <w:r>
        <w:rPr>
          <w:rFonts w:ascii="Calibri" w:hAnsi="Calibri" w:cs="Calibri"/>
          <w:b/>
          <w:bCs/>
        </w:rPr>
        <w:t>:</w:t>
      </w:r>
    </w:p>
    <w:p w14:paraId="2670B000" w14:textId="77777777" w:rsidR="00EA0796" w:rsidRDefault="00EA0796" w:rsidP="00EA0796">
      <w:pPr>
        <w:spacing w:after="0" w:line="240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• Compare predicted churn vs actual churn monthly</w:t>
      </w:r>
      <w:r w:rsidRPr="00676A0F">
        <w:rPr>
          <w:rFonts w:ascii="Calibri" w:hAnsi="Calibri" w:cs="Calibri"/>
        </w:rPr>
        <w:br/>
        <w:t>• Track conversion rates from retention interventions</w:t>
      </w:r>
      <w:r w:rsidRPr="00676A0F">
        <w:rPr>
          <w:rFonts w:ascii="Calibri" w:hAnsi="Calibri" w:cs="Calibri"/>
        </w:rPr>
        <w:br/>
      </w:r>
      <w:r w:rsidRPr="00676A0F">
        <w:rPr>
          <w:rFonts w:ascii="Calibri" w:hAnsi="Calibri" w:cs="Calibri"/>
        </w:rPr>
        <w:lastRenderedPageBreak/>
        <w:t>• Monitor satisfaction score changes after outreach</w:t>
      </w:r>
      <w:r w:rsidRPr="00676A0F">
        <w:rPr>
          <w:rFonts w:ascii="Calibri" w:hAnsi="Calibri" w:cs="Calibri"/>
        </w:rPr>
        <w:br/>
        <w:t>• Conduct quarterly reviews with leadership</w:t>
      </w:r>
    </w:p>
    <w:p w14:paraId="4C1CC126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</w:rPr>
      </w:pPr>
    </w:p>
    <w:p w14:paraId="062A9DC8" w14:textId="77777777" w:rsidR="00EA0796" w:rsidRPr="00676A0F" w:rsidRDefault="00EA0796" w:rsidP="00EA0796">
      <w:pPr>
        <w:spacing w:after="0" w:line="240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>Model retraining approach</w:t>
      </w:r>
      <w:r>
        <w:rPr>
          <w:rFonts w:ascii="Calibri" w:hAnsi="Calibri" w:cs="Calibri"/>
          <w:b/>
          <w:bCs/>
        </w:rPr>
        <w:t>:</w:t>
      </w:r>
    </w:p>
    <w:p w14:paraId="2BF3C65E" w14:textId="77777777" w:rsidR="00EA0796" w:rsidRDefault="00EA0796" w:rsidP="00EA0796">
      <w:pPr>
        <w:spacing w:after="0" w:line="240" w:lineRule="auto"/>
        <w:rPr>
          <w:rFonts w:ascii="Calibri" w:hAnsi="Calibri" w:cs="Calibri"/>
        </w:rPr>
      </w:pPr>
      <w:r w:rsidRPr="00676A0F">
        <w:rPr>
          <w:rFonts w:ascii="Calibri" w:hAnsi="Calibri" w:cs="Calibri"/>
        </w:rPr>
        <w:t>Retrain every 3–6 months or when accuracy drops. Add new behavioral features such as session depth or browsing categories. Evaluate fairness and avoid overfitting by monitoring stability across customer segments.</w:t>
      </w:r>
    </w:p>
    <w:p w14:paraId="420DCD47" w14:textId="77777777" w:rsidR="00EA0796" w:rsidRDefault="00EA0796" w:rsidP="00EA0796">
      <w:pPr>
        <w:spacing w:after="0" w:line="240" w:lineRule="auto"/>
        <w:rPr>
          <w:rFonts w:ascii="Calibri" w:hAnsi="Calibri" w:cs="Calibri"/>
        </w:rPr>
      </w:pPr>
    </w:p>
    <w:p w14:paraId="26A7D634" w14:textId="2689016C" w:rsidR="00143A80" w:rsidRDefault="00EA0796" w:rsidP="00290BA4">
      <w:pPr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 xml:space="preserve">Analytics leadership requires clarity, communication, and structured problem framing. </w:t>
      </w:r>
      <w:r>
        <w:rPr>
          <w:rFonts w:ascii="Calibri" w:hAnsi="Calibri" w:cs="Calibri"/>
        </w:rPr>
        <w:t>T</w:t>
      </w:r>
      <w:r w:rsidRPr="00676A0F">
        <w:rPr>
          <w:rFonts w:ascii="Calibri" w:hAnsi="Calibri" w:cs="Calibri"/>
        </w:rPr>
        <w:t>eam’s strengths include strong communication, adaptability, and alignment of analytics with business strategy. These strengths support responsible, transparent deployment of churn prediction models.</w:t>
      </w:r>
      <w:r>
        <w:rPr>
          <w:rFonts w:ascii="Calibri" w:hAnsi="Calibri" w:cs="Calibri"/>
        </w:rPr>
        <w:t xml:space="preserve"> </w:t>
      </w:r>
      <w:r w:rsidRPr="00676A0F">
        <w:rPr>
          <w:rFonts w:ascii="Calibri" w:hAnsi="Calibri" w:cs="Calibri"/>
        </w:rPr>
        <w:t>Analytics leaders must continuously refine their understanding, validate assumptions, and adapt solutions as new patterns emerge. They must balance technical accuracy with human factors like trust, communication, and collaboration.</w:t>
      </w:r>
      <w:r>
        <w:rPr>
          <w:rFonts w:ascii="Calibri" w:hAnsi="Calibri" w:cs="Calibri"/>
        </w:rPr>
        <w:t xml:space="preserve"> </w:t>
      </w:r>
      <w:r w:rsidRPr="00676A0F">
        <w:rPr>
          <w:rFonts w:ascii="Calibri" w:hAnsi="Calibri" w:cs="Calibri"/>
        </w:rPr>
        <w:t>2REN can evolve its churn strategy by integrating real-time streaming data, expanding personalized retention programs, and using reinforcement learning to optimize interventions. Leadership will continue to play a critical role in ensuring that analytics insights translate into business value.</w:t>
      </w:r>
    </w:p>
    <w:p w14:paraId="288F6839" w14:textId="77777777" w:rsidR="00EA0796" w:rsidRPr="00676A0F" w:rsidRDefault="00EA0796" w:rsidP="00EA0796">
      <w:pPr>
        <w:spacing w:after="160" w:line="259" w:lineRule="auto"/>
        <w:rPr>
          <w:rFonts w:ascii="Calibri" w:hAnsi="Calibri" w:cs="Calibri"/>
          <w:b/>
          <w:bCs/>
        </w:rPr>
      </w:pPr>
      <w:r w:rsidRPr="00676A0F">
        <w:rPr>
          <w:rFonts w:ascii="Calibri" w:hAnsi="Calibri" w:cs="Calibri"/>
          <w:b/>
          <w:bCs/>
        </w:rPr>
        <w:t xml:space="preserve">REFERENCES </w:t>
      </w:r>
    </w:p>
    <w:p w14:paraId="2DE149F4" w14:textId="77777777" w:rsidR="00EA0796" w:rsidRPr="00676A0F" w:rsidRDefault="00EA0796" w:rsidP="00EA0796">
      <w:pPr>
        <w:spacing w:after="160" w:line="259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Davenport, T. H., &amp; Harris, J. G. (2017). Competing on analytics: The new science of winning. Harvard Business Review Press.</w:t>
      </w:r>
    </w:p>
    <w:p w14:paraId="36DEEE0F" w14:textId="77777777" w:rsidR="00EA0796" w:rsidRPr="00676A0F" w:rsidRDefault="00EA0796" w:rsidP="00EA0796">
      <w:pPr>
        <w:spacing w:after="160" w:line="259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Goleman, D. (2000). Leadership that gets results. Harvard Business Review, 78(2), 78–90.</w:t>
      </w:r>
    </w:p>
    <w:p w14:paraId="215F75D1" w14:textId="77777777" w:rsidR="00EA0796" w:rsidRPr="00676A0F" w:rsidRDefault="00EA0796" w:rsidP="00EA0796">
      <w:pPr>
        <w:spacing w:after="160" w:line="259" w:lineRule="auto"/>
        <w:jc w:val="both"/>
        <w:rPr>
          <w:rFonts w:ascii="Calibri" w:hAnsi="Calibri" w:cs="Calibri"/>
        </w:rPr>
      </w:pPr>
      <w:proofErr w:type="spellStart"/>
      <w:r w:rsidRPr="00676A0F">
        <w:rPr>
          <w:rFonts w:ascii="Calibri" w:hAnsi="Calibri" w:cs="Calibri"/>
        </w:rPr>
        <w:t>Neslin</w:t>
      </w:r>
      <w:proofErr w:type="spellEnd"/>
      <w:r w:rsidRPr="00676A0F">
        <w:rPr>
          <w:rFonts w:ascii="Calibri" w:hAnsi="Calibri" w:cs="Calibri"/>
        </w:rPr>
        <w:t>, S. A., Gupta, S., Kamakura, W., Lu, J., &amp; Mason, C. H. (2006). Defection detection: Measuring and understanding the predictive accuracy of customer churn models. Journal of Marketing Research, 43(2), 204–211.</w:t>
      </w:r>
    </w:p>
    <w:p w14:paraId="66378786" w14:textId="77777777" w:rsidR="00EA0796" w:rsidRPr="00676A0F" w:rsidRDefault="00EA0796" w:rsidP="00EA0796">
      <w:pPr>
        <w:spacing w:after="160" w:line="259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 xml:space="preserve">Verbeke, W., Dejaeger, K., Martens, D., Hur, J., &amp; </w:t>
      </w:r>
      <w:proofErr w:type="spellStart"/>
      <w:r w:rsidRPr="00676A0F">
        <w:rPr>
          <w:rFonts w:ascii="Calibri" w:hAnsi="Calibri" w:cs="Calibri"/>
        </w:rPr>
        <w:t>Baesens</w:t>
      </w:r>
      <w:proofErr w:type="spellEnd"/>
      <w:r w:rsidRPr="00676A0F">
        <w:rPr>
          <w:rFonts w:ascii="Calibri" w:hAnsi="Calibri" w:cs="Calibri"/>
        </w:rPr>
        <w:t>, B. (2012). New insights into churn prediction in the telecommunication sector. European Journal of Operational Research, 218(1), 211–229.</w:t>
      </w:r>
    </w:p>
    <w:p w14:paraId="7B570D26" w14:textId="77777777" w:rsidR="00EA0796" w:rsidRPr="00676A0F" w:rsidRDefault="00EA0796" w:rsidP="00EA0796">
      <w:pPr>
        <w:spacing w:after="160" w:line="259" w:lineRule="auto"/>
        <w:jc w:val="both"/>
        <w:rPr>
          <w:rFonts w:ascii="Calibri" w:hAnsi="Calibri" w:cs="Calibri"/>
        </w:rPr>
      </w:pPr>
      <w:r w:rsidRPr="00676A0F">
        <w:rPr>
          <w:rFonts w:ascii="Calibri" w:hAnsi="Calibri" w:cs="Calibri"/>
        </w:rPr>
        <w:t>Wierenga, B. (2021). Marketing analytics: A practical guide to real marketing science. Springer.</w:t>
      </w:r>
    </w:p>
    <w:p w14:paraId="55A0531B" w14:textId="77777777" w:rsidR="00EA0796" w:rsidRPr="00C94CA4" w:rsidRDefault="00EA0796" w:rsidP="00EA0796">
      <w:pPr>
        <w:jc w:val="both"/>
        <w:rPr>
          <w:rFonts w:ascii="Calibri" w:hAnsi="Calibri" w:cs="Calibri"/>
        </w:rPr>
      </w:pPr>
      <w:r w:rsidRPr="00C94CA4">
        <w:rPr>
          <w:rFonts w:ascii="Calibri" w:hAnsi="Calibri" w:cs="Calibri"/>
        </w:rPr>
        <w:br/>
      </w:r>
    </w:p>
    <w:p w14:paraId="02A106A8" w14:textId="77777777" w:rsidR="00EA0796" w:rsidRPr="00C94CA4" w:rsidRDefault="00EA0796" w:rsidP="00EA0796">
      <w:pPr>
        <w:jc w:val="both"/>
        <w:rPr>
          <w:rFonts w:ascii="Calibri" w:hAnsi="Calibri" w:cs="Calibri"/>
          <w:sz w:val="24"/>
          <w:szCs w:val="24"/>
        </w:rPr>
      </w:pPr>
    </w:p>
    <w:p w14:paraId="19ECB2AD" w14:textId="77777777" w:rsidR="00EA0796" w:rsidRDefault="00EA0796" w:rsidP="00EA0796"/>
    <w:sectPr w:rsidR="00EA07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3FCE"/>
    <w:multiLevelType w:val="multilevel"/>
    <w:tmpl w:val="1068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14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96"/>
    <w:rsid w:val="00143A80"/>
    <w:rsid w:val="00290BA4"/>
    <w:rsid w:val="009341E9"/>
    <w:rsid w:val="00E4714C"/>
    <w:rsid w:val="00EA0796"/>
    <w:rsid w:val="00F1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A1C0"/>
  <w15:chartTrackingRefBased/>
  <w15:docId w15:val="{F79F428F-E0AF-4D63-9139-02A3DB5F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9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Nighat Sultana</dc:creator>
  <cp:keywords/>
  <dc:description/>
  <cp:lastModifiedBy>Nighat Sultana</cp:lastModifiedBy>
  <cp:revision>2</cp:revision>
  <dcterms:created xsi:type="dcterms:W3CDTF">2025-12-11T09:02:00Z</dcterms:created>
  <dcterms:modified xsi:type="dcterms:W3CDTF">2025-12-12T00:27:00Z</dcterms:modified>
</cp:coreProperties>
</file>