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542B3" w14:textId="77777777" w:rsidR="001C5B48" w:rsidRPr="003629D3" w:rsidRDefault="001C5B48" w:rsidP="001C5B48">
      <w:pPr>
        <w:spacing w:after="0" w:line="240" w:lineRule="auto"/>
        <w:rPr>
          <w:rFonts w:ascii="Calibri" w:hAnsi="Calibri" w:cs="Calibri"/>
          <w:b/>
          <w:bCs/>
          <w:sz w:val="24"/>
          <w:szCs w:val="24"/>
        </w:rPr>
      </w:pPr>
      <w:r w:rsidRPr="003629D3">
        <w:rPr>
          <w:rFonts w:ascii="Calibri" w:hAnsi="Calibri" w:cs="Calibri"/>
          <w:b/>
          <w:bCs/>
          <w:sz w:val="24"/>
          <w:szCs w:val="24"/>
        </w:rPr>
        <w:t>UNDERSTANDING THE DATA:</w:t>
      </w:r>
    </w:p>
    <w:p w14:paraId="7B5C83A6" w14:textId="77777777" w:rsidR="001C5B48" w:rsidRDefault="001C5B48" w:rsidP="001C5B48">
      <w:pPr>
        <w:spacing w:after="0" w:line="240" w:lineRule="auto"/>
        <w:jc w:val="both"/>
        <w:rPr>
          <w:rFonts w:ascii="Calibri" w:hAnsi="Calibri" w:cs="Calibri"/>
        </w:rPr>
      </w:pPr>
      <w:r w:rsidRPr="003629D3">
        <w:rPr>
          <w:rFonts w:ascii="Calibri" w:hAnsi="Calibri" w:cs="Calibri"/>
        </w:rPr>
        <w:t>The dataset used for this project is the “Ecommerce Customer Churn Analysis" and Prediction dataset created by Ankit Verma and published on Kaggle. It contains 5,630 observations and 20 variables describing transactional behavior, customer experience, demographic characteristics, and platform engagement patterns. The dataset is synthetic, meaning it imitates real customer distributions without exposing actual private data.</w:t>
      </w:r>
    </w:p>
    <w:p w14:paraId="2733611B" w14:textId="77777777" w:rsidR="001C5B48" w:rsidRPr="003629D3" w:rsidRDefault="001C5B48" w:rsidP="001C5B48">
      <w:pPr>
        <w:spacing w:after="0" w:line="240" w:lineRule="auto"/>
        <w:jc w:val="both"/>
        <w:rPr>
          <w:rFonts w:ascii="Calibri" w:hAnsi="Calibri" w:cs="Calibri"/>
        </w:rPr>
      </w:pPr>
    </w:p>
    <w:p w14:paraId="79210E90" w14:textId="77777777" w:rsidR="001C5B48" w:rsidRDefault="001C5B48" w:rsidP="001C5B48">
      <w:pPr>
        <w:spacing w:after="0" w:line="240" w:lineRule="auto"/>
        <w:jc w:val="both"/>
        <w:rPr>
          <w:rFonts w:ascii="Calibri" w:hAnsi="Calibri" w:cs="Calibri"/>
          <w:b/>
          <w:bCs/>
          <w:sz w:val="24"/>
          <w:szCs w:val="24"/>
        </w:rPr>
      </w:pPr>
      <w:r w:rsidRPr="003629D3">
        <w:rPr>
          <w:rFonts w:ascii="Calibri" w:hAnsi="Calibri" w:cs="Calibri"/>
          <w:b/>
          <w:bCs/>
          <w:sz w:val="24"/>
          <w:szCs w:val="24"/>
        </w:rPr>
        <w:t>MISSING VALUES IN THE ORIGINAL DATASET</w:t>
      </w:r>
      <w:r>
        <w:rPr>
          <w:rFonts w:ascii="Calibri" w:hAnsi="Calibri" w:cs="Calibri"/>
          <w:b/>
          <w:bCs/>
          <w:sz w:val="24"/>
          <w:szCs w:val="24"/>
        </w:rPr>
        <w:t>:</w:t>
      </w:r>
    </w:p>
    <w:p w14:paraId="0438AEA4" w14:textId="77777777" w:rsidR="001C5B48" w:rsidRDefault="001C5B48" w:rsidP="001C5B48">
      <w:pPr>
        <w:spacing w:after="0" w:line="240" w:lineRule="auto"/>
        <w:rPr>
          <w:rFonts w:ascii="Calibri" w:hAnsi="Calibri" w:cs="Calibri"/>
        </w:rPr>
      </w:pPr>
      <w:r w:rsidRPr="003629D3">
        <w:rPr>
          <w:rFonts w:ascii="Calibri" w:hAnsi="Calibri" w:cs="Calibri"/>
        </w:rPr>
        <w:t>The original Excel dataset contains missing values across several key behavioral fields:</w:t>
      </w:r>
      <w:r w:rsidRPr="003629D3">
        <w:rPr>
          <w:rFonts w:ascii="Calibri" w:hAnsi="Calibri" w:cs="Calibri"/>
        </w:rPr>
        <w:br/>
        <w:t>• Tenure: 264 missing (4.69 percent)</w:t>
      </w:r>
      <w:r w:rsidRPr="003629D3">
        <w:rPr>
          <w:rFonts w:ascii="Calibri" w:hAnsi="Calibri" w:cs="Calibri"/>
        </w:rPr>
        <w:br/>
        <w:t xml:space="preserve">• </w:t>
      </w:r>
      <w:proofErr w:type="spellStart"/>
      <w:r w:rsidRPr="003629D3">
        <w:rPr>
          <w:rFonts w:ascii="Calibri" w:hAnsi="Calibri" w:cs="Calibri"/>
        </w:rPr>
        <w:t>WarehouseToHome</w:t>
      </w:r>
      <w:proofErr w:type="spellEnd"/>
      <w:r w:rsidRPr="003629D3">
        <w:rPr>
          <w:rFonts w:ascii="Calibri" w:hAnsi="Calibri" w:cs="Calibri"/>
        </w:rPr>
        <w:t>: 251 missing (4.46 percent)</w:t>
      </w:r>
      <w:r w:rsidRPr="003629D3">
        <w:rPr>
          <w:rFonts w:ascii="Calibri" w:hAnsi="Calibri" w:cs="Calibri"/>
        </w:rPr>
        <w:br/>
        <w:t xml:space="preserve">• </w:t>
      </w:r>
      <w:proofErr w:type="spellStart"/>
      <w:r w:rsidRPr="003629D3">
        <w:rPr>
          <w:rFonts w:ascii="Calibri" w:hAnsi="Calibri" w:cs="Calibri"/>
        </w:rPr>
        <w:t>HourSpendOnApp</w:t>
      </w:r>
      <w:proofErr w:type="spellEnd"/>
      <w:r w:rsidRPr="003629D3">
        <w:rPr>
          <w:rFonts w:ascii="Calibri" w:hAnsi="Calibri" w:cs="Calibri"/>
        </w:rPr>
        <w:t>: 255 missing (4.53 percent)</w:t>
      </w:r>
      <w:r w:rsidRPr="003629D3">
        <w:rPr>
          <w:rFonts w:ascii="Calibri" w:hAnsi="Calibri" w:cs="Calibri"/>
        </w:rPr>
        <w:br/>
        <w:t xml:space="preserve">• </w:t>
      </w:r>
      <w:proofErr w:type="spellStart"/>
      <w:r w:rsidRPr="003629D3">
        <w:rPr>
          <w:rFonts w:ascii="Calibri" w:hAnsi="Calibri" w:cs="Calibri"/>
        </w:rPr>
        <w:t>OrderAmountHikeFromLastYear</w:t>
      </w:r>
      <w:proofErr w:type="spellEnd"/>
      <w:r w:rsidRPr="003629D3">
        <w:rPr>
          <w:rFonts w:ascii="Calibri" w:hAnsi="Calibri" w:cs="Calibri"/>
        </w:rPr>
        <w:t>: 265 missing (4.71 percent)</w:t>
      </w:r>
      <w:r w:rsidRPr="003629D3">
        <w:rPr>
          <w:rFonts w:ascii="Calibri" w:hAnsi="Calibri" w:cs="Calibri"/>
        </w:rPr>
        <w:br/>
        <w:t xml:space="preserve">• </w:t>
      </w:r>
      <w:proofErr w:type="spellStart"/>
      <w:r w:rsidRPr="003629D3">
        <w:rPr>
          <w:rFonts w:ascii="Calibri" w:hAnsi="Calibri" w:cs="Calibri"/>
        </w:rPr>
        <w:t>CouponUsed</w:t>
      </w:r>
      <w:proofErr w:type="spellEnd"/>
      <w:r w:rsidRPr="003629D3">
        <w:rPr>
          <w:rFonts w:ascii="Calibri" w:hAnsi="Calibri" w:cs="Calibri"/>
        </w:rPr>
        <w:t>: 256 missing (4.55 percent)</w:t>
      </w:r>
      <w:r w:rsidRPr="003629D3">
        <w:rPr>
          <w:rFonts w:ascii="Calibri" w:hAnsi="Calibri" w:cs="Calibri"/>
        </w:rPr>
        <w:br/>
        <w:t xml:space="preserve">• </w:t>
      </w:r>
      <w:proofErr w:type="spellStart"/>
      <w:r w:rsidRPr="003629D3">
        <w:rPr>
          <w:rFonts w:ascii="Calibri" w:hAnsi="Calibri" w:cs="Calibri"/>
        </w:rPr>
        <w:t>OrderCount</w:t>
      </w:r>
      <w:proofErr w:type="spellEnd"/>
      <w:r w:rsidRPr="003629D3">
        <w:rPr>
          <w:rFonts w:ascii="Calibri" w:hAnsi="Calibri" w:cs="Calibri"/>
        </w:rPr>
        <w:t>: 258 missing (4.58 percent)</w:t>
      </w:r>
      <w:r w:rsidRPr="003629D3">
        <w:rPr>
          <w:rFonts w:ascii="Calibri" w:hAnsi="Calibri" w:cs="Calibri"/>
        </w:rPr>
        <w:br/>
        <w:t xml:space="preserve">• </w:t>
      </w:r>
      <w:proofErr w:type="spellStart"/>
      <w:r w:rsidRPr="003629D3">
        <w:rPr>
          <w:rFonts w:ascii="Calibri" w:hAnsi="Calibri" w:cs="Calibri"/>
        </w:rPr>
        <w:t>DaySinceLastOrder</w:t>
      </w:r>
      <w:proofErr w:type="spellEnd"/>
      <w:r w:rsidRPr="003629D3">
        <w:rPr>
          <w:rFonts w:ascii="Calibri" w:hAnsi="Calibri" w:cs="Calibri"/>
        </w:rPr>
        <w:t>: 307 missing (5.45 percent)</w:t>
      </w:r>
    </w:p>
    <w:p w14:paraId="0D9074AA" w14:textId="77777777" w:rsidR="001C5B48" w:rsidRDefault="001C5B48" w:rsidP="001C5B48">
      <w:pPr>
        <w:jc w:val="both"/>
        <w:rPr>
          <w:rFonts w:ascii="Calibri" w:hAnsi="Calibri" w:cs="Calibri"/>
        </w:rPr>
      </w:pPr>
      <w:r w:rsidRPr="003629D3">
        <w:rPr>
          <w:rFonts w:ascii="Calibri" w:hAnsi="Calibri" w:cs="Calibri"/>
        </w:rPr>
        <w:t>All other variables contain 0 missing values. This pattern aligns with common ecommerce data challenges, where behavioral logs and transactional timestamps are more error</w:t>
      </w:r>
      <w:r w:rsidRPr="003629D3">
        <w:rPr>
          <w:rFonts w:ascii="Cambria Math" w:hAnsi="Cambria Math" w:cs="Cambria Math"/>
        </w:rPr>
        <w:t>‑</w:t>
      </w:r>
      <w:r w:rsidRPr="003629D3">
        <w:rPr>
          <w:rFonts w:ascii="Calibri" w:hAnsi="Calibri" w:cs="Calibri"/>
        </w:rPr>
        <w:t>prone than demographic records.</w:t>
      </w:r>
    </w:p>
    <w:p w14:paraId="79D8623D" w14:textId="77777777" w:rsidR="001C5B48" w:rsidRDefault="001C5B48" w:rsidP="00140804">
      <w:pPr>
        <w:spacing w:after="0" w:line="240" w:lineRule="auto"/>
        <w:jc w:val="both"/>
        <w:rPr>
          <w:rFonts w:ascii="Calibri" w:hAnsi="Calibri" w:cs="Calibri"/>
          <w:b/>
          <w:bCs/>
          <w:sz w:val="24"/>
          <w:szCs w:val="24"/>
        </w:rPr>
      </w:pPr>
      <w:r w:rsidRPr="003629D3">
        <w:rPr>
          <w:rFonts w:ascii="Calibri" w:hAnsi="Calibri" w:cs="Calibri"/>
          <w:b/>
          <w:bCs/>
          <w:sz w:val="24"/>
          <w:szCs w:val="24"/>
        </w:rPr>
        <w:t>THE IMPUTED SOLUTION:</w:t>
      </w:r>
    </w:p>
    <w:p w14:paraId="7D3DBF1C" w14:textId="77777777" w:rsidR="001C5B48" w:rsidRDefault="001C5B48" w:rsidP="00140804">
      <w:pPr>
        <w:spacing w:after="0" w:line="240" w:lineRule="auto"/>
        <w:jc w:val="both"/>
        <w:rPr>
          <w:rFonts w:ascii="Calibri" w:hAnsi="Calibri" w:cs="Calibri"/>
        </w:rPr>
      </w:pPr>
      <w:r w:rsidRPr="00CB3B0E">
        <w:rPr>
          <w:rFonts w:ascii="Calibri" w:hAnsi="Calibri" w:cs="Calibri"/>
        </w:rPr>
        <w:t>The imputed</w:t>
      </w:r>
      <w:r>
        <w:rPr>
          <w:rFonts w:ascii="Calibri" w:hAnsi="Calibri" w:cs="Calibri"/>
        </w:rPr>
        <w:t xml:space="preserve"> </w:t>
      </w:r>
      <w:r w:rsidRPr="00CB3B0E">
        <w:rPr>
          <w:rFonts w:ascii="Calibri" w:hAnsi="Calibri" w:cs="Calibri"/>
        </w:rPr>
        <w:t>dataset used for modeling contains zero missing values, meaning an imputation step has been applied before analysis. This produces a clean, ready</w:t>
      </w:r>
      <w:r w:rsidRPr="00CB3B0E">
        <w:rPr>
          <w:rFonts w:ascii="Cambria Math" w:hAnsi="Cambria Math" w:cs="Cambria Math"/>
        </w:rPr>
        <w:t>‑</w:t>
      </w:r>
      <w:r w:rsidRPr="00CB3B0E">
        <w:rPr>
          <w:rFonts w:ascii="Calibri" w:hAnsi="Calibri" w:cs="Calibri"/>
        </w:rPr>
        <w:t>to</w:t>
      </w:r>
      <w:r w:rsidRPr="00CB3B0E">
        <w:rPr>
          <w:rFonts w:ascii="Cambria Math" w:hAnsi="Cambria Math" w:cs="Cambria Math"/>
        </w:rPr>
        <w:t>‑</w:t>
      </w:r>
      <w:r w:rsidRPr="00CB3B0E">
        <w:rPr>
          <w:rFonts w:ascii="Calibri" w:hAnsi="Calibri" w:cs="Calibri"/>
        </w:rPr>
        <w:t>model dataset but removes important uncertainty about customer behavior. Because imputation hides where gaps originally appeared, analysts must remain cautious about interpreting results, particularly for variables that had more than 5 percent missingness.</w:t>
      </w:r>
    </w:p>
    <w:p w14:paraId="5AAD1F4F" w14:textId="77777777" w:rsidR="00140804" w:rsidRDefault="00140804" w:rsidP="00140804">
      <w:pPr>
        <w:spacing w:after="0" w:line="240" w:lineRule="auto"/>
        <w:jc w:val="both"/>
        <w:rPr>
          <w:rFonts w:ascii="Calibri" w:hAnsi="Calibri" w:cs="Calibri"/>
        </w:rPr>
      </w:pPr>
    </w:p>
    <w:p w14:paraId="44D9863D" w14:textId="77777777" w:rsidR="001C5B48" w:rsidRDefault="001C5B48" w:rsidP="001C5B48">
      <w:pPr>
        <w:spacing w:after="0" w:line="240" w:lineRule="auto"/>
        <w:jc w:val="both"/>
        <w:rPr>
          <w:rFonts w:ascii="Calibri" w:hAnsi="Calibri" w:cs="Calibri"/>
          <w:b/>
          <w:bCs/>
          <w:sz w:val="24"/>
          <w:szCs w:val="24"/>
        </w:rPr>
      </w:pPr>
      <w:r w:rsidRPr="00CB3B0E">
        <w:rPr>
          <w:rFonts w:ascii="Calibri" w:hAnsi="Calibri" w:cs="Calibri"/>
          <w:b/>
          <w:bCs/>
          <w:sz w:val="24"/>
          <w:szCs w:val="24"/>
        </w:rPr>
        <w:t>KEY STATISTICS FROM THE IMPUTED DATA</w:t>
      </w:r>
      <w:r>
        <w:rPr>
          <w:rFonts w:ascii="Calibri" w:hAnsi="Calibri" w:cs="Calibri"/>
          <w:b/>
          <w:bCs/>
          <w:sz w:val="24"/>
          <w:szCs w:val="24"/>
        </w:rPr>
        <w:t>:</w:t>
      </w:r>
    </w:p>
    <w:p w14:paraId="67FFAFBE" w14:textId="77777777" w:rsidR="001C5B48" w:rsidRPr="00CB3B0E" w:rsidRDefault="001C5B48" w:rsidP="001C5B48">
      <w:pPr>
        <w:spacing w:after="0" w:line="240" w:lineRule="auto"/>
        <w:rPr>
          <w:rFonts w:ascii="Calibri" w:hAnsi="Calibri" w:cs="Calibri"/>
        </w:rPr>
      </w:pPr>
      <w:r w:rsidRPr="00CB3B0E">
        <w:rPr>
          <w:rFonts w:ascii="Calibri" w:hAnsi="Calibri" w:cs="Calibri"/>
        </w:rPr>
        <w:t>•</w:t>
      </w:r>
      <w:r>
        <w:rPr>
          <w:rFonts w:ascii="Calibri" w:hAnsi="Calibri" w:cs="Calibri"/>
        </w:rPr>
        <w:t xml:space="preserve"> </w:t>
      </w:r>
      <w:r w:rsidRPr="00CB3B0E">
        <w:rPr>
          <w:rFonts w:ascii="Calibri" w:hAnsi="Calibri" w:cs="Calibri"/>
        </w:rPr>
        <w:t>Churn rate: 16.8 percent</w:t>
      </w:r>
      <w:r w:rsidRPr="00CB3B0E">
        <w:rPr>
          <w:rFonts w:ascii="Calibri" w:hAnsi="Calibri" w:cs="Calibri"/>
        </w:rPr>
        <w:br/>
        <w:t>• Average tenure: 10.1 months (range 0–61 months)</w:t>
      </w:r>
      <w:r w:rsidRPr="00CB3B0E">
        <w:rPr>
          <w:rFonts w:ascii="Calibri" w:hAnsi="Calibri" w:cs="Calibri"/>
        </w:rPr>
        <w:br/>
        <w:t>• Average satisfaction score: 3.07</w:t>
      </w:r>
      <w:r w:rsidRPr="00CB3B0E">
        <w:rPr>
          <w:rFonts w:ascii="Calibri" w:hAnsi="Calibri" w:cs="Calibri"/>
        </w:rPr>
        <w:br/>
        <w:t>• Complaint rate: 28.5 percent</w:t>
      </w:r>
      <w:r w:rsidRPr="00CB3B0E">
        <w:rPr>
          <w:rFonts w:ascii="Calibri" w:hAnsi="Calibri" w:cs="Calibri"/>
        </w:rPr>
        <w:br/>
        <w:t>• Average orders per customer: 3.0</w:t>
      </w:r>
      <w:r w:rsidRPr="00CB3B0E">
        <w:rPr>
          <w:rFonts w:ascii="Calibri" w:hAnsi="Calibri" w:cs="Calibri"/>
        </w:rPr>
        <w:br/>
        <w:t>• Average daily time on app: 2.93 hours</w:t>
      </w:r>
      <w:r w:rsidRPr="00CB3B0E">
        <w:rPr>
          <w:rFonts w:ascii="Calibri" w:hAnsi="Calibri" w:cs="Calibri"/>
        </w:rPr>
        <w:br/>
        <w:t>• Average cashback amount: 177.2 units</w:t>
      </w:r>
    </w:p>
    <w:p w14:paraId="57060734" w14:textId="77777777" w:rsidR="001C5B48" w:rsidRDefault="001C5B48" w:rsidP="00140804">
      <w:pPr>
        <w:jc w:val="both"/>
        <w:rPr>
          <w:rFonts w:ascii="Calibri" w:hAnsi="Calibri" w:cs="Calibri"/>
        </w:rPr>
      </w:pPr>
      <w:proofErr w:type="gramStart"/>
      <w:r w:rsidRPr="00CB3B0E">
        <w:rPr>
          <w:rFonts w:ascii="Calibri" w:hAnsi="Calibri" w:cs="Calibri"/>
        </w:rPr>
        <w:t>City tier</w:t>
      </w:r>
      <w:proofErr w:type="gramEnd"/>
      <w:r w:rsidRPr="00CB3B0E">
        <w:rPr>
          <w:rFonts w:ascii="Calibri" w:hAnsi="Calibri" w:cs="Calibri"/>
        </w:rPr>
        <w:t xml:space="preserve"> distribution shows that approximately 65 percent of customers come from Tier</w:t>
      </w:r>
      <w:r w:rsidRPr="00CB3B0E">
        <w:rPr>
          <w:rFonts w:ascii="Cambria Math" w:hAnsi="Cambria Math" w:cs="Cambria Math"/>
        </w:rPr>
        <w:t>‑</w:t>
      </w:r>
      <w:r w:rsidRPr="00CB3B0E">
        <w:rPr>
          <w:rFonts w:ascii="Calibri" w:hAnsi="Calibri" w:cs="Calibri"/>
        </w:rPr>
        <w:t>1 cities and 31 percent from Tier</w:t>
      </w:r>
      <w:r w:rsidRPr="00CB3B0E">
        <w:rPr>
          <w:rFonts w:ascii="Cambria Math" w:hAnsi="Cambria Math" w:cs="Cambria Math"/>
        </w:rPr>
        <w:t>‑</w:t>
      </w:r>
      <w:r w:rsidRPr="00CB3B0E">
        <w:rPr>
          <w:rFonts w:ascii="Calibri" w:hAnsi="Calibri" w:cs="Calibri"/>
        </w:rPr>
        <w:t>3 cities. Gender distribution is approximately 60 percent male and 40 percent female. These patterns reflect realistic ecommerce segmentation categories.</w:t>
      </w:r>
    </w:p>
    <w:p w14:paraId="1D4F4769" w14:textId="77777777" w:rsidR="001C5B48" w:rsidRDefault="001C5B48" w:rsidP="001C5B48">
      <w:pPr>
        <w:spacing w:after="0" w:line="240" w:lineRule="auto"/>
        <w:rPr>
          <w:rFonts w:ascii="Calibri" w:hAnsi="Calibri" w:cs="Calibri"/>
        </w:rPr>
      </w:pPr>
      <w:r w:rsidRPr="00CB3B0E">
        <w:rPr>
          <w:rFonts w:ascii="Calibri" w:hAnsi="Calibri" w:cs="Calibri"/>
          <w:b/>
          <w:bCs/>
          <w:sz w:val="24"/>
          <w:szCs w:val="24"/>
        </w:rPr>
        <w:t>HOW REAL BUSINESSES OBTAIN THIS DATA</w:t>
      </w:r>
      <w:r>
        <w:rPr>
          <w:rFonts w:ascii="Calibri" w:hAnsi="Calibri" w:cs="Calibri"/>
          <w:sz w:val="24"/>
          <w:szCs w:val="24"/>
        </w:rPr>
        <w:t>:</w:t>
      </w:r>
      <w:r w:rsidRPr="00CB3B0E">
        <w:rPr>
          <w:rFonts w:ascii="Calibri" w:hAnsi="Calibri" w:cs="Calibri"/>
          <w:sz w:val="24"/>
          <w:szCs w:val="24"/>
        </w:rPr>
        <w:br/>
      </w:r>
      <w:r w:rsidRPr="00CB3B0E">
        <w:rPr>
          <w:rFonts w:ascii="Calibri" w:hAnsi="Calibri" w:cs="Calibri"/>
        </w:rPr>
        <w:t>In a real company like 2REN, customer</w:t>
      </w:r>
      <w:r w:rsidRPr="00CB3B0E">
        <w:rPr>
          <w:rFonts w:ascii="Cambria Math" w:hAnsi="Cambria Math" w:cs="Cambria Math"/>
        </w:rPr>
        <w:t>‑</w:t>
      </w:r>
      <w:r w:rsidRPr="00CB3B0E">
        <w:rPr>
          <w:rFonts w:ascii="Calibri" w:hAnsi="Calibri" w:cs="Calibri"/>
        </w:rPr>
        <w:t>level data would be gathered from:</w:t>
      </w:r>
      <w:r w:rsidRPr="00CB3B0E">
        <w:rPr>
          <w:rFonts w:ascii="Calibri" w:hAnsi="Calibri" w:cs="Calibri"/>
        </w:rPr>
        <w:br/>
        <w:t>• Web and mobile analytics systems (engagement, device information)</w:t>
      </w:r>
      <w:r w:rsidRPr="00CB3B0E">
        <w:rPr>
          <w:rFonts w:ascii="Calibri" w:hAnsi="Calibri" w:cs="Calibri"/>
        </w:rPr>
        <w:br/>
        <w:t>• Order management system (order count, values, recency)</w:t>
      </w:r>
      <w:r w:rsidRPr="00CB3B0E">
        <w:rPr>
          <w:rFonts w:ascii="Calibri" w:hAnsi="Calibri" w:cs="Calibri"/>
        </w:rPr>
        <w:br/>
        <w:t>• CRM platform (tenure, demographics, addresses)</w:t>
      </w:r>
      <w:r w:rsidRPr="00CB3B0E">
        <w:rPr>
          <w:rFonts w:ascii="Calibri" w:hAnsi="Calibri" w:cs="Calibri"/>
        </w:rPr>
        <w:br/>
        <w:t>• Payment gateway (payment mode, success/failure)</w:t>
      </w:r>
      <w:r w:rsidRPr="00CB3B0E">
        <w:rPr>
          <w:rFonts w:ascii="Calibri" w:hAnsi="Calibri" w:cs="Calibri"/>
        </w:rPr>
        <w:br/>
        <w:t>• Customer support system (tickets, complaints, satisfaction)</w:t>
      </w:r>
    </w:p>
    <w:p w14:paraId="0B201FC6" w14:textId="77777777" w:rsidR="00140804" w:rsidRDefault="00140804" w:rsidP="001C5B48">
      <w:pPr>
        <w:spacing w:after="0" w:line="240" w:lineRule="auto"/>
        <w:rPr>
          <w:rFonts w:ascii="Calibri" w:hAnsi="Calibri" w:cs="Calibri"/>
        </w:rPr>
      </w:pPr>
    </w:p>
    <w:p w14:paraId="057341BE" w14:textId="77777777" w:rsidR="001C5B48" w:rsidRPr="009937DF" w:rsidRDefault="001C5B48" w:rsidP="00140804">
      <w:pPr>
        <w:spacing w:after="0" w:line="240" w:lineRule="auto"/>
        <w:jc w:val="both"/>
        <w:rPr>
          <w:rFonts w:ascii="Calibri" w:hAnsi="Calibri" w:cs="Calibri"/>
        </w:rPr>
      </w:pPr>
      <w:r w:rsidRPr="00CB3B0E">
        <w:rPr>
          <w:rFonts w:ascii="Calibri" w:hAnsi="Calibri" w:cs="Calibri"/>
        </w:rPr>
        <w:lastRenderedPageBreak/>
        <w:t>Data engineers maintain automated ETL (extract, transform, load) pipelines that feed a central data warehouse or lake. Analysts then use warehouse tables to construct modeling datasets following CRISP</w:t>
      </w:r>
      <w:r w:rsidRPr="00CB3B0E">
        <w:rPr>
          <w:rFonts w:ascii="Cambria Math" w:hAnsi="Cambria Math" w:cs="Cambria Math"/>
        </w:rPr>
        <w:t>‑</w:t>
      </w:r>
      <w:r w:rsidRPr="00CB3B0E">
        <w:rPr>
          <w:rFonts w:ascii="Calibri" w:hAnsi="Calibri" w:cs="Calibri"/>
        </w:rPr>
        <w:t>DM.</w:t>
      </w:r>
      <w:r w:rsidRPr="00CB3B0E">
        <w:rPr>
          <w:rFonts w:ascii="Calibri" w:hAnsi="Calibri" w:cs="Calibri"/>
        </w:rPr>
        <w:br/>
      </w:r>
    </w:p>
    <w:p w14:paraId="43A75D29" w14:textId="77777777" w:rsidR="00140804" w:rsidRDefault="001C5B48" w:rsidP="001C5B48">
      <w:pPr>
        <w:spacing w:after="0" w:line="240" w:lineRule="auto"/>
        <w:rPr>
          <w:rFonts w:ascii="Calibri" w:hAnsi="Calibri" w:cs="Calibri"/>
        </w:rPr>
      </w:pPr>
      <w:r w:rsidRPr="00CB3B0E">
        <w:rPr>
          <w:rFonts w:ascii="Calibri" w:hAnsi="Calibri" w:cs="Calibri"/>
          <w:b/>
          <w:bCs/>
          <w:sz w:val="24"/>
          <w:szCs w:val="24"/>
        </w:rPr>
        <w:t>LIMITATIONS OF SYNTHETIC AND IMPUTED DATA:</w:t>
      </w:r>
      <w:r w:rsidRPr="00CB3B0E">
        <w:rPr>
          <w:rFonts w:ascii="Calibri" w:hAnsi="Calibri" w:cs="Calibri"/>
        </w:rPr>
        <w:br/>
        <w:t>Synthetic data is extremely useful for teaching, experimentation, and prototyping, but it contains several limitations:</w:t>
      </w:r>
    </w:p>
    <w:p w14:paraId="31ADCB26" w14:textId="3E970BAA" w:rsidR="001C5B48" w:rsidRDefault="001C5B48" w:rsidP="001C5B48">
      <w:pPr>
        <w:spacing w:after="0" w:line="240" w:lineRule="auto"/>
        <w:rPr>
          <w:rFonts w:ascii="Calibri" w:hAnsi="Calibri" w:cs="Calibri"/>
        </w:rPr>
      </w:pPr>
      <w:r w:rsidRPr="00CB3B0E">
        <w:rPr>
          <w:rFonts w:ascii="Calibri" w:hAnsi="Calibri" w:cs="Calibri"/>
        </w:rPr>
        <w:br/>
        <w:t>• No real-world noise such as inconsistent formatting or duplicated customer IDs</w:t>
      </w:r>
      <w:r w:rsidRPr="00CB3B0E">
        <w:rPr>
          <w:rFonts w:ascii="Calibri" w:hAnsi="Calibri" w:cs="Calibri"/>
        </w:rPr>
        <w:br/>
        <w:t>• Artificial distributions that may not represent 2REN’s true customer base</w:t>
      </w:r>
      <w:r w:rsidRPr="00CB3B0E">
        <w:rPr>
          <w:rFonts w:ascii="Calibri" w:hAnsi="Calibri" w:cs="Calibri"/>
        </w:rPr>
        <w:br/>
        <w:t>• Uncertain causal relationships</w:t>
      </w:r>
      <w:r w:rsidRPr="00CB3B0E">
        <w:rPr>
          <w:rFonts w:ascii="Calibri" w:hAnsi="Calibri" w:cs="Calibri"/>
        </w:rPr>
        <w:br/>
        <w:t>• Limited temporal detail such as missing transaction timelines or seasonality</w:t>
      </w:r>
      <w:r w:rsidRPr="00CB3B0E">
        <w:rPr>
          <w:rFonts w:ascii="Calibri" w:hAnsi="Calibri" w:cs="Calibri"/>
        </w:rPr>
        <w:br/>
        <w:t>• Imputation removes information about original uncertainty</w:t>
      </w:r>
      <w:r w:rsidRPr="00CB3B0E">
        <w:rPr>
          <w:rFonts w:ascii="Calibri" w:hAnsi="Calibri" w:cs="Calibri"/>
        </w:rPr>
        <w:br/>
      </w:r>
    </w:p>
    <w:p w14:paraId="73574253" w14:textId="77777777" w:rsidR="001C5B48" w:rsidRDefault="001C5B48" w:rsidP="001C5B48">
      <w:pPr>
        <w:spacing w:after="0" w:line="240" w:lineRule="auto"/>
        <w:jc w:val="both"/>
        <w:rPr>
          <w:rFonts w:ascii="Calibri" w:hAnsi="Calibri" w:cs="Calibri"/>
        </w:rPr>
      </w:pPr>
      <w:r w:rsidRPr="00CB3B0E">
        <w:rPr>
          <w:rFonts w:ascii="Calibri" w:hAnsi="Calibri" w:cs="Calibri"/>
        </w:rPr>
        <w:t>Because of these constraints, the dataset should be viewed as a learning artifact. Real deployment</w:t>
      </w:r>
      <w:r>
        <w:rPr>
          <w:rFonts w:ascii="Calibri" w:hAnsi="Calibri" w:cs="Calibri"/>
        </w:rPr>
        <w:t xml:space="preserve"> requires</w:t>
      </w:r>
      <w:r w:rsidRPr="00CB3B0E">
        <w:rPr>
          <w:rFonts w:ascii="Calibri" w:hAnsi="Calibri" w:cs="Calibri"/>
        </w:rPr>
        <w:t xml:space="preserve"> repeating CRISP</w:t>
      </w:r>
      <w:r w:rsidRPr="00CB3B0E">
        <w:rPr>
          <w:rFonts w:ascii="Cambria Math" w:hAnsi="Cambria Math" w:cs="Cambria Math"/>
        </w:rPr>
        <w:t>‑</w:t>
      </w:r>
      <w:r w:rsidRPr="00CB3B0E">
        <w:rPr>
          <w:rFonts w:ascii="Calibri" w:hAnsi="Calibri" w:cs="Calibri"/>
        </w:rPr>
        <w:t>DM’s Data Understanding and Data Preparation phases on actual operational data.</w:t>
      </w:r>
    </w:p>
    <w:p w14:paraId="75985BF7" w14:textId="77777777" w:rsidR="001C5B48" w:rsidRDefault="001C5B48" w:rsidP="001C5B48">
      <w:pPr>
        <w:spacing w:after="0" w:line="240" w:lineRule="auto"/>
        <w:jc w:val="both"/>
        <w:rPr>
          <w:rFonts w:ascii="Calibri" w:hAnsi="Calibri" w:cs="Calibri"/>
        </w:rPr>
      </w:pPr>
    </w:p>
    <w:p w14:paraId="710D0FA2" w14:textId="77777777" w:rsidR="001C5B48" w:rsidRDefault="001C5B48" w:rsidP="001C5B48">
      <w:pPr>
        <w:spacing w:after="0" w:line="240" w:lineRule="auto"/>
        <w:rPr>
          <w:rFonts w:ascii="Calibri" w:hAnsi="Calibri" w:cs="Calibri"/>
          <w:b/>
          <w:bCs/>
          <w:sz w:val="24"/>
          <w:szCs w:val="24"/>
        </w:rPr>
      </w:pPr>
      <w:r w:rsidRPr="005556A0">
        <w:rPr>
          <w:rFonts w:ascii="Calibri" w:hAnsi="Calibri" w:cs="Calibri"/>
          <w:b/>
          <w:bCs/>
          <w:sz w:val="24"/>
          <w:szCs w:val="24"/>
        </w:rPr>
        <w:t>VARIABLE MAPPING TO BUSINESS PROBLEM</w:t>
      </w:r>
      <w:r>
        <w:rPr>
          <w:rFonts w:ascii="Calibri" w:hAnsi="Calibri" w:cs="Calibri"/>
          <w:b/>
          <w:bCs/>
          <w:sz w:val="24"/>
          <w:szCs w:val="24"/>
        </w:rPr>
        <w:t>:</w:t>
      </w:r>
    </w:p>
    <w:p w14:paraId="1D1DB244" w14:textId="77777777" w:rsidR="001C5B48" w:rsidRDefault="001C5B48" w:rsidP="001C5B48">
      <w:pPr>
        <w:spacing w:after="0" w:line="240" w:lineRule="auto"/>
        <w:rPr>
          <w:rFonts w:ascii="Calibri" w:hAnsi="Calibri" w:cs="Calibri"/>
        </w:rPr>
      </w:pPr>
      <w:r w:rsidRPr="005556A0">
        <w:rPr>
          <w:rFonts w:ascii="Calibri" w:hAnsi="Calibri" w:cs="Calibri"/>
        </w:rPr>
        <w:t>Each field contributes directly to understanding churn</w:t>
      </w:r>
    </w:p>
    <w:p w14:paraId="174C8A49" w14:textId="77777777" w:rsidR="001C5B48" w:rsidRDefault="001C5B48" w:rsidP="001C5B48">
      <w:pPr>
        <w:spacing w:after="0" w:line="240" w:lineRule="auto"/>
        <w:rPr>
          <w:rFonts w:ascii="Calibri" w:hAnsi="Calibri" w:cs="Calibri"/>
        </w:rPr>
      </w:pP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118"/>
        <w:gridCol w:w="3827"/>
      </w:tblGrid>
      <w:tr w:rsidR="001C5B48" w:rsidRPr="00D27DB7" w14:paraId="472004EF" w14:textId="77777777" w:rsidTr="002854C8">
        <w:trPr>
          <w:tblHeader/>
          <w:tblCellSpacing w:w="15" w:type="dxa"/>
        </w:trPr>
        <w:tc>
          <w:tcPr>
            <w:tcW w:w="2644" w:type="dxa"/>
            <w:vAlign w:val="center"/>
            <w:hideMark/>
          </w:tcPr>
          <w:p w14:paraId="6E61D31B" w14:textId="77777777" w:rsidR="001C5B48" w:rsidRPr="00676A0F" w:rsidRDefault="001C5B48" w:rsidP="002854C8">
            <w:pPr>
              <w:spacing w:after="160" w:line="259" w:lineRule="auto"/>
              <w:jc w:val="center"/>
              <w:rPr>
                <w:rFonts w:ascii="Calibri" w:hAnsi="Calibri" w:cs="Calibri"/>
                <w:b/>
                <w:bCs/>
                <w:sz w:val="16"/>
                <w:szCs w:val="16"/>
              </w:rPr>
            </w:pPr>
            <w:r w:rsidRPr="00676A0F">
              <w:rPr>
                <w:rFonts w:ascii="Calibri" w:hAnsi="Calibri" w:cs="Calibri"/>
                <w:b/>
                <w:bCs/>
                <w:sz w:val="16"/>
                <w:szCs w:val="16"/>
              </w:rPr>
              <w:t>Dataset Variable</w:t>
            </w:r>
          </w:p>
        </w:tc>
        <w:tc>
          <w:tcPr>
            <w:tcW w:w="3088" w:type="dxa"/>
            <w:vAlign w:val="center"/>
            <w:hideMark/>
          </w:tcPr>
          <w:p w14:paraId="39ECA2AD" w14:textId="77777777" w:rsidR="001C5B48" w:rsidRPr="00676A0F" w:rsidRDefault="001C5B48" w:rsidP="002854C8">
            <w:pPr>
              <w:spacing w:after="160" w:line="259" w:lineRule="auto"/>
              <w:jc w:val="center"/>
              <w:rPr>
                <w:rFonts w:ascii="Calibri" w:hAnsi="Calibri" w:cs="Calibri"/>
                <w:b/>
                <w:bCs/>
                <w:sz w:val="16"/>
                <w:szCs w:val="16"/>
              </w:rPr>
            </w:pPr>
            <w:r w:rsidRPr="00676A0F">
              <w:rPr>
                <w:rFonts w:ascii="Calibri" w:hAnsi="Calibri" w:cs="Calibri"/>
                <w:b/>
                <w:bCs/>
                <w:sz w:val="16"/>
                <w:szCs w:val="16"/>
              </w:rPr>
              <w:t>Business Meaning</w:t>
            </w:r>
          </w:p>
        </w:tc>
        <w:tc>
          <w:tcPr>
            <w:tcW w:w="3782" w:type="dxa"/>
            <w:vAlign w:val="center"/>
            <w:hideMark/>
          </w:tcPr>
          <w:p w14:paraId="4629A808" w14:textId="77777777" w:rsidR="001C5B48" w:rsidRPr="00676A0F" w:rsidRDefault="001C5B48" w:rsidP="002854C8">
            <w:pPr>
              <w:spacing w:after="160" w:line="259" w:lineRule="auto"/>
              <w:jc w:val="center"/>
              <w:rPr>
                <w:rFonts w:ascii="Calibri" w:hAnsi="Calibri" w:cs="Calibri"/>
                <w:b/>
                <w:bCs/>
                <w:sz w:val="16"/>
                <w:szCs w:val="16"/>
              </w:rPr>
            </w:pPr>
            <w:r w:rsidRPr="00676A0F">
              <w:rPr>
                <w:rFonts w:ascii="Calibri" w:hAnsi="Calibri" w:cs="Calibri"/>
                <w:b/>
                <w:bCs/>
                <w:sz w:val="16"/>
                <w:szCs w:val="16"/>
              </w:rPr>
              <w:t>Why It Matters for Churn</w:t>
            </w:r>
          </w:p>
        </w:tc>
      </w:tr>
      <w:tr w:rsidR="001C5B48" w:rsidRPr="00D27DB7" w14:paraId="02AC94C7" w14:textId="77777777" w:rsidTr="002854C8">
        <w:trPr>
          <w:trHeight w:val="231"/>
          <w:tblCellSpacing w:w="15" w:type="dxa"/>
        </w:trPr>
        <w:tc>
          <w:tcPr>
            <w:tcW w:w="2644" w:type="dxa"/>
            <w:vAlign w:val="center"/>
            <w:hideMark/>
          </w:tcPr>
          <w:p w14:paraId="326A3059"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Churn</w:t>
            </w:r>
          </w:p>
        </w:tc>
        <w:tc>
          <w:tcPr>
            <w:tcW w:w="3088" w:type="dxa"/>
            <w:vAlign w:val="center"/>
            <w:hideMark/>
          </w:tcPr>
          <w:p w14:paraId="2ECD92E9"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Whether the customer left the platform</w:t>
            </w:r>
          </w:p>
        </w:tc>
        <w:tc>
          <w:tcPr>
            <w:tcW w:w="3782" w:type="dxa"/>
            <w:vAlign w:val="center"/>
            <w:hideMark/>
          </w:tcPr>
          <w:p w14:paraId="1F89C08D"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Target variable used to train the model</w:t>
            </w:r>
          </w:p>
        </w:tc>
      </w:tr>
      <w:tr w:rsidR="001C5B48" w:rsidRPr="00D27DB7" w14:paraId="01010981" w14:textId="77777777" w:rsidTr="002854C8">
        <w:trPr>
          <w:tblCellSpacing w:w="15" w:type="dxa"/>
        </w:trPr>
        <w:tc>
          <w:tcPr>
            <w:tcW w:w="2644" w:type="dxa"/>
            <w:vAlign w:val="center"/>
            <w:hideMark/>
          </w:tcPr>
          <w:p w14:paraId="31D44892"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Tenure</w:t>
            </w:r>
          </w:p>
        </w:tc>
        <w:tc>
          <w:tcPr>
            <w:tcW w:w="3088" w:type="dxa"/>
            <w:vAlign w:val="center"/>
            <w:hideMark/>
          </w:tcPr>
          <w:p w14:paraId="37F0DE50"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Months customer has stayed</w:t>
            </w:r>
          </w:p>
        </w:tc>
        <w:tc>
          <w:tcPr>
            <w:tcW w:w="3782" w:type="dxa"/>
            <w:vAlign w:val="center"/>
            <w:hideMark/>
          </w:tcPr>
          <w:p w14:paraId="2E8D624E"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Longer tenure usually predicts lower churn</w:t>
            </w:r>
          </w:p>
        </w:tc>
      </w:tr>
      <w:tr w:rsidR="001C5B48" w:rsidRPr="00D27DB7" w14:paraId="05FEAF43" w14:textId="77777777" w:rsidTr="002854C8">
        <w:trPr>
          <w:tblCellSpacing w:w="15" w:type="dxa"/>
        </w:trPr>
        <w:tc>
          <w:tcPr>
            <w:tcW w:w="2644" w:type="dxa"/>
            <w:vAlign w:val="center"/>
            <w:hideMark/>
          </w:tcPr>
          <w:p w14:paraId="1FD65210"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City Tier</w:t>
            </w:r>
          </w:p>
        </w:tc>
        <w:tc>
          <w:tcPr>
            <w:tcW w:w="3088" w:type="dxa"/>
            <w:vAlign w:val="center"/>
            <w:hideMark/>
          </w:tcPr>
          <w:p w14:paraId="7C16EC21"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Customer geography</w:t>
            </w:r>
          </w:p>
        </w:tc>
        <w:tc>
          <w:tcPr>
            <w:tcW w:w="3782" w:type="dxa"/>
            <w:vAlign w:val="center"/>
            <w:hideMark/>
          </w:tcPr>
          <w:p w14:paraId="166D9BCC"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Helps segment churn patterns by region</w:t>
            </w:r>
          </w:p>
        </w:tc>
      </w:tr>
      <w:tr w:rsidR="001C5B48" w:rsidRPr="00D27DB7" w14:paraId="185F7686" w14:textId="77777777" w:rsidTr="002854C8">
        <w:trPr>
          <w:tblCellSpacing w:w="15" w:type="dxa"/>
        </w:trPr>
        <w:tc>
          <w:tcPr>
            <w:tcW w:w="2644" w:type="dxa"/>
            <w:vAlign w:val="center"/>
            <w:hideMark/>
          </w:tcPr>
          <w:p w14:paraId="16966220"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Gender</w:t>
            </w:r>
          </w:p>
        </w:tc>
        <w:tc>
          <w:tcPr>
            <w:tcW w:w="3088" w:type="dxa"/>
            <w:vAlign w:val="center"/>
            <w:hideMark/>
          </w:tcPr>
          <w:p w14:paraId="223F35BA"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Demographic attribute</w:t>
            </w:r>
          </w:p>
        </w:tc>
        <w:tc>
          <w:tcPr>
            <w:tcW w:w="3782" w:type="dxa"/>
            <w:vAlign w:val="center"/>
            <w:hideMark/>
          </w:tcPr>
          <w:p w14:paraId="6DFCDAB6"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Used to see differences in retention behavior</w:t>
            </w:r>
          </w:p>
        </w:tc>
      </w:tr>
      <w:tr w:rsidR="001C5B48" w:rsidRPr="00D27DB7" w14:paraId="3726A711" w14:textId="77777777" w:rsidTr="002854C8">
        <w:trPr>
          <w:tblCellSpacing w:w="15" w:type="dxa"/>
        </w:trPr>
        <w:tc>
          <w:tcPr>
            <w:tcW w:w="2644" w:type="dxa"/>
            <w:vAlign w:val="center"/>
            <w:hideMark/>
          </w:tcPr>
          <w:p w14:paraId="2152B6A4"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Marital Status</w:t>
            </w:r>
          </w:p>
        </w:tc>
        <w:tc>
          <w:tcPr>
            <w:tcW w:w="3088" w:type="dxa"/>
            <w:vAlign w:val="center"/>
            <w:hideMark/>
          </w:tcPr>
          <w:p w14:paraId="7D3581BF"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Household indicator</w:t>
            </w:r>
          </w:p>
        </w:tc>
        <w:tc>
          <w:tcPr>
            <w:tcW w:w="3782" w:type="dxa"/>
            <w:vAlign w:val="center"/>
            <w:hideMark/>
          </w:tcPr>
          <w:p w14:paraId="08BF8A3B"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Can shape spending stability</w:t>
            </w:r>
          </w:p>
        </w:tc>
      </w:tr>
      <w:tr w:rsidR="001C5B48" w:rsidRPr="00D27DB7" w14:paraId="1B179924" w14:textId="77777777" w:rsidTr="002854C8">
        <w:trPr>
          <w:tblCellSpacing w:w="15" w:type="dxa"/>
        </w:trPr>
        <w:tc>
          <w:tcPr>
            <w:tcW w:w="2644" w:type="dxa"/>
            <w:vAlign w:val="center"/>
            <w:hideMark/>
          </w:tcPr>
          <w:p w14:paraId="60E40267"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Preferred Payment Mode</w:t>
            </w:r>
          </w:p>
        </w:tc>
        <w:tc>
          <w:tcPr>
            <w:tcW w:w="3088" w:type="dxa"/>
            <w:vAlign w:val="center"/>
            <w:hideMark/>
          </w:tcPr>
          <w:p w14:paraId="263D1158"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How customer typically pays</w:t>
            </w:r>
          </w:p>
        </w:tc>
        <w:tc>
          <w:tcPr>
            <w:tcW w:w="3782" w:type="dxa"/>
            <w:vAlign w:val="center"/>
            <w:hideMark/>
          </w:tcPr>
          <w:p w14:paraId="0FCF3457"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Friction in payment choices can drive churn</w:t>
            </w:r>
          </w:p>
        </w:tc>
      </w:tr>
      <w:tr w:rsidR="001C5B48" w:rsidRPr="00D27DB7" w14:paraId="26F7F6AD" w14:textId="77777777" w:rsidTr="002854C8">
        <w:trPr>
          <w:tblCellSpacing w:w="15" w:type="dxa"/>
        </w:trPr>
        <w:tc>
          <w:tcPr>
            <w:tcW w:w="2644" w:type="dxa"/>
            <w:vAlign w:val="center"/>
            <w:hideMark/>
          </w:tcPr>
          <w:p w14:paraId="735AC202"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Order Count</w:t>
            </w:r>
          </w:p>
        </w:tc>
        <w:tc>
          <w:tcPr>
            <w:tcW w:w="3088" w:type="dxa"/>
            <w:vAlign w:val="center"/>
            <w:hideMark/>
          </w:tcPr>
          <w:p w14:paraId="7BD1AEF3"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Total orders made</w:t>
            </w:r>
          </w:p>
        </w:tc>
        <w:tc>
          <w:tcPr>
            <w:tcW w:w="3782" w:type="dxa"/>
            <w:vAlign w:val="center"/>
            <w:hideMark/>
          </w:tcPr>
          <w:p w14:paraId="36319398"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Core indicator of engagement and loyalty</w:t>
            </w:r>
          </w:p>
        </w:tc>
      </w:tr>
      <w:tr w:rsidR="001C5B48" w:rsidRPr="00D27DB7" w14:paraId="2BADBE57" w14:textId="77777777" w:rsidTr="002854C8">
        <w:trPr>
          <w:tblCellSpacing w:w="15" w:type="dxa"/>
        </w:trPr>
        <w:tc>
          <w:tcPr>
            <w:tcW w:w="2644" w:type="dxa"/>
            <w:vAlign w:val="center"/>
            <w:hideMark/>
          </w:tcPr>
          <w:p w14:paraId="11BF1721"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Days Since Last Order</w:t>
            </w:r>
          </w:p>
        </w:tc>
        <w:tc>
          <w:tcPr>
            <w:tcW w:w="3088" w:type="dxa"/>
            <w:vAlign w:val="center"/>
            <w:hideMark/>
          </w:tcPr>
          <w:p w14:paraId="6AE6FD04"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Recency of activity</w:t>
            </w:r>
          </w:p>
        </w:tc>
        <w:tc>
          <w:tcPr>
            <w:tcW w:w="3782" w:type="dxa"/>
            <w:vAlign w:val="center"/>
            <w:hideMark/>
          </w:tcPr>
          <w:p w14:paraId="3A856CDA"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One of the strongest churn warning signals</w:t>
            </w:r>
          </w:p>
        </w:tc>
      </w:tr>
      <w:tr w:rsidR="001C5B48" w:rsidRPr="00D27DB7" w14:paraId="40DB3CC3" w14:textId="77777777" w:rsidTr="002854C8">
        <w:trPr>
          <w:tblCellSpacing w:w="15" w:type="dxa"/>
        </w:trPr>
        <w:tc>
          <w:tcPr>
            <w:tcW w:w="2644" w:type="dxa"/>
            <w:vAlign w:val="center"/>
            <w:hideMark/>
          </w:tcPr>
          <w:p w14:paraId="436BCC99"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Cashback Amount</w:t>
            </w:r>
          </w:p>
        </w:tc>
        <w:tc>
          <w:tcPr>
            <w:tcW w:w="3088" w:type="dxa"/>
            <w:vAlign w:val="center"/>
            <w:hideMark/>
          </w:tcPr>
          <w:p w14:paraId="1994DDE1"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Value of incentives earned</w:t>
            </w:r>
          </w:p>
        </w:tc>
        <w:tc>
          <w:tcPr>
            <w:tcW w:w="3782" w:type="dxa"/>
            <w:vAlign w:val="center"/>
            <w:hideMark/>
          </w:tcPr>
          <w:p w14:paraId="7F10C179"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Affects satisfaction and purchase motivation</w:t>
            </w:r>
          </w:p>
        </w:tc>
      </w:tr>
      <w:tr w:rsidR="001C5B48" w:rsidRPr="00D27DB7" w14:paraId="4A8DC291" w14:textId="77777777" w:rsidTr="002854C8">
        <w:trPr>
          <w:tblCellSpacing w:w="15" w:type="dxa"/>
        </w:trPr>
        <w:tc>
          <w:tcPr>
            <w:tcW w:w="2644" w:type="dxa"/>
            <w:vAlign w:val="center"/>
            <w:hideMark/>
          </w:tcPr>
          <w:p w14:paraId="35B6DDC8"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Satisfaction Score</w:t>
            </w:r>
          </w:p>
        </w:tc>
        <w:tc>
          <w:tcPr>
            <w:tcW w:w="3088" w:type="dxa"/>
            <w:vAlign w:val="center"/>
            <w:hideMark/>
          </w:tcPr>
          <w:p w14:paraId="43670C6F"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Customer sentiment</w:t>
            </w:r>
          </w:p>
        </w:tc>
        <w:tc>
          <w:tcPr>
            <w:tcW w:w="3782" w:type="dxa"/>
            <w:vAlign w:val="center"/>
            <w:hideMark/>
          </w:tcPr>
          <w:p w14:paraId="6354E2CD"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Dissatisfied customers churn faster</w:t>
            </w:r>
          </w:p>
        </w:tc>
      </w:tr>
      <w:tr w:rsidR="001C5B48" w:rsidRPr="00D27DB7" w14:paraId="60EC089A" w14:textId="77777777" w:rsidTr="002854C8">
        <w:trPr>
          <w:tblCellSpacing w:w="15" w:type="dxa"/>
        </w:trPr>
        <w:tc>
          <w:tcPr>
            <w:tcW w:w="2644" w:type="dxa"/>
            <w:vAlign w:val="center"/>
            <w:hideMark/>
          </w:tcPr>
          <w:p w14:paraId="3B6E0453"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Complain</w:t>
            </w:r>
          </w:p>
        </w:tc>
        <w:tc>
          <w:tcPr>
            <w:tcW w:w="3088" w:type="dxa"/>
            <w:vAlign w:val="center"/>
            <w:hideMark/>
          </w:tcPr>
          <w:p w14:paraId="06A8C138"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Whether customer raised a complaint</w:t>
            </w:r>
          </w:p>
        </w:tc>
        <w:tc>
          <w:tcPr>
            <w:tcW w:w="3782" w:type="dxa"/>
            <w:vAlign w:val="center"/>
            <w:hideMark/>
          </w:tcPr>
          <w:p w14:paraId="13092563"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Complaints predict early churn if unresolved</w:t>
            </w:r>
          </w:p>
        </w:tc>
      </w:tr>
      <w:tr w:rsidR="001C5B48" w:rsidRPr="00D27DB7" w14:paraId="361E3CB1" w14:textId="77777777" w:rsidTr="002854C8">
        <w:trPr>
          <w:tblCellSpacing w:w="15" w:type="dxa"/>
        </w:trPr>
        <w:tc>
          <w:tcPr>
            <w:tcW w:w="2644" w:type="dxa"/>
            <w:vAlign w:val="center"/>
            <w:hideMark/>
          </w:tcPr>
          <w:p w14:paraId="5A12DA47"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Time on App</w:t>
            </w:r>
          </w:p>
        </w:tc>
        <w:tc>
          <w:tcPr>
            <w:tcW w:w="3088" w:type="dxa"/>
            <w:vAlign w:val="center"/>
            <w:hideMark/>
          </w:tcPr>
          <w:p w14:paraId="204CC9EF"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App usage time</w:t>
            </w:r>
          </w:p>
        </w:tc>
        <w:tc>
          <w:tcPr>
            <w:tcW w:w="3782" w:type="dxa"/>
            <w:vAlign w:val="center"/>
            <w:hideMark/>
          </w:tcPr>
          <w:p w14:paraId="3CEB9E21"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Higher engagement lowers churn risk</w:t>
            </w:r>
          </w:p>
        </w:tc>
      </w:tr>
      <w:tr w:rsidR="001C5B48" w:rsidRPr="00D27DB7" w14:paraId="3AA14548" w14:textId="77777777" w:rsidTr="002854C8">
        <w:trPr>
          <w:tblCellSpacing w:w="15" w:type="dxa"/>
        </w:trPr>
        <w:tc>
          <w:tcPr>
            <w:tcW w:w="2644" w:type="dxa"/>
            <w:vAlign w:val="center"/>
            <w:hideMark/>
          </w:tcPr>
          <w:p w14:paraId="410B30EF"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Preferred Login Device</w:t>
            </w:r>
          </w:p>
        </w:tc>
        <w:tc>
          <w:tcPr>
            <w:tcW w:w="3088" w:type="dxa"/>
            <w:vAlign w:val="center"/>
            <w:hideMark/>
          </w:tcPr>
          <w:p w14:paraId="65612A79"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Mobile vs desktop etc.</w:t>
            </w:r>
          </w:p>
        </w:tc>
        <w:tc>
          <w:tcPr>
            <w:tcW w:w="3782" w:type="dxa"/>
            <w:vAlign w:val="center"/>
            <w:hideMark/>
          </w:tcPr>
          <w:p w14:paraId="5BA74224" w14:textId="77777777" w:rsidR="001C5B48" w:rsidRPr="00676A0F" w:rsidRDefault="001C5B48" w:rsidP="002854C8">
            <w:pPr>
              <w:spacing w:after="160" w:line="259" w:lineRule="auto"/>
              <w:jc w:val="center"/>
              <w:rPr>
                <w:rFonts w:ascii="Calibri" w:hAnsi="Calibri" w:cs="Calibri"/>
                <w:sz w:val="16"/>
                <w:szCs w:val="16"/>
              </w:rPr>
            </w:pPr>
            <w:r w:rsidRPr="00676A0F">
              <w:rPr>
                <w:rFonts w:ascii="Calibri" w:hAnsi="Calibri" w:cs="Calibri"/>
                <w:sz w:val="16"/>
                <w:szCs w:val="16"/>
              </w:rPr>
              <w:t>Helps tailor retention experience across devices</w:t>
            </w:r>
          </w:p>
        </w:tc>
      </w:tr>
    </w:tbl>
    <w:p w14:paraId="57EBABB4" w14:textId="77777777" w:rsidR="001C5B48" w:rsidRPr="00EE5DEE" w:rsidRDefault="001C5B48" w:rsidP="001C5B48">
      <w:pPr>
        <w:spacing w:after="0" w:line="240" w:lineRule="auto"/>
        <w:rPr>
          <w:rFonts w:ascii="Calibri" w:hAnsi="Calibri" w:cs="Calibri"/>
        </w:rPr>
      </w:pPr>
    </w:p>
    <w:p w14:paraId="0726FC59" w14:textId="77777777" w:rsidR="001C5B48" w:rsidRDefault="001C5B48" w:rsidP="001C5B48">
      <w:pPr>
        <w:spacing w:after="0" w:line="240" w:lineRule="auto"/>
        <w:rPr>
          <w:rFonts w:ascii="Calibri" w:hAnsi="Calibri" w:cs="Calibri"/>
        </w:rPr>
      </w:pPr>
    </w:p>
    <w:p w14:paraId="7DABA1A5" w14:textId="77777777" w:rsidR="001C5B48" w:rsidRPr="005556A0" w:rsidRDefault="001C5B48" w:rsidP="001C5B48">
      <w:pPr>
        <w:spacing w:after="0" w:line="240" w:lineRule="auto"/>
        <w:rPr>
          <w:rFonts w:ascii="Calibri" w:hAnsi="Calibri" w:cs="Calibri"/>
          <w:b/>
          <w:bCs/>
        </w:rPr>
      </w:pPr>
    </w:p>
    <w:p w14:paraId="3C652370" w14:textId="77777777" w:rsidR="001C5B48" w:rsidRDefault="001C5B48" w:rsidP="001C5B48">
      <w:pPr>
        <w:spacing w:after="0" w:line="240" w:lineRule="auto"/>
        <w:rPr>
          <w:rFonts w:ascii="Calibri" w:hAnsi="Calibri" w:cs="Calibri"/>
          <w:b/>
          <w:bCs/>
          <w:sz w:val="24"/>
          <w:szCs w:val="24"/>
        </w:rPr>
      </w:pPr>
    </w:p>
    <w:p w14:paraId="0F0D5A21" w14:textId="77777777" w:rsidR="001C5B48" w:rsidRDefault="001C5B48" w:rsidP="001C5B48">
      <w:pPr>
        <w:spacing w:after="0" w:line="240" w:lineRule="auto"/>
        <w:rPr>
          <w:rFonts w:ascii="Calibri" w:hAnsi="Calibri" w:cs="Calibri"/>
          <w:b/>
          <w:bCs/>
          <w:sz w:val="24"/>
          <w:szCs w:val="24"/>
        </w:rPr>
      </w:pPr>
      <w:r w:rsidRPr="0082760B">
        <w:rPr>
          <w:rFonts w:ascii="Calibri" w:hAnsi="Calibri" w:cs="Calibri"/>
          <w:b/>
          <w:bCs/>
          <w:sz w:val="24"/>
          <w:szCs w:val="24"/>
        </w:rPr>
        <w:t>DATA INFRASTRUCTURE</w:t>
      </w:r>
      <w:r>
        <w:rPr>
          <w:rFonts w:ascii="Calibri" w:hAnsi="Calibri" w:cs="Calibri"/>
          <w:b/>
          <w:bCs/>
          <w:sz w:val="24"/>
          <w:szCs w:val="24"/>
        </w:rPr>
        <w:t>:</w:t>
      </w:r>
    </w:p>
    <w:p w14:paraId="0E4760AF" w14:textId="77777777" w:rsidR="001C5B48" w:rsidRDefault="001C5B48" w:rsidP="001C5B48">
      <w:pPr>
        <w:spacing w:after="0" w:line="240" w:lineRule="auto"/>
        <w:rPr>
          <w:rFonts w:ascii="Calibri" w:hAnsi="Calibri" w:cs="Calibri"/>
          <w:b/>
          <w:bCs/>
          <w:sz w:val="24"/>
          <w:szCs w:val="24"/>
        </w:rPr>
      </w:pPr>
    </w:p>
    <w:p w14:paraId="6354D1FE" w14:textId="77777777" w:rsidR="001C5B48" w:rsidRDefault="001C5B48" w:rsidP="001C5B48">
      <w:pPr>
        <w:spacing w:after="0" w:line="240" w:lineRule="auto"/>
        <w:jc w:val="center"/>
        <w:rPr>
          <w:rFonts w:ascii="Calibri" w:hAnsi="Calibri" w:cs="Calibri"/>
          <w:b/>
          <w:bCs/>
          <w:sz w:val="24"/>
          <w:szCs w:val="24"/>
        </w:rPr>
      </w:pPr>
      <w:r w:rsidRPr="00676A0F">
        <w:rPr>
          <w:noProof/>
        </w:rPr>
        <w:drawing>
          <wp:inline distT="0" distB="0" distL="0" distR="0" wp14:anchorId="0D8650D0" wp14:editId="74D6F2B5">
            <wp:extent cx="4758877" cy="2146169"/>
            <wp:effectExtent l="0" t="0" r="3810" b="6985"/>
            <wp:docPr id="82226821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19683" cy="2173591"/>
                    </a:xfrm>
                    <a:prstGeom prst="rect">
                      <a:avLst/>
                    </a:prstGeom>
                    <a:noFill/>
                    <a:ln>
                      <a:noFill/>
                    </a:ln>
                  </pic:spPr>
                </pic:pic>
              </a:graphicData>
            </a:graphic>
          </wp:inline>
        </w:drawing>
      </w:r>
    </w:p>
    <w:p w14:paraId="4808F4DC" w14:textId="77777777" w:rsidR="001C5B48" w:rsidRDefault="001C5B48" w:rsidP="001C5B48">
      <w:pPr>
        <w:spacing w:after="0" w:line="240" w:lineRule="auto"/>
        <w:rPr>
          <w:rFonts w:ascii="Calibri" w:hAnsi="Calibri" w:cs="Calibri"/>
          <w:b/>
          <w:bCs/>
          <w:sz w:val="24"/>
          <w:szCs w:val="24"/>
        </w:rPr>
      </w:pPr>
    </w:p>
    <w:p w14:paraId="1AA671DE" w14:textId="77777777" w:rsidR="001C5B48" w:rsidRDefault="001C5B48" w:rsidP="001C5B48">
      <w:pPr>
        <w:spacing w:after="0" w:line="240" w:lineRule="auto"/>
        <w:rPr>
          <w:rFonts w:ascii="Calibri" w:hAnsi="Calibri" w:cs="Calibri"/>
          <w:b/>
          <w:bCs/>
          <w:sz w:val="24"/>
          <w:szCs w:val="24"/>
        </w:rPr>
      </w:pPr>
    </w:p>
    <w:p w14:paraId="7E6B123C" w14:textId="77777777" w:rsidR="001C5B48" w:rsidRDefault="001C5B48" w:rsidP="001C5B48">
      <w:pPr>
        <w:spacing w:after="0" w:line="240" w:lineRule="auto"/>
        <w:jc w:val="center"/>
        <w:rPr>
          <w:rFonts w:ascii="Calibri" w:hAnsi="Calibri" w:cs="Calibri"/>
          <w:b/>
          <w:bCs/>
          <w:sz w:val="24"/>
          <w:szCs w:val="24"/>
        </w:rPr>
      </w:pPr>
      <w:r w:rsidRPr="00D27DB7">
        <w:rPr>
          <w:rFonts w:ascii="Calibri" w:hAnsi="Calibri" w:cs="Calibri"/>
          <w:noProof/>
        </w:rPr>
        <w:drawing>
          <wp:inline distT="0" distB="0" distL="0" distR="0" wp14:anchorId="7529FDF7" wp14:editId="6700E271">
            <wp:extent cx="5071958" cy="2397215"/>
            <wp:effectExtent l="0" t="0" r="0" b="3175"/>
            <wp:docPr id="1310664912"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93148" cy="2407230"/>
                    </a:xfrm>
                    <a:prstGeom prst="rect">
                      <a:avLst/>
                    </a:prstGeom>
                    <a:noFill/>
                    <a:ln>
                      <a:noFill/>
                    </a:ln>
                  </pic:spPr>
                </pic:pic>
              </a:graphicData>
            </a:graphic>
          </wp:inline>
        </w:drawing>
      </w:r>
    </w:p>
    <w:p w14:paraId="6CA777AA" w14:textId="77777777" w:rsidR="001C5B48" w:rsidRPr="00676A0F" w:rsidRDefault="001C5B48" w:rsidP="001C5B48">
      <w:pPr>
        <w:spacing w:after="0" w:line="240" w:lineRule="auto"/>
        <w:jc w:val="center"/>
        <w:rPr>
          <w:rFonts w:ascii="Calibri" w:hAnsi="Calibri" w:cs="Calibri"/>
          <w:sz w:val="18"/>
          <w:szCs w:val="18"/>
        </w:rPr>
      </w:pPr>
      <w:r w:rsidRPr="00676A0F">
        <w:rPr>
          <w:rFonts w:ascii="Calibri" w:hAnsi="Calibri" w:cs="Calibri"/>
          <w:sz w:val="18"/>
          <w:szCs w:val="18"/>
        </w:rPr>
        <w:t>Figure 1. Data Flow for Churn Analytics Infrastructure</w:t>
      </w:r>
    </w:p>
    <w:p w14:paraId="6FA695F0" w14:textId="77777777" w:rsidR="001C5B48" w:rsidRDefault="001C5B48" w:rsidP="001C5B48">
      <w:pPr>
        <w:spacing w:after="160" w:line="259" w:lineRule="auto"/>
        <w:rPr>
          <w:rFonts w:ascii="Calibri" w:hAnsi="Calibri" w:cs="Calibri"/>
          <w:b/>
          <w:bCs/>
        </w:rPr>
      </w:pPr>
    </w:p>
    <w:p w14:paraId="64D308A7" w14:textId="77777777" w:rsidR="001C5B48" w:rsidRDefault="001C5B48" w:rsidP="001C5B48">
      <w:pPr>
        <w:spacing w:after="0" w:line="240" w:lineRule="auto"/>
        <w:jc w:val="both"/>
        <w:rPr>
          <w:rFonts w:ascii="Calibri" w:hAnsi="Calibri" w:cs="Calibri"/>
          <w:b/>
          <w:bCs/>
          <w:sz w:val="24"/>
          <w:szCs w:val="24"/>
        </w:rPr>
      </w:pPr>
      <w:r w:rsidRPr="00676A0F">
        <w:rPr>
          <w:rFonts w:ascii="Calibri" w:hAnsi="Calibri" w:cs="Calibri"/>
          <w:b/>
          <w:bCs/>
          <w:sz w:val="24"/>
          <w:szCs w:val="24"/>
        </w:rPr>
        <w:t>EXPLANATION OF THE FLOW:</w:t>
      </w:r>
    </w:p>
    <w:p w14:paraId="0EFFE13D" w14:textId="77777777" w:rsidR="001C5B48" w:rsidRDefault="001C5B48" w:rsidP="001C5B48">
      <w:pPr>
        <w:spacing w:after="0" w:line="240" w:lineRule="auto"/>
        <w:jc w:val="both"/>
        <w:rPr>
          <w:rFonts w:ascii="Calibri" w:hAnsi="Calibri" w:cs="Calibri"/>
        </w:rPr>
      </w:pPr>
      <w:r w:rsidRPr="00676A0F">
        <w:rPr>
          <w:rFonts w:ascii="Calibri" w:hAnsi="Calibri" w:cs="Calibri"/>
        </w:rPr>
        <w:t>Customer interactions generate behavioral, transactional, and experience data. These flow into operational systems like CRM, order management, and mobile analytics. A centralized data warehouse integrates these sources into a structured dataset. The analytics environment performs feature engineering, model training, and scoring. Predictions feed business systems that run retention campaigns.</w:t>
      </w:r>
    </w:p>
    <w:p w14:paraId="09708A39" w14:textId="77777777" w:rsidR="001C5B48" w:rsidRDefault="001C5B48" w:rsidP="001C5B48">
      <w:pPr>
        <w:spacing w:after="0" w:line="240" w:lineRule="auto"/>
        <w:jc w:val="both"/>
        <w:rPr>
          <w:rFonts w:ascii="Calibri" w:hAnsi="Calibri" w:cs="Calibri"/>
        </w:rPr>
      </w:pPr>
    </w:p>
    <w:p w14:paraId="3D7374DD" w14:textId="77777777" w:rsidR="001C5B48" w:rsidRPr="00676A0F" w:rsidRDefault="001C5B48" w:rsidP="001C5B48">
      <w:pPr>
        <w:spacing w:after="160" w:line="259" w:lineRule="auto"/>
        <w:rPr>
          <w:rFonts w:ascii="Calibri" w:hAnsi="Calibri" w:cs="Calibri"/>
          <w:b/>
          <w:bCs/>
          <w:sz w:val="24"/>
          <w:szCs w:val="24"/>
        </w:rPr>
      </w:pPr>
      <w:r w:rsidRPr="00676A0F">
        <w:rPr>
          <w:rFonts w:ascii="Calibri" w:hAnsi="Calibri" w:cs="Calibri"/>
          <w:b/>
          <w:bCs/>
          <w:sz w:val="24"/>
          <w:szCs w:val="24"/>
        </w:rPr>
        <w:t>DATA ACQUISITION STRATEGY</w:t>
      </w:r>
      <w:r>
        <w:rPr>
          <w:rFonts w:ascii="Calibri" w:hAnsi="Calibri" w:cs="Calibri"/>
          <w:b/>
          <w:bCs/>
          <w:sz w:val="24"/>
          <w:szCs w:val="24"/>
        </w:rPr>
        <w:t>:</w:t>
      </w:r>
    </w:p>
    <w:p w14:paraId="1157190E" w14:textId="77777777" w:rsidR="001C5B48" w:rsidRPr="00676A0F" w:rsidRDefault="001C5B48" w:rsidP="001C5B48">
      <w:pPr>
        <w:spacing w:after="0" w:line="240" w:lineRule="auto"/>
        <w:rPr>
          <w:rFonts w:ascii="Calibri" w:hAnsi="Calibri" w:cs="Calibri"/>
          <w:b/>
          <w:bCs/>
        </w:rPr>
      </w:pPr>
      <w:r w:rsidRPr="00676A0F">
        <w:rPr>
          <w:rFonts w:ascii="Calibri" w:hAnsi="Calibri" w:cs="Calibri"/>
          <w:b/>
          <w:bCs/>
        </w:rPr>
        <w:t>Organizational foundation</w:t>
      </w:r>
      <w:r>
        <w:rPr>
          <w:rFonts w:ascii="Calibri" w:hAnsi="Calibri" w:cs="Calibri"/>
          <w:b/>
          <w:bCs/>
        </w:rPr>
        <w:t>:</w:t>
      </w:r>
    </w:p>
    <w:p w14:paraId="5568EE99" w14:textId="77777777" w:rsidR="001C5B48" w:rsidRPr="00676A0F" w:rsidRDefault="001C5B48" w:rsidP="001C5B48">
      <w:pPr>
        <w:spacing w:after="0" w:line="240" w:lineRule="auto"/>
        <w:jc w:val="both"/>
        <w:rPr>
          <w:rFonts w:ascii="Calibri" w:hAnsi="Calibri" w:cs="Calibri"/>
        </w:rPr>
      </w:pPr>
      <w:r w:rsidRPr="00676A0F">
        <w:rPr>
          <w:rFonts w:ascii="Calibri" w:hAnsi="Calibri" w:cs="Calibri"/>
        </w:rPr>
        <w:t>2REN requires cross-departmental coordination to source the correct data. Marketing, IT, customer experience, and finance must align on definitions such as “active customer,” “churn,” and “engagement frequency.” Clear ownership ensures consistency and avoids conflicting interpretations.</w:t>
      </w:r>
    </w:p>
    <w:p w14:paraId="35964C7C" w14:textId="77777777" w:rsidR="001C5B48" w:rsidRDefault="001C5B48" w:rsidP="001C5B48">
      <w:pPr>
        <w:spacing w:after="160" w:line="259" w:lineRule="auto"/>
        <w:rPr>
          <w:rFonts w:ascii="Calibri" w:hAnsi="Calibri" w:cs="Calibri"/>
          <w:b/>
          <w:bCs/>
        </w:rPr>
      </w:pPr>
    </w:p>
    <w:p w14:paraId="6200EFE9" w14:textId="77777777" w:rsidR="001C5B48" w:rsidRDefault="001C5B48" w:rsidP="001C5B48">
      <w:pPr>
        <w:spacing w:after="160" w:line="259" w:lineRule="auto"/>
        <w:rPr>
          <w:rFonts w:ascii="Calibri" w:hAnsi="Calibri" w:cs="Calibri"/>
          <w:b/>
          <w:bCs/>
        </w:rPr>
      </w:pPr>
    </w:p>
    <w:p w14:paraId="5900A6B1" w14:textId="77777777" w:rsidR="001C5B48" w:rsidRPr="00676A0F" w:rsidRDefault="001C5B48" w:rsidP="001C5B48">
      <w:pPr>
        <w:spacing w:after="0" w:line="240" w:lineRule="auto"/>
        <w:rPr>
          <w:rFonts w:ascii="Calibri" w:hAnsi="Calibri" w:cs="Calibri"/>
          <w:b/>
          <w:bCs/>
        </w:rPr>
      </w:pPr>
      <w:r w:rsidRPr="00676A0F">
        <w:rPr>
          <w:rFonts w:ascii="Calibri" w:hAnsi="Calibri" w:cs="Calibri"/>
          <w:b/>
          <w:bCs/>
        </w:rPr>
        <w:t>Functional foundation</w:t>
      </w:r>
      <w:r>
        <w:rPr>
          <w:rFonts w:ascii="Calibri" w:hAnsi="Calibri" w:cs="Calibri"/>
          <w:b/>
          <w:bCs/>
        </w:rPr>
        <w:t>:</w:t>
      </w:r>
    </w:p>
    <w:p w14:paraId="0907C778" w14:textId="77777777" w:rsidR="001C5B48" w:rsidRDefault="001C5B48" w:rsidP="001C5B48">
      <w:pPr>
        <w:spacing w:after="0" w:line="240" w:lineRule="auto"/>
        <w:jc w:val="both"/>
        <w:rPr>
          <w:rFonts w:ascii="Calibri" w:hAnsi="Calibri" w:cs="Calibri"/>
        </w:rPr>
      </w:pPr>
      <w:r w:rsidRPr="00676A0F">
        <w:rPr>
          <w:rFonts w:ascii="Calibri" w:hAnsi="Calibri" w:cs="Calibri"/>
        </w:rPr>
        <w:t>Customer data collection supports multiple functions: targeted retention, loyalty program optimization, service improvement, and proactive communication. The dataset’s behavioral and satisfaction components directly impact CX workflows.</w:t>
      </w:r>
    </w:p>
    <w:p w14:paraId="0A7C010B" w14:textId="77777777" w:rsidR="001C5B48" w:rsidRPr="006945D3" w:rsidRDefault="001C5B48" w:rsidP="001C5B48">
      <w:pPr>
        <w:spacing w:after="0" w:line="240" w:lineRule="auto"/>
        <w:jc w:val="both"/>
        <w:rPr>
          <w:rFonts w:ascii="Calibri" w:hAnsi="Calibri" w:cs="Calibri"/>
        </w:rPr>
      </w:pPr>
    </w:p>
    <w:p w14:paraId="5240AA2F" w14:textId="77777777" w:rsidR="001C5B48" w:rsidRPr="00676A0F" w:rsidRDefault="001C5B48" w:rsidP="001C5B48">
      <w:pPr>
        <w:spacing w:after="0" w:line="240" w:lineRule="auto"/>
        <w:rPr>
          <w:rFonts w:ascii="Calibri" w:hAnsi="Calibri" w:cs="Calibri"/>
          <w:b/>
          <w:bCs/>
        </w:rPr>
      </w:pPr>
      <w:r w:rsidRPr="00676A0F">
        <w:rPr>
          <w:rFonts w:ascii="Calibri" w:hAnsi="Calibri" w:cs="Calibri"/>
          <w:b/>
          <w:bCs/>
        </w:rPr>
        <w:t>Technological foundation</w:t>
      </w:r>
    </w:p>
    <w:p w14:paraId="15CDA6D7" w14:textId="77777777" w:rsidR="001C5B48" w:rsidRDefault="001C5B48" w:rsidP="001C5B48">
      <w:pPr>
        <w:spacing w:after="0" w:line="240" w:lineRule="auto"/>
        <w:jc w:val="both"/>
        <w:rPr>
          <w:rFonts w:ascii="Calibri" w:hAnsi="Calibri" w:cs="Calibri"/>
        </w:rPr>
      </w:pPr>
      <w:r w:rsidRPr="00676A0F">
        <w:rPr>
          <w:rFonts w:ascii="Calibri" w:hAnsi="Calibri" w:cs="Calibri"/>
        </w:rPr>
        <w:t xml:space="preserve">E-commerce companies typically use </w:t>
      </w:r>
      <w:r w:rsidRPr="006945D3">
        <w:rPr>
          <w:rFonts w:ascii="Calibri" w:hAnsi="Calibri" w:cs="Calibri"/>
        </w:rPr>
        <w:t>data</w:t>
      </w:r>
      <w:r w:rsidRPr="00676A0F">
        <w:rPr>
          <w:rFonts w:ascii="Calibri" w:hAnsi="Calibri" w:cs="Calibri"/>
        </w:rPr>
        <w:t xml:space="preserve"> warehouse layered on cloud storage, CRM tools like Zendesk or Salesforce, and event-tracking platforms such as Google Analytics or Mix panel. These systems enable structured ingestion, automated ETL pipelines, and scheduled model scoring.</w:t>
      </w:r>
    </w:p>
    <w:p w14:paraId="5689BD78" w14:textId="77777777" w:rsidR="007D6860" w:rsidRDefault="007D6860" w:rsidP="001C5B48">
      <w:pPr>
        <w:spacing w:after="0" w:line="240" w:lineRule="auto"/>
        <w:jc w:val="both"/>
        <w:rPr>
          <w:rFonts w:ascii="Calibri" w:hAnsi="Calibri" w:cs="Calibri"/>
        </w:rPr>
      </w:pPr>
    </w:p>
    <w:p w14:paraId="25C6398D" w14:textId="7BFF3D72" w:rsidR="007D6860" w:rsidRPr="00676A0F" w:rsidRDefault="007D6860" w:rsidP="007D6860">
      <w:pPr>
        <w:spacing w:after="160" w:line="259" w:lineRule="auto"/>
        <w:rPr>
          <w:rFonts w:ascii="Calibri" w:hAnsi="Calibri" w:cs="Calibri"/>
          <w:b/>
          <w:bCs/>
        </w:rPr>
      </w:pPr>
      <w:r w:rsidRPr="00676A0F">
        <w:rPr>
          <w:rFonts w:ascii="Calibri" w:hAnsi="Calibri" w:cs="Calibri"/>
          <w:b/>
          <w:bCs/>
        </w:rPr>
        <w:t xml:space="preserve">REFERENCES </w:t>
      </w:r>
    </w:p>
    <w:p w14:paraId="409AA366" w14:textId="77777777" w:rsidR="007D6860" w:rsidRPr="00676A0F" w:rsidRDefault="007D6860" w:rsidP="007D6860">
      <w:pPr>
        <w:spacing w:after="160" w:line="259" w:lineRule="auto"/>
        <w:jc w:val="both"/>
        <w:rPr>
          <w:rFonts w:ascii="Calibri" w:hAnsi="Calibri" w:cs="Calibri"/>
        </w:rPr>
      </w:pPr>
      <w:r w:rsidRPr="00676A0F">
        <w:rPr>
          <w:rFonts w:ascii="Calibri" w:hAnsi="Calibri" w:cs="Calibri"/>
        </w:rPr>
        <w:t>Boyatzis, R. E., Smith, M. L., &amp; Van Oosten, E. (2013). Developing resonant leaders through emotional intelligence, vision, and coaching. Jossey-Bass.</w:t>
      </w:r>
    </w:p>
    <w:p w14:paraId="077B5D58" w14:textId="77777777" w:rsidR="007D6860" w:rsidRPr="00676A0F" w:rsidRDefault="007D6860" w:rsidP="007D6860">
      <w:pPr>
        <w:spacing w:after="160" w:line="259" w:lineRule="auto"/>
        <w:jc w:val="both"/>
        <w:rPr>
          <w:rFonts w:ascii="Calibri" w:hAnsi="Calibri" w:cs="Calibri"/>
        </w:rPr>
      </w:pPr>
      <w:r w:rsidRPr="00676A0F">
        <w:rPr>
          <w:rFonts w:ascii="Calibri" w:hAnsi="Calibri" w:cs="Calibri"/>
        </w:rPr>
        <w:t>Choi, S. (2007). Democratic leadership: The lessons of exemplary models for democratic governance. International Journal of Leadership Studies, 2(3), 243–262.</w:t>
      </w:r>
    </w:p>
    <w:p w14:paraId="22B8B1EB" w14:textId="77777777" w:rsidR="007D6860" w:rsidRPr="00676A0F" w:rsidRDefault="007D6860" w:rsidP="007D6860">
      <w:pPr>
        <w:spacing w:after="160" w:line="259" w:lineRule="auto"/>
        <w:jc w:val="both"/>
        <w:rPr>
          <w:rFonts w:ascii="Calibri" w:hAnsi="Calibri" w:cs="Calibri"/>
        </w:rPr>
      </w:pPr>
      <w:r w:rsidRPr="00676A0F">
        <w:rPr>
          <w:rFonts w:ascii="Calibri" w:hAnsi="Calibri" w:cs="Calibri"/>
        </w:rPr>
        <w:t>Collier, K. (2012). Agile analytics: A value-driven approach to business intelligence and data warehousing. Pearson Education.</w:t>
      </w:r>
    </w:p>
    <w:p w14:paraId="228E39A6" w14:textId="77777777" w:rsidR="007D6860" w:rsidRPr="00676A0F" w:rsidRDefault="007D6860" w:rsidP="007D6860">
      <w:pPr>
        <w:spacing w:after="160" w:line="259" w:lineRule="auto"/>
        <w:jc w:val="both"/>
        <w:rPr>
          <w:rFonts w:ascii="Calibri" w:hAnsi="Calibri" w:cs="Calibri"/>
        </w:rPr>
      </w:pPr>
      <w:r w:rsidRPr="00676A0F">
        <w:rPr>
          <w:rFonts w:ascii="Calibri" w:hAnsi="Calibri" w:cs="Calibri"/>
        </w:rPr>
        <w:t xml:space="preserve">Davenport, T. H. (2018). The AI advantage: How to put </w:t>
      </w:r>
      <w:proofErr w:type="gramStart"/>
      <w:r w:rsidRPr="00676A0F">
        <w:rPr>
          <w:rFonts w:ascii="Calibri" w:hAnsi="Calibri" w:cs="Calibri"/>
        </w:rPr>
        <w:t>the artificial</w:t>
      </w:r>
      <w:proofErr w:type="gramEnd"/>
      <w:r w:rsidRPr="00676A0F">
        <w:rPr>
          <w:rFonts w:ascii="Calibri" w:hAnsi="Calibri" w:cs="Calibri"/>
        </w:rPr>
        <w:t xml:space="preserve"> </w:t>
      </w:r>
      <w:proofErr w:type="gramStart"/>
      <w:r w:rsidRPr="00676A0F">
        <w:rPr>
          <w:rFonts w:ascii="Calibri" w:hAnsi="Calibri" w:cs="Calibri"/>
        </w:rPr>
        <w:t>intelligence revolution</w:t>
      </w:r>
      <w:proofErr w:type="gramEnd"/>
      <w:r w:rsidRPr="00676A0F">
        <w:rPr>
          <w:rFonts w:ascii="Calibri" w:hAnsi="Calibri" w:cs="Calibri"/>
        </w:rPr>
        <w:t xml:space="preserve"> </w:t>
      </w:r>
      <w:proofErr w:type="gramStart"/>
      <w:r w:rsidRPr="00676A0F">
        <w:rPr>
          <w:rFonts w:ascii="Calibri" w:hAnsi="Calibri" w:cs="Calibri"/>
        </w:rPr>
        <w:t>to</w:t>
      </w:r>
      <w:proofErr w:type="gramEnd"/>
      <w:r w:rsidRPr="00676A0F">
        <w:rPr>
          <w:rFonts w:ascii="Calibri" w:hAnsi="Calibri" w:cs="Calibri"/>
        </w:rPr>
        <w:t xml:space="preserve"> work. MIT Press.</w:t>
      </w:r>
    </w:p>
    <w:p w14:paraId="2E2A3F2C" w14:textId="77777777" w:rsidR="007D6860" w:rsidRPr="00676A0F" w:rsidRDefault="007D6860" w:rsidP="001C5B48">
      <w:pPr>
        <w:spacing w:after="0" w:line="240" w:lineRule="auto"/>
        <w:jc w:val="both"/>
        <w:rPr>
          <w:rFonts w:ascii="Calibri" w:hAnsi="Calibri" w:cs="Calibri"/>
        </w:rPr>
      </w:pPr>
    </w:p>
    <w:p w14:paraId="27727EED" w14:textId="77777777" w:rsidR="00143A80" w:rsidRDefault="00143A80"/>
    <w:sectPr w:rsidR="00143A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B48"/>
    <w:rsid w:val="00140804"/>
    <w:rsid w:val="00143A80"/>
    <w:rsid w:val="001C5B48"/>
    <w:rsid w:val="007D6860"/>
    <w:rsid w:val="009341E9"/>
    <w:rsid w:val="00E4714C"/>
    <w:rsid w:val="00F170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D95A1"/>
  <w15:chartTrackingRefBased/>
  <w15:docId w15:val="{83C239E3-093C-41FF-99FD-D3DEBE56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B48"/>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1C5B48"/>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CA"/>
      <w14:ligatures w14:val="standardContextual"/>
    </w:rPr>
  </w:style>
  <w:style w:type="paragraph" w:styleId="Heading2">
    <w:name w:val="heading 2"/>
    <w:basedOn w:val="Normal"/>
    <w:next w:val="Normal"/>
    <w:link w:val="Heading2Char"/>
    <w:uiPriority w:val="9"/>
    <w:semiHidden/>
    <w:unhideWhenUsed/>
    <w:qFormat/>
    <w:rsid w:val="001C5B48"/>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CA"/>
      <w14:ligatures w14:val="standardContextual"/>
    </w:rPr>
  </w:style>
  <w:style w:type="paragraph" w:styleId="Heading3">
    <w:name w:val="heading 3"/>
    <w:basedOn w:val="Normal"/>
    <w:next w:val="Normal"/>
    <w:link w:val="Heading3Char"/>
    <w:uiPriority w:val="9"/>
    <w:semiHidden/>
    <w:unhideWhenUsed/>
    <w:qFormat/>
    <w:rsid w:val="001C5B48"/>
    <w:pPr>
      <w:keepNext/>
      <w:keepLines/>
      <w:spacing w:before="160" w:after="80" w:line="259" w:lineRule="auto"/>
      <w:outlineLvl w:val="2"/>
    </w:pPr>
    <w:rPr>
      <w:rFonts w:eastAsiaTheme="majorEastAsia" w:cstheme="majorBidi"/>
      <w:color w:val="0F4761" w:themeColor="accent1" w:themeShade="BF"/>
      <w:kern w:val="2"/>
      <w:sz w:val="28"/>
      <w:szCs w:val="28"/>
      <w:lang w:val="en-CA"/>
      <w14:ligatures w14:val="standardContextual"/>
    </w:rPr>
  </w:style>
  <w:style w:type="paragraph" w:styleId="Heading4">
    <w:name w:val="heading 4"/>
    <w:basedOn w:val="Normal"/>
    <w:next w:val="Normal"/>
    <w:link w:val="Heading4Char"/>
    <w:uiPriority w:val="9"/>
    <w:semiHidden/>
    <w:unhideWhenUsed/>
    <w:qFormat/>
    <w:rsid w:val="001C5B48"/>
    <w:pPr>
      <w:keepNext/>
      <w:keepLines/>
      <w:spacing w:before="80" w:after="40" w:line="259" w:lineRule="auto"/>
      <w:outlineLvl w:val="3"/>
    </w:pPr>
    <w:rPr>
      <w:rFonts w:eastAsiaTheme="majorEastAsia" w:cstheme="majorBidi"/>
      <w:i/>
      <w:iCs/>
      <w:color w:val="0F4761" w:themeColor="accent1" w:themeShade="BF"/>
      <w:kern w:val="2"/>
      <w:lang w:val="en-CA"/>
      <w14:ligatures w14:val="standardContextual"/>
    </w:rPr>
  </w:style>
  <w:style w:type="paragraph" w:styleId="Heading5">
    <w:name w:val="heading 5"/>
    <w:basedOn w:val="Normal"/>
    <w:next w:val="Normal"/>
    <w:link w:val="Heading5Char"/>
    <w:uiPriority w:val="9"/>
    <w:semiHidden/>
    <w:unhideWhenUsed/>
    <w:qFormat/>
    <w:rsid w:val="001C5B48"/>
    <w:pPr>
      <w:keepNext/>
      <w:keepLines/>
      <w:spacing w:before="80" w:after="40" w:line="259" w:lineRule="auto"/>
      <w:outlineLvl w:val="4"/>
    </w:pPr>
    <w:rPr>
      <w:rFonts w:eastAsiaTheme="majorEastAsia" w:cstheme="majorBidi"/>
      <w:color w:val="0F4761" w:themeColor="accent1" w:themeShade="BF"/>
      <w:kern w:val="2"/>
      <w:lang w:val="en-CA"/>
      <w14:ligatures w14:val="standardContextual"/>
    </w:rPr>
  </w:style>
  <w:style w:type="paragraph" w:styleId="Heading6">
    <w:name w:val="heading 6"/>
    <w:basedOn w:val="Normal"/>
    <w:next w:val="Normal"/>
    <w:link w:val="Heading6Char"/>
    <w:uiPriority w:val="9"/>
    <w:semiHidden/>
    <w:unhideWhenUsed/>
    <w:qFormat/>
    <w:rsid w:val="001C5B48"/>
    <w:pPr>
      <w:keepNext/>
      <w:keepLines/>
      <w:spacing w:before="40" w:after="0" w:line="259" w:lineRule="auto"/>
      <w:outlineLvl w:val="5"/>
    </w:pPr>
    <w:rPr>
      <w:rFonts w:eastAsiaTheme="majorEastAsia" w:cstheme="majorBidi"/>
      <w:i/>
      <w:iCs/>
      <w:color w:val="595959" w:themeColor="text1" w:themeTint="A6"/>
      <w:kern w:val="2"/>
      <w:lang w:val="en-CA"/>
      <w14:ligatures w14:val="standardContextual"/>
    </w:rPr>
  </w:style>
  <w:style w:type="paragraph" w:styleId="Heading7">
    <w:name w:val="heading 7"/>
    <w:basedOn w:val="Normal"/>
    <w:next w:val="Normal"/>
    <w:link w:val="Heading7Char"/>
    <w:uiPriority w:val="9"/>
    <w:semiHidden/>
    <w:unhideWhenUsed/>
    <w:qFormat/>
    <w:rsid w:val="001C5B48"/>
    <w:pPr>
      <w:keepNext/>
      <w:keepLines/>
      <w:spacing w:before="40" w:after="0" w:line="259" w:lineRule="auto"/>
      <w:outlineLvl w:val="6"/>
    </w:pPr>
    <w:rPr>
      <w:rFonts w:eastAsiaTheme="majorEastAsia" w:cstheme="majorBidi"/>
      <w:color w:val="595959" w:themeColor="text1" w:themeTint="A6"/>
      <w:kern w:val="2"/>
      <w:lang w:val="en-CA"/>
      <w14:ligatures w14:val="standardContextual"/>
    </w:rPr>
  </w:style>
  <w:style w:type="paragraph" w:styleId="Heading8">
    <w:name w:val="heading 8"/>
    <w:basedOn w:val="Normal"/>
    <w:next w:val="Normal"/>
    <w:link w:val="Heading8Char"/>
    <w:uiPriority w:val="9"/>
    <w:semiHidden/>
    <w:unhideWhenUsed/>
    <w:qFormat/>
    <w:rsid w:val="001C5B48"/>
    <w:pPr>
      <w:keepNext/>
      <w:keepLines/>
      <w:spacing w:after="0" w:line="259" w:lineRule="auto"/>
      <w:outlineLvl w:val="7"/>
    </w:pPr>
    <w:rPr>
      <w:rFonts w:eastAsiaTheme="majorEastAsia" w:cstheme="majorBidi"/>
      <w:i/>
      <w:iCs/>
      <w:color w:val="272727" w:themeColor="text1" w:themeTint="D8"/>
      <w:kern w:val="2"/>
      <w:lang w:val="en-CA"/>
      <w14:ligatures w14:val="standardContextual"/>
    </w:rPr>
  </w:style>
  <w:style w:type="paragraph" w:styleId="Heading9">
    <w:name w:val="heading 9"/>
    <w:basedOn w:val="Normal"/>
    <w:next w:val="Normal"/>
    <w:link w:val="Heading9Char"/>
    <w:uiPriority w:val="9"/>
    <w:semiHidden/>
    <w:unhideWhenUsed/>
    <w:qFormat/>
    <w:rsid w:val="001C5B48"/>
    <w:pPr>
      <w:keepNext/>
      <w:keepLines/>
      <w:spacing w:after="0" w:line="259" w:lineRule="auto"/>
      <w:outlineLvl w:val="8"/>
    </w:pPr>
    <w:rPr>
      <w:rFonts w:eastAsiaTheme="majorEastAsia" w:cstheme="majorBidi"/>
      <w:color w:val="272727" w:themeColor="text1" w:themeTint="D8"/>
      <w:kern w:val="2"/>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B48"/>
    <w:rPr>
      <w:rFonts w:eastAsiaTheme="majorEastAsia" w:cstheme="majorBidi"/>
      <w:color w:val="272727" w:themeColor="text1" w:themeTint="D8"/>
    </w:rPr>
  </w:style>
  <w:style w:type="paragraph" w:styleId="Title">
    <w:name w:val="Title"/>
    <w:basedOn w:val="Normal"/>
    <w:next w:val="Normal"/>
    <w:link w:val="TitleChar"/>
    <w:uiPriority w:val="10"/>
    <w:qFormat/>
    <w:rsid w:val="001C5B48"/>
    <w:pPr>
      <w:spacing w:after="80" w:line="240" w:lineRule="auto"/>
      <w:contextualSpacing/>
    </w:pPr>
    <w:rPr>
      <w:rFonts w:asciiTheme="majorHAnsi" w:eastAsiaTheme="majorEastAsia" w:hAnsiTheme="majorHAnsi" w:cstheme="majorBidi"/>
      <w:spacing w:val="-10"/>
      <w:kern w:val="28"/>
      <w:sz w:val="56"/>
      <w:szCs w:val="56"/>
      <w:lang w:val="en-CA"/>
      <w14:ligatures w14:val="standardContextual"/>
    </w:rPr>
  </w:style>
  <w:style w:type="character" w:customStyle="1" w:styleId="TitleChar">
    <w:name w:val="Title Char"/>
    <w:basedOn w:val="DefaultParagraphFont"/>
    <w:link w:val="Title"/>
    <w:uiPriority w:val="10"/>
    <w:rsid w:val="001C5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B48"/>
    <w:pPr>
      <w:numPr>
        <w:ilvl w:val="1"/>
      </w:numPr>
      <w:spacing w:after="160" w:line="259" w:lineRule="auto"/>
    </w:pPr>
    <w:rPr>
      <w:rFonts w:eastAsiaTheme="majorEastAsia" w:cstheme="majorBidi"/>
      <w:color w:val="595959" w:themeColor="text1" w:themeTint="A6"/>
      <w:spacing w:val="15"/>
      <w:kern w:val="2"/>
      <w:sz w:val="28"/>
      <w:szCs w:val="28"/>
      <w:lang w:val="en-CA"/>
      <w14:ligatures w14:val="standardContextual"/>
    </w:rPr>
  </w:style>
  <w:style w:type="character" w:customStyle="1" w:styleId="SubtitleChar">
    <w:name w:val="Subtitle Char"/>
    <w:basedOn w:val="DefaultParagraphFont"/>
    <w:link w:val="Subtitle"/>
    <w:uiPriority w:val="11"/>
    <w:rsid w:val="001C5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B48"/>
    <w:pPr>
      <w:spacing w:before="160" w:after="160" w:line="259" w:lineRule="auto"/>
      <w:jc w:val="center"/>
    </w:pPr>
    <w:rPr>
      <w:rFonts w:eastAsiaTheme="minorHAnsi"/>
      <w:i/>
      <w:iCs/>
      <w:color w:val="404040" w:themeColor="text1" w:themeTint="BF"/>
      <w:kern w:val="2"/>
      <w:lang w:val="en-CA"/>
      <w14:ligatures w14:val="standardContextual"/>
    </w:rPr>
  </w:style>
  <w:style w:type="character" w:customStyle="1" w:styleId="QuoteChar">
    <w:name w:val="Quote Char"/>
    <w:basedOn w:val="DefaultParagraphFont"/>
    <w:link w:val="Quote"/>
    <w:uiPriority w:val="29"/>
    <w:rsid w:val="001C5B48"/>
    <w:rPr>
      <w:i/>
      <w:iCs/>
      <w:color w:val="404040" w:themeColor="text1" w:themeTint="BF"/>
    </w:rPr>
  </w:style>
  <w:style w:type="paragraph" w:styleId="ListParagraph">
    <w:name w:val="List Paragraph"/>
    <w:basedOn w:val="Normal"/>
    <w:uiPriority w:val="34"/>
    <w:qFormat/>
    <w:rsid w:val="001C5B48"/>
    <w:pPr>
      <w:spacing w:after="160" w:line="259" w:lineRule="auto"/>
      <w:ind w:left="720"/>
      <w:contextualSpacing/>
    </w:pPr>
    <w:rPr>
      <w:rFonts w:eastAsiaTheme="minorHAnsi"/>
      <w:kern w:val="2"/>
      <w:lang w:val="en-CA"/>
      <w14:ligatures w14:val="standardContextual"/>
    </w:rPr>
  </w:style>
  <w:style w:type="character" w:styleId="IntenseEmphasis">
    <w:name w:val="Intense Emphasis"/>
    <w:basedOn w:val="DefaultParagraphFont"/>
    <w:uiPriority w:val="21"/>
    <w:qFormat/>
    <w:rsid w:val="001C5B48"/>
    <w:rPr>
      <w:i/>
      <w:iCs/>
      <w:color w:val="0F4761" w:themeColor="accent1" w:themeShade="BF"/>
    </w:rPr>
  </w:style>
  <w:style w:type="paragraph" w:styleId="IntenseQuote">
    <w:name w:val="Intense Quote"/>
    <w:basedOn w:val="Normal"/>
    <w:next w:val="Normal"/>
    <w:link w:val="IntenseQuoteChar"/>
    <w:uiPriority w:val="30"/>
    <w:qFormat/>
    <w:rsid w:val="001C5B4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en-CA"/>
      <w14:ligatures w14:val="standardContextual"/>
    </w:rPr>
  </w:style>
  <w:style w:type="character" w:customStyle="1" w:styleId="IntenseQuoteChar">
    <w:name w:val="Intense Quote Char"/>
    <w:basedOn w:val="DefaultParagraphFont"/>
    <w:link w:val="IntenseQuote"/>
    <w:uiPriority w:val="30"/>
    <w:rsid w:val="001C5B48"/>
    <w:rPr>
      <w:i/>
      <w:iCs/>
      <w:color w:val="0F4761" w:themeColor="accent1" w:themeShade="BF"/>
    </w:rPr>
  </w:style>
  <w:style w:type="character" w:styleId="IntenseReference">
    <w:name w:val="Intense Reference"/>
    <w:basedOn w:val="DefaultParagraphFont"/>
    <w:uiPriority w:val="32"/>
    <w:qFormat/>
    <w:rsid w:val="001C5B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984</Words>
  <Characters>5610</Characters>
  <Application>Microsoft Office Word</Application>
  <DocSecurity>0</DocSecurity>
  <Lines>46</Lines>
  <Paragraphs>13</Paragraphs>
  <ScaleCrop>false</ScaleCrop>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Nighat Sultana</dc:creator>
  <cp:keywords/>
  <dc:description/>
  <cp:lastModifiedBy>Nighat Sultana</cp:lastModifiedBy>
  <cp:revision>3</cp:revision>
  <dcterms:created xsi:type="dcterms:W3CDTF">2025-12-11T08:59:00Z</dcterms:created>
  <dcterms:modified xsi:type="dcterms:W3CDTF">2025-12-11T09:04:00Z</dcterms:modified>
</cp:coreProperties>
</file>