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1B5E20"/>
          <w:sz w:val="32"/>
          <w:szCs w:val="32"/>
        </w:rPr>
        <w:t xml:space="preserve">LAPORAN PRAKTIKUM</w:t>
      </w:r>
    </w:p>
    <w:p>
      <w:pPr>
        <w:spacing w:after="120" w:before="0"/>
        <w:jc w:val="center"/>
      </w:pPr>
      <w:r>
        <w:rPr>
          <w:rFonts w:ascii="Arial" w:cs="Arial" w:eastAsia="Arial" w:hAnsi="Arial"/>
          <w:b/>
          <w:bCs/>
          <w:color w:val="2E7D32"/>
          <w:sz w:val="28"/>
          <w:szCs w:val="28"/>
        </w:rPr>
        <w:t xml:space="preserve">GEOKOMPUASI DAN PENGINDRAAN JAUH</w:t>
      </w:r>
    </w:p>
    <w:p>
      <w:r>
        <w:t xml:space="preserve"/>
      </w:r>
    </w:p>
    <w:p>
      <w:pPr>
        <w:spacing w:after="60" w:before="0"/>
        <w:jc w:val="center"/>
      </w:pPr>
      <w:r>
        <w:rPr>
          <w:rFonts w:ascii="Arial" w:cs="Arial" w:eastAsia="Arial" w:hAnsi="Arial"/>
          <w:b/>
          <w:bCs/>
          <w:color w:val="1A237E"/>
          <w:sz w:val="36"/>
          <w:szCs w:val="36"/>
        </w:rPr>
        <w:t xml:space="preserve">Estimasi Stok Karbon Mangrove</w:t>
      </w:r>
    </w:p>
    <w:p>
      <w:pPr>
        <w:spacing w:after="240" w:before="0"/>
        <w:jc w:val="center"/>
      </w:pPr>
      <w:r>
        <w:rPr>
          <w:rFonts w:ascii="Arial" w:cs="Arial" w:eastAsia="Arial" w:hAnsi="Arial"/>
          <w:i/>
          <w:iCs/>
          <w:color w:val="333333"/>
          <w:sz w:val="26"/>
          <w:szCs w:val="26"/>
        </w:rPr>
        <w:t xml:space="preserve">Menggunakan Random Forest Berbasis QGIS Python Plugin</w:t>
      </w:r>
    </w:p>
    <w:p>
      <w:r>
        <w:t xml:space="preserve"/>
      </w:r>
    </w:p>
    <w:p>
      <w:r>
        <w:t xml:space="preserve"/>
      </w:r>
    </w:p>
    <w:p>
      <w:pPr>
        <w:jc w:val="center"/>
      </w:pPr>
      <w:r>
        <w:rPr>
          <w:rFonts w:ascii="Times New Roman" w:cs="Times New Roman" w:eastAsia="Times New Roman" w:hAnsi="Times New Roman"/>
          <w:sz w:val="24"/>
          <w:szCs w:val="24"/>
        </w:rPr>
        <w:t xml:space="preserve">Disusun Oleh:</w:t>
      </w:r>
    </w:p>
    <w:p>
      <w:pPr>
        <w:jc w:val="center"/>
      </w:pPr>
      <w:r>
        <w:rPr>
          <w:rFonts w:ascii="Times New Roman" w:cs="Times New Roman" w:eastAsia="Times New Roman" w:hAnsi="Times New Roman"/>
          <w:b/>
          <w:bCs/>
          <w:sz w:val="24"/>
          <w:szCs w:val="24"/>
        </w:rPr>
        <w:t xml:space="preserve">Mahasiswa Geografi / Geomatika</w:t>
      </w:r>
    </w:p>
    <w:p>
      <w:r>
        <w:t xml:space="preserve"/>
      </w:r>
    </w:p>
    <w:p>
      <w:pPr>
        <w:jc w:val="center"/>
      </w:pPr>
      <w:r>
        <w:rPr>
          <w:rFonts w:ascii="Times New Roman" w:cs="Times New Roman" w:eastAsia="Times New Roman" w:hAnsi="Times New Roman"/>
          <w:sz w:val="24"/>
          <w:szCs w:val="24"/>
        </w:rPr>
        <w:t xml:space="preserve">Program Studi Geografi</w:t>
      </w:r>
    </w:p>
    <w:p>
      <w:pPr>
        <w:jc w:val="center"/>
      </w:pPr>
      <w:r>
        <w:rPr>
          <w:rFonts w:ascii="Times New Roman" w:cs="Times New Roman" w:eastAsia="Times New Roman" w:hAnsi="Times New Roman"/>
          <w:sz w:val="24"/>
          <w:szCs w:val="24"/>
        </w:rPr>
        <w:t xml:space="preserve">Fakultas Geografi</w:t>
      </w:r>
    </w:p>
    <w:p>
      <w:pPr>
        <w:jc w:val="center"/>
      </w:pPr>
      <w:r>
        <w:rPr>
          <w:rFonts w:ascii="Times New Roman" w:cs="Times New Roman" w:eastAsia="Times New Roman" w:hAnsi="Times New Roman"/>
          <w:sz w:val="24"/>
          <w:szCs w:val="24"/>
        </w:rPr>
        <w:t xml:space="preserve">2025</w:t>
      </w:r>
    </w:p>
    <w:p>
      <w:r>
        <w:t xml:space="preserve"/>
      </w:r>
    </w:p>
    <w:p>
      <w:r>
        <w:t xml:space="preserve"/>
      </w:r>
    </w:p>
    <w:p>
      <w:r>
        <w:t xml:space="preserve"/>
      </w:r>
    </w:p>
    <w:p>
      <w:r>
        <w:t xml:space="preserve"/>
      </w:r>
    </w:p>
    <w:p>
      <w:r>
        <w:br w:type="page"/>
      </w:r>
    </w:p>
    <w:p>
      <w:pPr>
        <w:pStyle w:val="Heading1"/>
      </w:pPr>
      <w:r>
        <w:rPr>
          <w:b/>
          <w:bCs/>
          <w:color w:val="1B5E20"/>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B5E20"/>
          <w:sz w:val="32"/>
          <w:szCs w:val="32"/>
        </w:rPr>
        <w:t xml:space="preserve">BAB I — PENDAHULUAN</w:t>
      </w:r>
    </w:p>
    <w:p>
      <w:r>
        <w:t xml:space="preserve"/>
      </w:r>
    </w:p>
    <w:p>
      <w:pPr>
        <w:pStyle w:val="Heading2"/>
      </w:pPr>
      <w:r>
        <w:rPr>
          <w:b/>
          <w:bCs/>
          <w:color w:val="2E7D32"/>
          <w:sz w:val="26"/>
          <w:szCs w:val="26"/>
        </w:rPr>
        <w:t xml:space="preserve">1.1 Latar Belakang</w:t>
      </w:r>
    </w:p>
    <w:p>
      <w:pPr>
        <w:spacing w:after="80" w:before="80" w:line="360"/>
        <w:jc w:val="both"/>
      </w:pPr>
      <w:r>
        <w:rPr>
          <w:b w:val="false"/>
          <w:bCs w:val="false"/>
          <w:i w:val="false"/>
          <w:iCs w:val="false"/>
          <w:sz w:val="24"/>
          <w:szCs w:val="24"/>
        </w:rPr>
        <w:t xml:space="preserve">Hutan mangrove merupakan ekosistem pesisir yang memiliki peranan ekologis sangat penting, khususnya sebagai penyimpan karbon organik dalam jumlah besar. Ekosistem ini dikenal sebagai salah satu carbon sink terbesar di dunia, mampu menyimpan karbon hingga 10 kali lebih banyak per satuan luas dibandingkan hutan tropis daratan. Stok karbon yang tersimpan dalam biomassa di atas permukaan tanah (Above Ground Carbon/AGC) menjadi indikator utama dalam penghitungan cadangan karbon mangrove.</w:t>
      </w:r>
    </w:p>
    <w:p>
      <w:pPr>
        <w:spacing w:after="80" w:before="80" w:line="360"/>
        <w:jc w:val="both"/>
      </w:pPr>
      <w:r>
        <w:rPr>
          <w:b w:val="false"/>
          <w:bCs w:val="false"/>
          <w:i w:val="false"/>
          <w:iCs w:val="false"/>
          <w:sz w:val="24"/>
          <w:szCs w:val="24"/>
        </w:rPr>
        <w:t xml:space="preserve">Pengukuran stok karbon secara langsung di lapangan memerlukan biaya besar, waktu panjang, dan keterbatasan jangkauan. Kemajuan teknologi pengindraan jauh (remote sensing) dan komputasi geospasial membuka peluang untuk melakukan estimasi karbon secara lebih efisien dengan memanfaatkan data citra satelit multispektral. Citra satelit Sentinel-2 dengan resolusi 10 meter mampu menyediakan informasi spektral yang kaya untuk diolah menjadi indeks vegetasi, terutama NDVI (Normalized Difference Vegetation Index), yang berkorelasi kuat dengan biomassa vegetasi.</w:t>
      </w:r>
    </w:p>
    <w:p>
      <w:pPr>
        <w:spacing w:after="80" w:before="80" w:line="360"/>
        <w:jc w:val="both"/>
      </w:pPr>
      <w:r>
        <w:rPr>
          <w:b w:val="false"/>
          <w:bCs w:val="false"/>
          <w:i w:val="false"/>
          <w:iCs w:val="false"/>
          <w:sz w:val="24"/>
          <w:szCs w:val="24"/>
        </w:rPr>
        <w:t xml:space="preserve">Pendekatan machine learning, khususnya algoritma Random Forest (RF), telah terbukti efektif dalam memodelkan hubungan nonlinear antara variabel spektral citra satelit dengan stok karbon lapangan. Integrasi model RF ke dalam platform QGIS melalui Python Processing Framework memungkinkan pengguna awam sekalipun untuk menjalankan analisis kompleks melalui antarmuka grafis yang intuitif tanpa perlu menulis kode secara manual.</w:t>
      </w:r>
    </w:p>
    <w:p>
      <w:r>
        <w:t xml:space="preserve"/>
      </w:r>
    </w:p>
    <w:p>
      <w:pPr>
        <w:pStyle w:val="Heading2"/>
      </w:pPr>
      <w:r>
        <w:rPr>
          <w:b/>
          <w:bCs/>
          <w:color w:val="2E7D32"/>
          <w:sz w:val="26"/>
          <w:szCs w:val="26"/>
        </w:rPr>
        <w:t xml:space="preserve">1.2 Tujuan Praktikum</w:t>
      </w:r>
    </w:p>
    <w:p>
      <w:pPr>
        <w:pStyle w:val="ListParagraph"/>
        <w:numPr>
          <w:ilvl w:val="0"/>
          <w:numId w:val="2"/>
        </w:numPr>
        <w:spacing w:after="60" w:before="60"/>
      </w:pPr>
      <w:r>
        <w:rPr>
          <w:sz w:val="24"/>
          <w:szCs w:val="24"/>
        </w:rPr>
        <w:t xml:space="preserve">Memahami konsep dan metodologi perhitungan stok karbon di atas permukaan tanah (AGC) pada ekosistem mangrove.</w:t>
      </w:r>
    </w:p>
    <w:p>
      <w:pPr>
        <w:pStyle w:val="ListParagraph"/>
        <w:numPr>
          <w:ilvl w:val="0"/>
          <w:numId w:val="2"/>
        </w:numPr>
        <w:spacing w:after="60" w:before="60"/>
      </w:pPr>
      <w:r>
        <w:rPr>
          <w:sz w:val="24"/>
          <w:szCs w:val="24"/>
        </w:rPr>
        <w:t xml:space="preserve">Menganalisis peran geokomputasi dan pengindraan jauh dalam estimasi stok karbon secara spasial.</w:t>
      </w:r>
    </w:p>
    <w:p>
      <w:pPr>
        <w:pStyle w:val="ListParagraph"/>
        <w:numPr>
          <w:ilvl w:val="0"/>
          <w:numId w:val="2"/>
        </w:numPr>
        <w:spacing w:after="60" w:before="60"/>
      </w:pPr>
      <w:r>
        <w:rPr>
          <w:sz w:val="24"/>
          <w:szCs w:val="24"/>
        </w:rPr>
        <w:t xml:space="preserve">Mempelajari cara kerja antarmuka (UI) plugin QGIS untuk analisis stok karbon berbasis algoritma Random Forest.</w:t>
      </w:r>
    </w:p>
    <w:p>
      <w:pPr>
        <w:pStyle w:val="ListParagraph"/>
        <w:numPr>
          <w:ilvl w:val="0"/>
          <w:numId w:val="2"/>
        </w:numPr>
        <w:spacing w:after="60" w:before="60"/>
      </w:pPr>
      <w:r>
        <w:rPr>
          <w:sz w:val="24"/>
          <w:szCs w:val="24"/>
        </w:rPr>
        <w:t xml:space="preserve">Memahami arsitektur skrip Python yang membangun algoritma AGC Calculation dalam QGIS Processing Framework.</w:t>
      </w:r>
    </w:p>
    <w:p>
      <w:pPr>
        <w:pStyle w:val="ListParagraph"/>
        <w:numPr>
          <w:ilvl w:val="0"/>
          <w:numId w:val="2"/>
        </w:numPr>
        <w:spacing w:after="60" w:before="60"/>
      </w:pPr>
      <w:r>
        <w:rPr>
          <w:sz w:val="24"/>
          <w:szCs w:val="24"/>
        </w:rPr>
        <w:t xml:space="preserve">Membuat diagram alir proses estimasi AGC dari data sampel lapangan hingga peta raster prediksi.</w:t>
      </w:r>
    </w:p>
    <w:p>
      <w:r>
        <w:t xml:space="preserve"/>
      </w:r>
    </w:p>
    <w:p>
      <w:pPr>
        <w:pStyle w:val="Heading2"/>
      </w:pPr>
      <w:r>
        <w:rPr>
          <w:b/>
          <w:bCs/>
          <w:color w:val="2E7D32"/>
          <w:sz w:val="26"/>
          <w:szCs w:val="26"/>
        </w:rPr>
        <w:t xml:space="preserve">1.3 Manfaat</w:t>
      </w:r>
    </w:p>
    <w:p>
      <w:pPr>
        <w:pStyle w:val="ListParagraph"/>
        <w:numPr>
          <w:ilvl w:val="0"/>
          <w:numId w:val="3"/>
        </w:numPr>
      </w:pPr>
      <w:r>
        <w:rPr>
          <w:sz w:val="24"/>
          <w:szCs w:val="24"/>
        </w:rPr>
        <w:t xml:space="preserve">Menyediakan metode yang efisien dan terulang (reproducible) untuk pemetaan karbon mangrove berskala regional.</w:t>
      </w:r>
    </w:p>
    <w:p>
      <w:pPr>
        <w:pStyle w:val="ListParagraph"/>
        <w:numPr>
          <w:ilvl w:val="0"/>
          <w:numId w:val="3"/>
        </w:numPr>
      </w:pPr>
      <w:r>
        <w:rPr>
          <w:sz w:val="24"/>
          <w:szCs w:val="24"/>
        </w:rPr>
        <w:t xml:space="preserve">Mendukung pemantauan ekosistem pesisir dalam rangka mitigasi perubahan iklim.</w:t>
      </w:r>
    </w:p>
    <w:p>
      <w:pPr>
        <w:pStyle w:val="ListParagraph"/>
        <w:numPr>
          <w:ilvl w:val="0"/>
          <w:numId w:val="3"/>
        </w:numPr>
      </w:pPr>
      <w:r>
        <w:rPr>
          <w:sz w:val="24"/>
          <w:szCs w:val="24"/>
        </w:rPr>
        <w:t xml:space="preserve">Memperkenalkan integrasi machine learning ke dalam workflow GIS berbasis open-source.</w:t>
      </w:r>
    </w:p>
    <w:p>
      <w:r>
        <w:t xml:space="preserve"/>
      </w:r>
    </w:p>
    <w:p>
      <w:r>
        <w:br w:type="page"/>
      </w:r>
    </w:p>
    <w:p>
      <w:pPr>
        <w:pStyle w:val="Heading1"/>
      </w:pPr>
      <w:r>
        <w:rPr>
          <w:b/>
          <w:bCs/>
          <w:color w:val="1B5E20"/>
          <w:sz w:val="32"/>
          <w:szCs w:val="32"/>
        </w:rPr>
        <w:t xml:space="preserve">BAB II — TINJAUAN PUSTAKA</w:t>
      </w:r>
    </w:p>
    <w:p>
      <w:r>
        <w:t xml:space="preserve"/>
      </w:r>
    </w:p>
    <w:p>
      <w:pPr>
        <w:pStyle w:val="Heading2"/>
      </w:pPr>
      <w:r>
        <w:rPr>
          <w:b/>
          <w:bCs/>
          <w:color w:val="2E7D32"/>
          <w:sz w:val="26"/>
          <w:szCs w:val="26"/>
        </w:rPr>
        <w:t xml:space="preserve">2.1 Karbon Mangrove dan Siklus Karbon</w:t>
      </w:r>
    </w:p>
    <w:p>
      <w:pPr>
        <w:spacing w:after="80" w:before="80" w:line="360"/>
        <w:jc w:val="both"/>
      </w:pPr>
      <w:r>
        <w:rPr>
          <w:b w:val="false"/>
          <w:bCs w:val="false"/>
          <w:i w:val="false"/>
          <w:iCs w:val="false"/>
          <w:sz w:val="24"/>
          <w:szCs w:val="24"/>
        </w:rPr>
        <w:t xml:space="preserve">Hutan mangrove menyimpan karbon dalam dua komponen utama: (1) biomassa di atas permukaan tanah (Above Ground Biomass/AGB) yang mencakup batang, cabang, ranting, dan daun; dan (2) biomassa di bawah permukaan tanah (Below Ground Biomass/BGB) yang mencakup akar. Dalam praktikum ini, fokus diberikan pada estimasi AGC yang dihitung dari AGB menggunakan faktor konversi standar.</w:t>
      </w:r>
    </w:p>
    <w:p>
      <w:pPr>
        <w:spacing w:after="80" w:before="80" w:line="360"/>
        <w:jc w:val="both"/>
      </w:pPr>
      <w:r>
        <w:rPr>
          <w:b w:val="false"/>
          <w:bCs w:val="false"/>
          <w:i w:val="false"/>
          <w:iCs w:val="false"/>
          <w:sz w:val="24"/>
          <w:szCs w:val="24"/>
        </w:rPr>
        <w:t xml:space="preserve">Rumus konversi yang digunakan mengikuti standar Intergovernmental Panel on Climate Change (IPCC):</w:t>
      </w:r>
    </w:p>
    <w:p>
      <w:pPr>
        <w:spacing w:after="120" w:before="120"/>
        <w:jc w:val="center"/>
      </w:pPr>
      <w:r>
        <w:rPr>
          <w:rFonts w:ascii="Courier New" w:cs="Courier New" w:eastAsia="Courier New" w:hAnsi="Courier New"/>
          <w:b/>
          <w:bCs/>
          <w:sz w:val="26"/>
          <w:szCs w:val="26"/>
        </w:rPr>
        <w:t xml:space="preserve">AGC = AGB × 0,47  (Ton C/Ha)</w:t>
      </w:r>
    </w:p>
    <w:p>
      <w:pPr>
        <w:spacing w:after="80" w:before="80" w:line="360"/>
        <w:jc w:val="both"/>
      </w:pPr>
      <w:r>
        <w:rPr>
          <w:b w:val="false"/>
          <w:bCs w:val="false"/>
          <w:i w:val="false"/>
          <w:iCs w:val="false"/>
          <w:sz w:val="24"/>
          <w:szCs w:val="24"/>
        </w:rPr>
        <w:t xml:space="preserve">Faktor 0,47 merupakan fraksi karbon standar yang mewakili proporsi karbon dalam bahan organik kering biomassa tumbuhan tropis (IPCC, 2006). AGB sendiri diukur di lapangan melalui pengambilan sampel pohon pada plot tertentu menggunakan persamaan allometrik.</w:t>
      </w:r>
    </w:p>
    <w:p>
      <w:r>
        <w:t xml:space="preserve"/>
      </w:r>
    </w:p>
    <w:p>
      <w:pPr>
        <w:pStyle w:val="Heading2"/>
      </w:pPr>
      <w:r>
        <w:rPr>
          <w:b/>
          <w:bCs/>
          <w:color w:val="2E7D32"/>
          <w:sz w:val="26"/>
          <w:szCs w:val="26"/>
        </w:rPr>
        <w:t xml:space="preserve">2.2 Pengindraan Jauh untuk Estimasi Karbon</w:t>
      </w:r>
    </w:p>
    <w:p>
      <w:pPr>
        <w:spacing w:after="80" w:before="80" w:line="360"/>
        <w:jc w:val="both"/>
      </w:pPr>
      <w:r>
        <w:rPr>
          <w:b w:val="false"/>
          <w:bCs w:val="false"/>
          <w:i w:val="false"/>
          <w:iCs w:val="false"/>
          <w:sz w:val="24"/>
          <w:szCs w:val="24"/>
        </w:rPr>
        <w:t xml:space="preserve">Citra satelit multispektral merekam reflektansi permukaan bumi pada berbagai panjang gelombang. Dua kanal yang paling relevan untuk analisis vegetasi adalah:</w:t>
      </w:r>
    </w:p>
    <w:p>
      <w:pPr>
        <w:pStyle w:val="ListParagraph"/>
        <w:numPr>
          <w:ilvl w:val="0"/>
          <w:numId w:val="3"/>
        </w:numPr>
      </w:pPr>
      <w:r>
        <w:rPr>
          <w:sz w:val="24"/>
          <w:szCs w:val="24"/>
        </w:rPr>
        <w:t xml:space="preserve">Band 4 (Red, ~665 nm): Diserap kuat oleh klorofil, sehingga nilainya rendah pada vegetasi lebat.</w:t>
      </w:r>
    </w:p>
    <w:p>
      <w:pPr>
        <w:pStyle w:val="ListParagraph"/>
        <w:numPr>
          <w:ilvl w:val="0"/>
          <w:numId w:val="3"/>
        </w:numPr>
      </w:pPr>
      <w:r>
        <w:rPr>
          <w:sz w:val="24"/>
          <w:szCs w:val="24"/>
        </w:rPr>
        <w:t xml:space="preserve">Band 8 (NIR, ~842 nm): Dipantulkan kuat oleh struktur sel mesofil daun yang sehat, nilainya tinggi pada vegetasi lebat.</w:t>
      </w:r>
    </w:p>
    <w:p>
      <w:pPr>
        <w:spacing w:after="80" w:before="80" w:line="360"/>
        <w:jc w:val="both"/>
      </w:pPr>
      <w:r>
        <w:rPr>
          <w:b w:val="false"/>
          <w:bCs w:val="false"/>
          <w:i w:val="false"/>
          <w:iCs w:val="false"/>
          <w:sz w:val="24"/>
          <w:szCs w:val="24"/>
        </w:rPr>
        <w:t xml:space="preserve">Dari kedua kanal ini diturunkan indeks NDVI yang mengukur kerapatan dan kehijauan vegetasi:</w:t>
      </w:r>
    </w:p>
    <w:p>
      <w:pPr>
        <w:spacing w:after="120" w:before="120"/>
        <w:jc w:val="center"/>
      </w:pPr>
      <w:r>
        <w:rPr>
          <w:rFonts w:ascii="Courier New" w:cs="Courier New" w:eastAsia="Courier New" w:hAnsi="Courier New"/>
          <w:b/>
          <w:bCs/>
          <w:sz w:val="26"/>
          <w:szCs w:val="26"/>
        </w:rPr>
        <w:t xml:space="preserve">NDVI = (NIR - Red) / (NIR + Red)</w:t>
      </w:r>
    </w:p>
    <w:p>
      <w:pPr>
        <w:spacing w:after="80" w:before="80" w:line="360"/>
        <w:jc w:val="both"/>
      </w:pPr>
      <w:r>
        <w:rPr>
          <w:b w:val="false"/>
          <w:bCs w:val="false"/>
          <w:i w:val="false"/>
          <w:iCs w:val="false"/>
          <w:sz w:val="24"/>
          <w:szCs w:val="24"/>
        </w:rPr>
        <w:t xml:space="preserve">NDVI bernilai antara -1 hingga +1. Nilai mendekati 1 menunjukkan vegetasi sangat lebat dan sehat. Beberapa studi menunjukkan korelasi positif yang kuat antara NDVI dan AGB mangrove (R &gt; 0,7).</w:t>
      </w:r>
    </w:p>
    <w:p>
      <w:r>
        <w:t xml:space="preserve"/>
      </w:r>
    </w:p>
    <w:p>
      <w:pPr>
        <w:pStyle w:val="Heading2"/>
      </w:pPr>
      <w:r>
        <w:rPr>
          <w:b/>
          <w:bCs/>
          <w:color w:val="2E7D32"/>
          <w:sz w:val="26"/>
          <w:szCs w:val="26"/>
        </w:rPr>
        <w:t xml:space="preserve">2.3 Random Forest untuk Pemodelan Spasial</w:t>
      </w:r>
    </w:p>
    <w:p>
      <w:pPr>
        <w:spacing w:after="80" w:before="80" w:line="360"/>
        <w:jc w:val="both"/>
      </w:pPr>
      <w:r>
        <w:rPr>
          <w:b w:val="false"/>
          <w:bCs w:val="false"/>
          <w:i w:val="false"/>
          <w:iCs w:val="false"/>
          <w:sz w:val="24"/>
          <w:szCs w:val="24"/>
        </w:rPr>
        <w:t xml:space="preserve">Random Forest (RF) adalah algoritma ensemble learning yang membangun sejumlah besar pohon keputusan (decision tree) secara acak selama pelatihan, kemudian menggabungkan prediksi setiap pohon melalui rata-rata (untuk regresi). Kelebihan RF dibandingkan regresi linier biasa:</w:t>
      </w:r>
    </w:p>
    <w:p>
      <w:pPr>
        <w:pStyle w:val="ListParagraph"/>
        <w:numPr>
          <w:ilvl w:val="0"/>
          <w:numId w:val="3"/>
        </w:numPr>
      </w:pPr>
      <w:r>
        <w:rPr>
          <w:sz w:val="24"/>
          <w:szCs w:val="24"/>
        </w:rPr>
        <w:t xml:space="preserve">Mampu menangkap hubungan nonlinear antara variabel prediktor dan target.</w:t>
      </w:r>
    </w:p>
    <w:p>
      <w:pPr>
        <w:pStyle w:val="ListParagraph"/>
        <w:numPr>
          <w:ilvl w:val="0"/>
          <w:numId w:val="3"/>
        </w:numPr>
      </w:pPr>
      <w:r>
        <w:rPr>
          <w:sz w:val="24"/>
          <w:szCs w:val="24"/>
        </w:rPr>
        <w:t xml:space="preserve">Robust terhadap outlier dan noise pada data sampel lapangan.</w:t>
      </w:r>
    </w:p>
    <w:p>
      <w:pPr>
        <w:pStyle w:val="ListParagraph"/>
        <w:numPr>
          <w:ilvl w:val="0"/>
          <w:numId w:val="3"/>
        </w:numPr>
      </w:pPr>
      <w:r>
        <w:rPr>
          <w:sz w:val="24"/>
          <w:szCs w:val="24"/>
        </w:rPr>
        <w:t xml:space="preserve">Memberikan estimasi feature importance yang berguna untuk interpretasi model.</w:t>
      </w:r>
    </w:p>
    <w:p>
      <w:pPr>
        <w:pStyle w:val="ListParagraph"/>
        <w:numPr>
          <w:ilvl w:val="0"/>
          <w:numId w:val="3"/>
        </w:numPr>
      </w:pPr>
      <w:r>
        <w:rPr>
          <w:sz w:val="24"/>
          <w:szCs w:val="24"/>
        </w:rPr>
        <w:t xml:space="preserve">Tidak memerlukan asumsi distribusi normal pada data.</w:t>
      </w:r>
    </w:p>
    <w:p>
      <w:pPr>
        <w:spacing w:after="80" w:before="80" w:line="360"/>
        <w:jc w:val="both"/>
      </w:pPr>
      <w:r>
        <w:rPr>
          <w:b w:val="false"/>
          <w:bCs w:val="false"/>
          <w:i w:val="false"/>
          <w:iCs w:val="false"/>
          <w:sz w:val="24"/>
          <w:szCs w:val="24"/>
        </w:rPr>
        <w:t xml:space="preserve">Dalam konteks ini, variabel prediktor (X) adalah nilai piksel Red, NIR, dan NDVI; sedangkan variabel target (y) adalah nilai AGC lapangan yang dihitung dari AGB sampel.</w:t>
      </w:r>
    </w:p>
    <w:p>
      <w:r>
        <w:t xml:space="preserve"/>
      </w:r>
    </w:p>
    <w:p>
      <w:pPr>
        <w:pStyle w:val="Heading2"/>
      </w:pPr>
      <w:r>
        <w:rPr>
          <w:b/>
          <w:bCs/>
          <w:color w:val="2E7D32"/>
          <w:sz w:val="26"/>
          <w:szCs w:val="26"/>
        </w:rPr>
        <w:t xml:space="preserve">2.4 Geokomputasi dalam Analisis Lingkungan</w:t>
      </w:r>
    </w:p>
    <w:p>
      <w:pPr>
        <w:spacing w:after="80" w:before="80" w:line="360"/>
        <w:jc w:val="both"/>
      </w:pPr>
      <w:r>
        <w:rPr>
          <w:b w:val="false"/>
          <w:bCs w:val="false"/>
          <w:i w:val="false"/>
          <w:iCs w:val="false"/>
          <w:sz w:val="24"/>
          <w:szCs w:val="24"/>
        </w:rPr>
        <w:t xml:space="preserve">Geokomputasi mengintegrasikan komputasi ilmiah dengan ilmu geografi untuk memproses, menganalisis, dan memvisualisasikan data spasial berskala besar. Penggunaan Python di dalam QGIS melalui Processing Framework memungkinkan otomasi workflow yang kompleks, mulai dari ekstraksi nilai piksel, pelatihan model machine learning, hingga penulisan raster hasil prediksi.</w:t>
      </w:r>
    </w:p>
    <w:p>
      <w:r>
        <w:t xml:space="preserve"/>
      </w:r>
    </w:p>
    <w:p>
      <w:r>
        <w:br w:type="page"/>
      </w:r>
    </w:p>
    <w:p>
      <w:pPr>
        <w:pStyle w:val="Heading1"/>
      </w:pPr>
      <w:r>
        <w:rPr>
          <w:b/>
          <w:bCs/>
          <w:color w:val="1B5E20"/>
          <w:sz w:val="32"/>
          <w:szCs w:val="32"/>
        </w:rPr>
        <w:t xml:space="preserve">BAB III — METODOLOGI</w:t>
      </w:r>
    </w:p>
    <w:p>
      <w:r>
        <w:t xml:space="preserve"/>
      </w:r>
    </w:p>
    <w:p>
      <w:pPr>
        <w:pStyle w:val="Heading2"/>
      </w:pPr>
      <w:r>
        <w:rPr>
          <w:b/>
          <w:bCs/>
          <w:color w:val="2E7D32"/>
          <w:sz w:val="26"/>
          <w:szCs w:val="26"/>
        </w:rPr>
        <w:t xml:space="preserve">3.1 Alur Umum Perhitungan Stok Karbon Mangrove</w:t>
      </w:r>
    </w:p>
    <w:p>
      <w:pPr>
        <w:spacing w:after="80" w:before="80" w:line="360"/>
        <w:jc w:val="both"/>
      </w:pPr>
      <w:r>
        <w:rPr>
          <w:b w:val="false"/>
          <w:bCs w:val="false"/>
          <w:i w:val="false"/>
          <w:iCs w:val="false"/>
          <w:sz w:val="24"/>
          <w:szCs w:val="24"/>
        </w:rPr>
        <w:t xml:space="preserve">Proses estimasi stok karbon mangrove menggunakan pendekatan geokomputasi terdiri dari lima tahapan utama yang saling berkaitan:</w:t>
      </w:r>
    </w:p>
    <w:p>
      <w:r>
        <w:t xml:space="preserve"/>
      </w:r>
    </w:p>
    <w:p>
      <w:pPr>
        <w:pStyle w:val="Heading3"/>
      </w:pPr>
      <w:r>
        <w:rPr>
          <w:b/>
          <w:bCs/>
          <w:color w:val="388E3C"/>
          <w:sz w:val="24"/>
          <w:szCs w:val="24"/>
        </w:rPr>
        <w:t xml:space="preserve">Tahap 1 — Persiapan Data Masukan</w:t>
      </w:r>
    </w:p>
    <w:p>
      <w:pPr>
        <w:spacing w:after="80" w:before="80" w:line="360"/>
        <w:jc w:val="both"/>
      </w:pPr>
      <w:r>
        <w:rPr>
          <w:b w:val="false"/>
          <w:bCs w:val="false"/>
          <w:i w:val="false"/>
          <w:iCs w:val="false"/>
          <w:sz w:val="24"/>
          <w:szCs w:val="24"/>
        </w:rPr>
        <w:t xml:space="preserve">Data yang diperlukan adalah: (1) Citra Sentinel-2 Level-2A yang telah terkoreksi atmosfer — digunakan Band 4 (Red) dan Band 8 (NIR) dalam format GeoTIFF, resolusi 10 meter; (2) Data vektor titik sampel lapangan dalam format Shapefile atau Geopackage yang memiliki kolom atribut berisi nilai AGB (ton/ha) hasil pengukuran allometrik di lapangan.</w:t>
      </w:r>
    </w:p>
    <w:p>
      <w:r>
        <w:t xml:space="preserve"/>
      </w:r>
    </w:p>
    <w:p>
      <w:pPr>
        <w:pStyle w:val="Heading3"/>
      </w:pPr>
      <w:r>
        <w:rPr>
          <w:b/>
          <w:bCs/>
          <w:color w:val="388E3C"/>
          <w:sz w:val="24"/>
          <w:szCs w:val="24"/>
        </w:rPr>
        <w:t xml:space="preserve">Tahap 2 — Ekstraksi Nilai Spektral pada Titik Sampel</w:t>
      </w:r>
    </w:p>
    <w:p>
      <w:pPr>
        <w:spacing w:after="80" w:before="80" w:line="360"/>
        <w:jc w:val="both"/>
      </w:pPr>
      <w:r>
        <w:rPr>
          <w:b w:val="false"/>
          <w:bCs w:val="false"/>
          <w:i w:val="false"/>
          <w:iCs w:val="false"/>
          <w:sz w:val="24"/>
          <w:szCs w:val="24"/>
        </w:rPr>
        <w:t xml:space="preserve">Algoritma menggunakan fungsi native:rastersampling dari QGIS untuk mengekstraksi nilai piksel Band 4 dan Band 8 pada setiap lokasi titik sampel. Hasilnya adalah tabel atribut yang diperkaya dengan kolom RED_1 dan NIR_1 untuk setiap fitur titik.</w:t>
      </w:r>
    </w:p>
    <w:p>
      <w:r>
        <w:t xml:space="preserve"/>
      </w:r>
    </w:p>
    <w:p>
      <w:pPr>
        <w:pStyle w:val="Heading3"/>
      </w:pPr>
      <w:r>
        <w:rPr>
          <w:b/>
          <w:bCs/>
          <w:color w:val="388E3C"/>
          <w:sz w:val="24"/>
          <w:szCs w:val="24"/>
        </w:rPr>
        <w:t xml:space="preserve">Tahap 3 — Konstruksi Fitur dan Konversi AGB ke AGC</w:t>
      </w:r>
    </w:p>
    <w:p>
      <w:pPr>
        <w:spacing w:after="80" w:before="80" w:line="360"/>
        <w:jc w:val="both"/>
      </w:pPr>
      <w:r>
        <w:rPr>
          <w:b w:val="false"/>
          <w:bCs w:val="false"/>
          <w:i w:val="false"/>
          <w:iCs w:val="false"/>
          <w:sz w:val="24"/>
          <w:szCs w:val="24"/>
        </w:rPr>
        <w:t xml:space="preserve">Dari nilai Red dan NIR yang diekstraksi, dihitung nilai NDVI menggunakan rumus standar. Tiga variabel fitur ini (Red, NIR, NDVI) menjadi matriks prediktor X. Nilai AGB dari atribut vektor dikonversi ke AGC menggunakan faktor 0,47 sebagai variabel target y. Data dibagi menjadi 70% latih dan 30% uji secara acak (random_state=42).</w:t>
      </w:r>
    </w:p>
    <w:p>
      <w:r>
        <w:t xml:space="preserve"/>
      </w:r>
    </w:p>
    <w:p>
      <w:pPr>
        <w:pStyle w:val="Heading3"/>
      </w:pPr>
      <w:r>
        <w:rPr>
          <w:b/>
          <w:bCs/>
          <w:color w:val="388E3C"/>
          <w:sz w:val="24"/>
          <w:szCs w:val="24"/>
        </w:rPr>
        <w:t xml:space="preserve">Tahap 4 — Pelatihan dan Evaluasi Model Random Forest</w:t>
      </w:r>
    </w:p>
    <w:p>
      <w:pPr>
        <w:spacing w:after="80" w:before="80" w:line="360"/>
        <w:jc w:val="both"/>
      </w:pPr>
      <w:r>
        <w:rPr>
          <w:b w:val="false"/>
          <w:bCs w:val="false"/>
          <w:i w:val="false"/>
          <w:iCs w:val="false"/>
          <w:sz w:val="24"/>
          <w:szCs w:val="24"/>
        </w:rPr>
        <w:t xml:space="preserve">Model RandomForestRegressor dilatih dengan 100 pohon keputusan (n_estimators=100). Evaluasi dilakukan pada data uji menggunakan dua metrik utama: R-squared (R²) yang mengukur proporsi variansi AGC yang dapat dijelaskan model, dan Root Mean Square Error (RMSE) yang mengukur rata-rata kesalahan prediksi dalam satuan Ton 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Metrik</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Rumus</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Interpretasi</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Nilai Ideal</w:t>
            </w:r>
          </w:p>
        </w:tc>
      </w:tr>
      <w:tr>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R² (R-Squared)</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1 - SS_res / SS_tot</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Proporsi variansi yang dijelaskan model</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center"/>
            </w:pPr>
            <w:r>
              <w:rPr>
                <w:sz w:val="22"/>
                <w:szCs w:val="22"/>
              </w:rPr>
              <w:t xml:space="preserve">Mendekati 1.0</w:t>
            </w:r>
          </w:p>
        </w:tc>
      </w:tr>
      <w:tr>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RMSE</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√(Σ(y-ŷ)² / n)</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Rata-rata kesalahan prediksi (Ton C)</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center"/>
            </w:pPr>
            <w:r>
              <w:rPr>
                <w:sz w:val="22"/>
                <w:szCs w:val="22"/>
              </w:rPr>
              <w:t xml:space="preserve">Mendekati 0</w:t>
            </w:r>
          </w:p>
        </w:tc>
      </w:tr>
      <w:tr>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MAE</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Σ|y-ŷ| / n</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Kesalahan absolut rata-rata</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center"/>
            </w:pPr>
            <w:r>
              <w:rPr>
                <w:sz w:val="22"/>
                <w:szCs w:val="22"/>
              </w:rPr>
              <w:t xml:space="preserve">Mendekati 0</w:t>
            </w:r>
          </w:p>
        </w:tc>
      </w:tr>
    </w:tbl>
    <w:p>
      <w:r>
        <w:t xml:space="preserve"/>
      </w:r>
    </w:p>
    <w:p>
      <w:pPr>
        <w:pStyle w:val="Heading3"/>
      </w:pPr>
      <w:r>
        <w:rPr>
          <w:b/>
          <w:bCs/>
          <w:color w:val="388E3C"/>
          <w:sz w:val="24"/>
          <w:szCs w:val="24"/>
        </w:rPr>
        <w:t xml:space="preserve">Tahap 5 — Prediksi Raster AGC Penuh</w:t>
      </w:r>
    </w:p>
    <w:p>
      <w:pPr>
        <w:spacing w:after="80" w:before="80" w:line="360"/>
        <w:jc w:val="both"/>
      </w:pPr>
      <w:r>
        <w:rPr>
          <w:b w:val="false"/>
          <w:bCs w:val="false"/>
          <w:i w:val="false"/>
          <w:iCs w:val="false"/>
          <w:sz w:val="24"/>
          <w:szCs w:val="24"/>
        </w:rPr>
        <w:t xml:space="preserve">Model RF yang telah dilatih diaplikasikan pada setiap piksel citra untuk menghasilkan peta prediksi AGC. Pemrosesan dilakukan baris per baris (row-by-row) untuk efisiensi memori. Setiap baris piksel dikonversi menjadi matriks fitur (Red, NIR, NDVI) lalu diprediksi menggunakan model. Hasil prediksi ditulis ke file GeoTIFF output dengan tipe data Float32, mempertahankan georeference dan proyeksi citra asli.</w:t>
      </w:r>
    </w:p>
    <w:p>
      <w:r>
        <w:t xml:space="preserve"/>
      </w:r>
    </w:p>
    <w:p>
      <w:r>
        <w:br w:type="page"/>
      </w:r>
    </w:p>
    <w:p>
      <w:pPr>
        <w:pStyle w:val="Heading1"/>
      </w:pPr>
      <w:r>
        <w:rPr>
          <w:b/>
          <w:bCs/>
          <w:color w:val="1B5E20"/>
          <w:sz w:val="32"/>
          <w:szCs w:val="32"/>
        </w:rPr>
        <w:t xml:space="preserve">BAB IV — PENTINGNYA GEOKOMPUTASI</w:t>
      </w:r>
    </w:p>
    <w:p>
      <w:r>
        <w:t xml:space="preserve"/>
      </w:r>
    </w:p>
    <w:p>
      <w:pPr>
        <w:pStyle w:val="Heading2"/>
      </w:pPr>
      <w:r>
        <w:rPr>
          <w:b/>
          <w:bCs/>
          <w:color w:val="2E7D32"/>
          <w:sz w:val="26"/>
          <w:szCs w:val="26"/>
        </w:rPr>
        <w:t xml:space="preserve">4.1 Mengapa Geokomputasi Diperlukan?</w:t>
      </w:r>
    </w:p>
    <w:p>
      <w:pPr>
        <w:spacing w:after="80" w:before="80" w:line="360"/>
        <w:jc w:val="both"/>
      </w:pPr>
      <w:r>
        <w:rPr>
          <w:b w:val="false"/>
          <w:bCs w:val="false"/>
          <w:i w:val="false"/>
          <w:iCs w:val="false"/>
          <w:sz w:val="24"/>
          <w:szCs w:val="24"/>
        </w:rPr>
        <w:t xml:space="preserve">Estimasi karbon mangrove secara konvensional hanya dapat dilakukan pada plot-plot kecil di lapangan. Pendekatan ini tidak mampu menghasilkan gambaran spasial yang komprehensif, membutuhkan sumber daya manusia dan keuangan yang besar, serta sulit diulang secara konsisten. Geokomputasi menjawab keterbatasan ini dengan mengintegrasikan empat komponen kunci:</w:t>
      </w:r>
    </w:p>
    <w:p>
      <w:r>
        <w:t xml:space="preserve"/>
      </w:r>
    </w:p>
    <w:p>
      <w:pPr>
        <w:pStyle w:val="Heading3"/>
      </w:pPr>
      <w:r>
        <w:rPr>
          <w:b/>
          <w:bCs/>
          <w:color w:val="388E3C"/>
          <w:sz w:val="24"/>
          <w:szCs w:val="24"/>
        </w:rPr>
        <w:t xml:space="preserve">4.1.1 Skalabilitas Spasial</w:t>
      </w:r>
    </w:p>
    <w:p>
      <w:pPr>
        <w:spacing w:after="80" w:before="80" w:line="360"/>
        <w:jc w:val="both"/>
      </w:pPr>
      <w:r>
        <w:rPr>
          <w:b w:val="false"/>
          <w:bCs w:val="false"/>
          <w:i w:val="false"/>
          <w:iCs w:val="false"/>
          <w:sz w:val="24"/>
          <w:szCs w:val="24"/>
        </w:rPr>
        <w:t xml:space="preserve">Algoritma berbasis Python dalam QGIS mampu memproses jutaan piksel secara sistematis dalam waktu singkat. Dengan resolusi 10 meter Sentinel-2, satu scene citra (110 km x 110 km) mengandung sekitar 121 juta piksel. Pemrosesan baris per baris yang diimplementasikan dalam skrip ini memungkinkan analisis tanpa batas ukuran data dalam batasan memori yang ada.</w:t>
      </w:r>
    </w:p>
    <w:p>
      <w:r>
        <w:t xml:space="preserve"/>
      </w:r>
    </w:p>
    <w:p>
      <w:pPr>
        <w:pStyle w:val="Heading3"/>
      </w:pPr>
      <w:r>
        <w:rPr>
          <w:b/>
          <w:bCs/>
          <w:color w:val="388E3C"/>
          <w:sz w:val="24"/>
          <w:szCs w:val="24"/>
        </w:rPr>
        <w:t xml:space="preserve">4.1.2 Reproduksibilitas dan Otomasi</w:t>
      </w:r>
    </w:p>
    <w:p>
      <w:pPr>
        <w:spacing w:after="80" w:before="80" w:line="360"/>
        <w:jc w:val="both"/>
      </w:pPr>
      <w:r>
        <w:rPr>
          <w:b w:val="false"/>
          <w:bCs w:val="false"/>
          <w:i w:val="false"/>
          <w:iCs w:val="false"/>
          <w:sz w:val="24"/>
          <w:szCs w:val="24"/>
        </w:rPr>
        <w:t xml:space="preserve">Setiap langkah analisis dikodekan secara eksplisit dalam Python, sehingga hasil dapat direproduksi secara persis oleh peneliti lain. Otomasi workflow dari ekstraksi piksel hingga penulisan raster output menghilangkan kemungkinan kesalahan manual yang umum terjadi dalam pemrosesan GIS berbasis klik-dan-arahkan.</w:t>
      </w:r>
    </w:p>
    <w:p>
      <w:r>
        <w:t xml:space="preserve"/>
      </w:r>
    </w:p>
    <w:p>
      <w:pPr>
        <w:pStyle w:val="Heading3"/>
      </w:pPr>
      <w:r>
        <w:rPr>
          <w:b/>
          <w:bCs/>
          <w:color w:val="388E3C"/>
          <w:sz w:val="24"/>
          <w:szCs w:val="24"/>
        </w:rPr>
        <w:t xml:space="preserve">4.1.3 Integrasi Machine Learning</w:t>
      </w:r>
    </w:p>
    <w:p>
      <w:pPr>
        <w:spacing w:after="80" w:before="80" w:line="360"/>
        <w:jc w:val="both"/>
      </w:pPr>
      <w:r>
        <w:rPr>
          <w:b w:val="false"/>
          <w:bCs w:val="false"/>
          <w:i w:val="false"/>
          <w:iCs w:val="false"/>
          <w:sz w:val="24"/>
          <w:szCs w:val="24"/>
        </w:rPr>
        <w:t xml:space="preserve">Pendekatan geokomputasi memungkinkan integrasi langsung antara pustaka machine learning (scikit-learn) dengan data geospasial (GDAL, QGIS). Hal ini menciptakan jembatan antara ilmu data modern dengan tradisi analisis spasial geografi, menghasilkan model prediktif yang dapat langsung diaplikasikan ke seluruh area kajian.</w:t>
      </w:r>
    </w:p>
    <w:p>
      <w:r>
        <w:t xml:space="preserve"/>
      </w:r>
    </w:p>
    <w:p>
      <w:pPr>
        <w:pStyle w:val="Heading3"/>
      </w:pPr>
      <w:r>
        <w:rPr>
          <w:b/>
          <w:bCs/>
          <w:color w:val="388E3C"/>
          <w:sz w:val="24"/>
          <w:szCs w:val="24"/>
        </w:rPr>
        <w:t xml:space="preserve">4.1.4 Aksesibilitas melalui Antarmuka Grafis</w:t>
      </w:r>
    </w:p>
    <w:p>
      <w:pPr>
        <w:spacing w:after="80" w:before="80" w:line="360"/>
        <w:jc w:val="both"/>
      </w:pPr>
      <w:r>
        <w:rPr>
          <w:b w:val="false"/>
          <w:bCs w:val="false"/>
          <w:i w:val="false"/>
          <w:iCs w:val="false"/>
          <w:sz w:val="24"/>
          <w:szCs w:val="24"/>
        </w:rPr>
        <w:t xml:space="preserve">Dengan membungkus algoritma kompleks ke dalam QGIS Processing Framework, pengguna tidak perlu memiliki keahlian pemrograman mendalam untuk menjalankan analisis level penelitian. Geokomputasi menjadi demokratis — tersedia bagi planner, manajer konservasi, dan pembuat kebijakan yang bekerja langsung di lapangan.</w:t>
      </w:r>
    </w:p>
    <w:p>
      <w:r>
        <w:t xml:space="preserve"/>
      </w:r>
    </w:p>
    <w:p>
      <w:pPr>
        <w:pStyle w:val="Heading2"/>
      </w:pPr>
      <w:r>
        <w:rPr>
          <w:b/>
          <w:bCs/>
          <w:color w:val="2E7D32"/>
          <w:sz w:val="26"/>
          <w:szCs w:val="26"/>
        </w:rPr>
        <w:t xml:space="preserve">4.2 Kontribusi terhadap Agenda Perubahan Iklim</w:t>
      </w:r>
    </w:p>
    <w:p>
      <w:pPr>
        <w:spacing w:after="80" w:before="80" w:line="360"/>
        <w:jc w:val="both"/>
      </w:pPr>
      <w:r>
        <w:rPr>
          <w:b w:val="false"/>
          <w:bCs w:val="false"/>
          <w:i w:val="false"/>
          <w:iCs w:val="false"/>
          <w:sz w:val="24"/>
          <w:szCs w:val="24"/>
        </w:rPr>
        <w:t xml:space="preserve">Pemantauan stok karbon mangrove secara periodik menggunakan pendekatan geokomputasi berkontribusi langsung pada:</w:t>
      </w:r>
    </w:p>
    <w:p>
      <w:pPr>
        <w:pStyle w:val="ListParagraph"/>
        <w:numPr>
          <w:ilvl w:val="0"/>
          <w:numId w:val="3"/>
        </w:numPr>
      </w:pPr>
      <w:r>
        <w:rPr>
          <w:sz w:val="24"/>
          <w:szCs w:val="24"/>
        </w:rPr>
        <w:t xml:space="preserve">Sistem MRV (Monitoring, Reporting, Verification) REDD+ yang mensyaratkan data karbon terukur dan dapat dipertanggungjawabkan.</w:t>
      </w:r>
    </w:p>
    <w:p>
      <w:pPr>
        <w:pStyle w:val="ListParagraph"/>
        <w:numPr>
          <w:ilvl w:val="0"/>
          <w:numId w:val="3"/>
        </w:numPr>
      </w:pPr>
      <w:r>
        <w:rPr>
          <w:sz w:val="24"/>
          <w:szCs w:val="24"/>
        </w:rPr>
        <w:t xml:space="preserve">Perhitungan emisi dan sekuestrasi karbon untuk pelaporan Nationally Determined Contributions (NDC) kepada UNFCCC.</w:t>
      </w:r>
    </w:p>
    <w:p>
      <w:pPr>
        <w:pStyle w:val="ListParagraph"/>
        <w:numPr>
          <w:ilvl w:val="0"/>
          <w:numId w:val="3"/>
        </w:numPr>
      </w:pPr>
      <w:r>
        <w:rPr>
          <w:sz w:val="24"/>
          <w:szCs w:val="24"/>
        </w:rPr>
        <w:t xml:space="preserve">Identifikasi hotspot deforestasi mangrove dan perubahan stok karbon antar waktu.</w:t>
      </w:r>
    </w:p>
    <w:p>
      <w:pPr>
        <w:pStyle w:val="ListParagraph"/>
        <w:numPr>
          <w:ilvl w:val="0"/>
          <w:numId w:val="3"/>
        </w:numPr>
      </w:pPr>
      <w:r>
        <w:rPr>
          <w:sz w:val="24"/>
          <w:szCs w:val="24"/>
        </w:rPr>
        <w:t xml:space="preserve">Valuasi ekonomi jasa ekosistem karbon biru (blue carbon) untuk program pembayaran jasa lingkungan (PES).</w:t>
      </w:r>
    </w:p>
    <w:p>
      <w:r>
        <w:t xml:space="preserve"/>
      </w:r>
    </w:p>
    <w:p>
      <w:r>
        <w:br w:type="page"/>
      </w:r>
    </w:p>
    <w:p>
      <w:pPr>
        <w:pStyle w:val="Heading1"/>
      </w:pPr>
      <w:r>
        <w:rPr>
          <w:b/>
          <w:bCs/>
          <w:color w:val="1B5E20"/>
          <w:sz w:val="32"/>
          <w:szCs w:val="32"/>
        </w:rPr>
        <w:t xml:space="preserve">BAB V — CARA KERJA ANTARMUKA (UI)</w:t>
      </w:r>
    </w:p>
    <w:p>
      <w:r>
        <w:t xml:space="preserve"/>
      </w:r>
    </w:p>
    <w:p>
      <w:pPr>
        <w:pStyle w:val="Heading2"/>
      </w:pPr>
      <w:r>
        <w:rPr>
          <w:b/>
          <w:bCs/>
          <w:color w:val="2E7D32"/>
          <w:sz w:val="26"/>
          <w:szCs w:val="26"/>
        </w:rPr>
        <w:t xml:space="preserve">5.1 Deskripsi Antarmuka Pengguna</w:t>
      </w:r>
    </w:p>
    <w:p>
      <w:pPr>
        <w:spacing w:after="80" w:before="80" w:line="360"/>
        <w:jc w:val="both"/>
      </w:pPr>
      <w:r>
        <w:rPr>
          <w:b w:val="false"/>
          <w:bCs w:val="false"/>
          <w:i w:val="false"/>
          <w:iCs w:val="false"/>
          <w:sz w:val="24"/>
          <w:szCs w:val="24"/>
        </w:rPr>
        <w:t xml:space="preserve">Plugin ditampilkan sebagai dialog Processing Algorithm standar QGIS dengan judul 'Analisis Karbon — Estimasi AGC Dari AGB (RF Model)'. Antarmuka terdiri dari dua tab utama: Parameters (untuk input data) dan Log (untuk memantau progress dan hasil).</w:t>
      </w:r>
    </w:p>
    <w:p>
      <w:r>
        <w:t xml:space="preserve"/>
      </w:r>
    </w:p>
    <w:p>
      <w:pPr>
        <w:pStyle w:val="Heading2"/>
      </w:pPr>
      <w:r>
        <w:rPr>
          <w:b/>
          <w:bCs/>
          <w:color w:val="2E7D32"/>
          <w:sz w:val="26"/>
          <w:szCs w:val="26"/>
        </w:rPr>
        <w:t xml:space="preserve">5.2 Komponen Parameter Input</w:t>
      </w:r>
    </w:p>
    <w:p>
      <w:pPr>
        <w:spacing w:after="80" w:before="80" w:line="360"/>
        <w:jc w:val="both"/>
      </w:pPr>
      <w:r>
        <w:rPr>
          <w:b w:val="false"/>
          <w:bCs w:val="false"/>
          <w:i w:val="false"/>
          <w:iCs w:val="false"/>
          <w:sz w:val="24"/>
          <w:szCs w:val="24"/>
        </w:rPr>
        <w:t xml:space="preserve">Berikut adalah tabel lengkap parameter yang tersedia pada antarmuka: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Parameter</w:t>
            </w:r>
          </w:p>
        </w:tc>
        <w:tc>
          <w:tcPr>
            <w:tcW w:type="dxa" w:w="378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Deskripsi</w:t>
            </w:r>
          </w:p>
        </w:tc>
        <w:tc>
          <w:tcPr>
            <w:tcW w:type="dxa" w:w="378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b/>
                <w:bCs/>
                <w:color w:val="FFFFFF"/>
                <w:sz w:val="22"/>
                <w:szCs w:val="22"/>
              </w:rPr>
              <w:t xml:space="preserve">Nilai Default</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RED_BAND</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Citra Band 4 Merah (Sentinel-2)</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Wajib diisi oleh pengguna</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NIR_BAND</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Citra Band 8 Near-Infrared</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Wajib diisi oleh pengguna</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INPUT_VEKTOR</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Layer titik sampel lapangan</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Tipe: Point Vector</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FIELD_AGB</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Nama kolom AGB di atribut vektor</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"AGB"</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OUTPUT_RASTER</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Raster hasil prediksi AGC</w:t>
            </w:r>
          </w:p>
        </w:tc>
        <w:tc>
          <w:tcPr>
            <w:tcW w:type="dxa" w:w="3780"/>
            <w:tcBorders>
              <w:top w:val="single" w:color="AAAAAA" w:sz="1"/>
              <w:left w:val="single" w:color="AAAAAA" w:sz="1"/>
              <w:bottom w:val="single" w:color="AAAAAA" w:sz="1"/>
              <w:right w:val="single" w:color="AAAAAA" w:sz="1"/>
            </w:tcBorders>
            <w:tcMar>
              <w:top w:type="dxa" w:w="80"/>
              <w:left w:type="dxa" w:w="150"/>
              <w:bottom w:type="dxa" w:w="80"/>
              <w:right w:type="dxa" w:w="150"/>
            </w:tcMar>
          </w:tcPr>
          <w:p>
            <w:pPr>
              <w:jc w:val="left"/>
            </w:pPr>
            <w:r>
              <w:rPr>
                <w:sz w:val="22"/>
                <w:szCs w:val="22"/>
              </w:rPr>
              <w:t xml:space="preserve">Format: GeoTIFF (Float32)</w:t>
            </w:r>
          </w:p>
        </w:tc>
      </w:tr>
    </w:tbl>
    <w:p>
      <w:r>
        <w:t xml:space="preserve"/>
      </w:r>
    </w:p>
    <w:p>
      <w:pPr>
        <w:pStyle w:val="Heading2"/>
      </w:pPr>
      <w:r>
        <w:rPr>
          <w:b/>
          <w:bCs/>
          <w:color w:val="2E7D32"/>
          <w:sz w:val="26"/>
          <w:szCs w:val="26"/>
        </w:rPr>
        <w:t xml:space="preserve">5.3 Alur Penggunaan Step-by-Step</w:t>
      </w:r>
    </w:p>
    <w:p>
      <w:pPr>
        <w:pStyle w:val="ListParagraph"/>
        <w:numPr>
          <w:ilvl w:val="0"/>
          <w:numId w:val="4"/>
        </w:numPr>
        <w:spacing w:after="60" w:before="60"/>
      </w:pPr>
      <w:r>
        <w:rPr>
          <w:sz w:val="24"/>
          <w:szCs w:val="24"/>
        </w:rPr>
        <w:t xml:space="preserve">Buka QGIS dan muat citra Sentinel-2 Band 4 (Red) dan Band 8 (NIR) yang telah terproyeksi ke sistem koordinat yang sama.</w:t>
      </w:r>
    </w:p>
    <w:p>
      <w:pPr>
        <w:pStyle w:val="ListParagraph"/>
        <w:numPr>
          <w:ilvl w:val="0"/>
          <w:numId w:val="4"/>
        </w:numPr>
        <w:spacing w:after="60" w:before="60"/>
      </w:pPr>
      <w:r>
        <w:rPr>
          <w:sz w:val="24"/>
          <w:szCs w:val="24"/>
        </w:rPr>
        <w:t xml:space="preserve">Muat layer vektor titik sampel lapangan yang memiliki atribut AGB hasil pengukuran lapangan.</w:t>
      </w:r>
    </w:p>
    <w:p>
      <w:pPr>
        <w:pStyle w:val="ListParagraph"/>
        <w:numPr>
          <w:ilvl w:val="0"/>
          <w:numId w:val="4"/>
        </w:numPr>
        <w:spacing w:after="60" w:before="60"/>
      </w:pPr>
      <w:r>
        <w:rPr>
          <w:sz w:val="24"/>
          <w:szCs w:val="24"/>
        </w:rPr>
        <w:t xml:space="preserve">Buka Processing Toolbox (Ctrl+Alt+T), cari 'Estimasi AGC dari AGB'.</w:t>
      </w:r>
    </w:p>
    <w:p>
      <w:pPr>
        <w:pStyle w:val="ListParagraph"/>
        <w:numPr>
          <w:ilvl w:val="0"/>
          <w:numId w:val="4"/>
        </w:numPr>
        <w:spacing w:after="60" w:before="60"/>
      </w:pPr>
      <w:r>
        <w:rPr>
          <w:sz w:val="24"/>
          <w:szCs w:val="24"/>
        </w:rPr>
        <w:t xml:space="preserve">Pada field 'Pilih Band 4 (Red)', pilih layer raster Band 4 dari dropdown.</w:t>
      </w:r>
    </w:p>
    <w:p>
      <w:pPr>
        <w:pStyle w:val="ListParagraph"/>
        <w:numPr>
          <w:ilvl w:val="0"/>
          <w:numId w:val="4"/>
        </w:numPr>
        <w:spacing w:after="60" w:before="60"/>
      </w:pPr>
      <w:r>
        <w:rPr>
          <w:sz w:val="24"/>
          <w:szCs w:val="24"/>
        </w:rPr>
        <w:t xml:space="preserve">Pada field 'Pilih Band 8 (NIR)', pilih layer raster Band 8 dari dropdown.</w:t>
      </w:r>
    </w:p>
    <w:p>
      <w:pPr>
        <w:pStyle w:val="ListParagraph"/>
        <w:numPr>
          <w:ilvl w:val="0"/>
          <w:numId w:val="4"/>
        </w:numPr>
        <w:spacing w:after="60" w:before="60"/>
      </w:pPr>
      <w:r>
        <w:rPr>
          <w:sz w:val="24"/>
          <w:szCs w:val="24"/>
        </w:rPr>
        <w:t xml:space="preserve">Pada 'Input Titik Sampel (Vector)', pilih layer vektor titik sampel.</w:t>
      </w:r>
    </w:p>
    <w:p>
      <w:pPr>
        <w:pStyle w:val="ListParagraph"/>
        <w:numPr>
          <w:ilvl w:val="0"/>
          <w:numId w:val="4"/>
        </w:numPr>
        <w:spacing w:after="60" w:before="60"/>
      </w:pPr>
      <w:r>
        <w:rPr>
          <w:sz w:val="24"/>
          <w:szCs w:val="24"/>
        </w:rPr>
        <w:t xml:space="preserve">Pada 'Nama Field AGB di Data Vektor', ketikkan nama kolom yang berisi nilai AGB (default: 'AGB').</w:t>
      </w:r>
    </w:p>
    <w:p>
      <w:pPr>
        <w:pStyle w:val="ListParagraph"/>
        <w:numPr>
          <w:ilvl w:val="0"/>
          <w:numId w:val="4"/>
        </w:numPr>
        <w:spacing w:after="60" w:before="60"/>
      </w:pPr>
      <w:r>
        <w:rPr>
          <w:sz w:val="24"/>
          <w:szCs w:val="24"/>
        </w:rPr>
        <w:t xml:space="preserve">Tentukan lokasi penyimpanan output pada 'Peta Prediksi AGC (Ton C)', atau biarkan sebagai temporary file.</w:t>
      </w:r>
    </w:p>
    <w:p>
      <w:pPr>
        <w:pStyle w:val="ListParagraph"/>
        <w:numPr>
          <w:ilvl w:val="0"/>
          <w:numId w:val="4"/>
        </w:numPr>
        <w:spacing w:after="60" w:before="60"/>
      </w:pPr>
      <w:r>
        <w:rPr>
          <w:sz w:val="24"/>
          <w:szCs w:val="24"/>
        </w:rPr>
        <w:t xml:space="preserve">Klik Run dan pantau progress pada tab Log.</w:t>
      </w:r>
    </w:p>
    <w:p>
      <w:pPr>
        <w:pStyle w:val="ListParagraph"/>
        <w:numPr>
          <w:ilvl w:val="0"/>
          <w:numId w:val="4"/>
        </w:numPr>
        <w:spacing w:after="60" w:before="60"/>
      </w:pPr>
      <w:r>
        <w:rPr>
          <w:sz w:val="24"/>
          <w:szCs w:val="24"/>
        </w:rPr>
        <w:t xml:space="preserve">Setelah selesai, baca laporan evaluasi model (R², RMSE) dan statistik total karbon di Log.</w:t>
      </w:r>
    </w:p>
    <w:p>
      <w:r>
        <w:t xml:space="preserve"/>
      </w:r>
    </w:p>
    <w:p>
      <w:pPr>
        <w:pStyle w:val="Heading2"/>
      </w:pPr>
      <w:r>
        <w:rPr>
          <w:b/>
          <w:bCs/>
          <w:color w:val="2E7D32"/>
          <w:sz w:val="26"/>
          <w:szCs w:val="26"/>
        </w:rPr>
        <w:t xml:space="preserve">5.4 Output dan Hasil</w:t>
      </w:r>
    </w:p>
    <w:p>
      <w:pPr>
        <w:spacing w:after="80" w:before="80" w:line="360"/>
        <w:jc w:val="both"/>
      </w:pPr>
      <w:r>
        <w:rPr>
          <w:b w:val="false"/>
          <w:bCs w:val="false"/>
          <w:i w:val="false"/>
          <w:iCs w:val="false"/>
          <w:sz w:val="24"/>
          <w:szCs w:val="24"/>
        </w:rPr>
        <w:t xml:space="preserve">Setelah algoritma selesai berjalan, pengguna akan mendapatkan:</w:t>
      </w:r>
    </w:p>
    <w:p>
      <w:pPr>
        <w:pStyle w:val="ListParagraph"/>
        <w:numPr>
          <w:ilvl w:val="0"/>
          <w:numId w:val="3"/>
        </w:numPr>
      </w:pPr>
      <w:r>
        <w:rPr>
          <w:sz w:val="24"/>
          <w:szCs w:val="24"/>
        </w:rPr>
        <w:t xml:space="preserve">Raster GeoTIFF peta prediksi AGC (nilai dalam Ton C per piksel) yang otomatis ditambahkan ke canvas QGIS.</w:t>
      </w:r>
    </w:p>
    <w:p>
      <w:pPr>
        <w:pStyle w:val="ListParagraph"/>
        <w:numPr>
          <w:ilvl w:val="0"/>
          <w:numId w:val="3"/>
        </w:numPr>
      </w:pPr>
      <w:r>
        <w:rPr>
          <w:sz w:val="24"/>
          <w:szCs w:val="24"/>
        </w:rPr>
        <w:t xml:space="preserve">Laporan tekstual di tab Log yang berisi: R² dan RMSE evaluasi model, total luas area mangrove terdeteksi (Ha), total stok AGC seluruh area (Ton C), dan rata-rata AGC per hektar (Ton C/Ha).</w:t>
      </w:r>
    </w:p>
    <w:p>
      <w:r>
        <w:t xml:space="preserve"/>
      </w:r>
    </w:p>
    <w:p>
      <w:r>
        <w:br w:type="page"/>
      </w:r>
    </w:p>
    <w:p>
      <w:pPr>
        <w:pStyle w:val="Heading1"/>
      </w:pPr>
      <w:r>
        <w:rPr>
          <w:b/>
          <w:bCs/>
          <w:color w:val="1B5E20"/>
          <w:sz w:val="32"/>
          <w:szCs w:val="32"/>
        </w:rPr>
        <w:t xml:space="preserve">BAB VI — ARSITEKTUR SKRIP PYTHON</w:t>
      </w:r>
    </w:p>
    <w:p>
      <w:r>
        <w:t xml:space="preserve"/>
      </w:r>
    </w:p>
    <w:p>
      <w:pPr>
        <w:pStyle w:val="Heading2"/>
      </w:pPr>
      <w:r>
        <w:rPr>
          <w:b/>
          <w:bCs/>
          <w:color w:val="2E7D32"/>
          <w:sz w:val="26"/>
          <w:szCs w:val="26"/>
        </w:rPr>
        <w:t xml:space="preserve">6.1 Struktur Kelas dan Hierarki Pewarisan</w:t>
      </w:r>
    </w:p>
    <w:p>
      <w:pPr>
        <w:spacing w:after="80" w:before="80" w:line="360"/>
        <w:jc w:val="both"/>
      </w:pPr>
      <w:r>
        <w:rPr>
          <w:b w:val="false"/>
          <w:bCs w:val="false"/>
          <w:i w:val="false"/>
          <w:iCs w:val="false"/>
          <w:sz w:val="24"/>
          <w:szCs w:val="24"/>
        </w:rPr>
        <w:t xml:space="preserve">Skrip dibangun di atas kelas AGCCalculationAlgorithm yang mewarisi QgsProcessingAlgorithm — kelas dasar dari QGIS Processing Framework. Pola ini memastikan algoritma dapat diregistrasi, ditemukan, dan dijalankan secara penuh oleh QGIS, baik melalui GUI Processing Toolbox maupun melalui processing.run() dalam skrip otomasi.</w:t>
      </w:r>
    </w:p>
    <w:p>
      <w:r>
        <w:t xml:space="preserve"/>
      </w:r>
    </w:p>
    <w:p>
      <w:pPr>
        <w:pStyle w:val="Heading3"/>
      </w:pPr>
      <w:r>
        <w:rPr>
          <w:b/>
          <w:bCs/>
          <w:color w:val="388E3C"/>
          <w:sz w:val="24"/>
          <w:szCs w:val="24"/>
        </w:rPr>
        <w:t xml:space="preserve">6.1.1 Metode Wajib (Override Methods)</w:t>
      </w:r>
    </w:p>
    <w:p>
      <w:pPr>
        <w:pStyle w:val="ListParagraph"/>
        <w:numPr>
          <w:ilvl w:val="0"/>
          <w:numId w:val="3"/>
        </w:numPr>
      </w:pPr>
      <w:r>
        <w:rPr>
          <w:sz w:val="24"/>
          <w:szCs w:val="24"/>
        </w:rPr>
        <w:t xml:space="preserve">name(): Mengembalikan identifier unik algoritma ('agc_from_agb_model') untuk referensi internal QGIS.</w:t>
      </w:r>
    </w:p>
    <w:p>
      <w:pPr>
        <w:pStyle w:val="ListParagraph"/>
        <w:numPr>
          <w:ilvl w:val="0"/>
          <w:numId w:val="3"/>
        </w:numPr>
      </w:pPr>
      <w:r>
        <w:rPr>
          <w:sz w:val="24"/>
          <w:szCs w:val="24"/>
        </w:rPr>
        <w:t xml:space="preserve">displayName(): Nama tampilan pada Processing Toolbox ('Estimasi AGC dari AGB (RF Model)').</w:t>
      </w:r>
    </w:p>
    <w:p>
      <w:pPr>
        <w:pStyle w:val="ListParagraph"/>
        <w:numPr>
          <w:ilvl w:val="0"/>
          <w:numId w:val="3"/>
        </w:numPr>
      </w:pPr>
      <w:r>
        <w:rPr>
          <w:sz w:val="24"/>
          <w:szCs w:val="24"/>
        </w:rPr>
        <w:t xml:space="preserve">group(): Grup algoritma pada toolbox ('Analisis Karbon').</w:t>
      </w:r>
    </w:p>
    <w:p>
      <w:pPr>
        <w:pStyle w:val="ListParagraph"/>
        <w:numPr>
          <w:ilvl w:val="0"/>
          <w:numId w:val="3"/>
        </w:numPr>
      </w:pPr>
      <w:r>
        <w:rPr>
          <w:sz w:val="24"/>
          <w:szCs w:val="24"/>
        </w:rPr>
        <w:t xml:space="preserve">createInstance(): Pabrik instansi baru — diperlukan oleh QGIS untuk manajemen algoritma.</w:t>
      </w:r>
    </w:p>
    <w:p>
      <w:pPr>
        <w:pStyle w:val="ListParagraph"/>
        <w:numPr>
          <w:ilvl w:val="0"/>
          <w:numId w:val="3"/>
        </w:numPr>
      </w:pPr>
      <w:r>
        <w:rPr>
          <w:sz w:val="24"/>
          <w:szCs w:val="24"/>
        </w:rPr>
        <w:t xml:space="preserve">initAlgorithm(): Mendefinisikan semua parameter input dan output algoritma.</w:t>
      </w:r>
    </w:p>
    <w:p>
      <w:pPr>
        <w:pStyle w:val="ListParagraph"/>
        <w:numPr>
          <w:ilvl w:val="0"/>
          <w:numId w:val="3"/>
        </w:numPr>
      </w:pPr>
      <w:r>
        <w:rPr>
          <w:sz w:val="24"/>
          <w:szCs w:val="24"/>
        </w:rPr>
        <w:t xml:space="preserve">processAlgorithm(): Inti logika algoritma yang dijalankan saat pengguna klik Run.</w:t>
      </w:r>
    </w:p>
    <w:p>
      <w:r>
        <w:t xml:space="preserve"/>
      </w:r>
    </w:p>
    <w:p>
      <w:pPr>
        <w:pStyle w:val="Heading2"/>
      </w:pPr>
      <w:r>
        <w:rPr>
          <w:b/>
          <w:bCs/>
          <w:color w:val="2E7D32"/>
          <w:sz w:val="26"/>
          <w:szCs w:val="26"/>
        </w:rPr>
        <w:t xml:space="preserve">6.2 Alur Logika processAlgorithm()</w:t>
      </w:r>
    </w:p>
    <w:p>
      <w:pPr>
        <w:spacing w:after="80" w:before="80" w:line="360"/>
        <w:jc w:val="both"/>
      </w:pPr>
      <w:r>
        <w:rPr>
          <w:b w:val="false"/>
          <w:bCs w:val="false"/>
          <w:i w:val="false"/>
          <w:iCs w:val="false"/>
          <w:sz w:val="24"/>
          <w:szCs w:val="24"/>
        </w:rPr>
        <w:t xml:space="preserve">Metode inti processAlgorithm() mengeksekusi lima blok logika secara berurutan:</w:t>
      </w:r>
    </w:p>
    <w:p>
      <w:r>
        <w:t xml:space="preserve"/>
      </w:r>
    </w:p>
    <w:p>
      <w:pPr>
        <w:pStyle w:val="Heading3"/>
      </w:pPr>
      <w:r>
        <w:rPr>
          <w:b/>
          <w:bCs/>
          <w:color w:val="388E3C"/>
          <w:sz w:val="24"/>
          <w:szCs w:val="24"/>
        </w:rPr>
        <w:t xml:space="preserve">Blok 1 — Resolusi Parameter</w:t>
      </w:r>
    </w:p>
    <w:p>
      <w:pPr>
        <w:spacing w:after="80" w:before="80" w:line="360"/>
        <w:jc w:val="both"/>
      </w:pPr>
      <w:r>
        <w:rPr>
          <w:b w:val="false"/>
          <w:bCs w:val="false"/>
          <w:i w:val="false"/>
          <w:iCs w:val="false"/>
          <w:sz w:val="24"/>
          <w:szCs w:val="24"/>
        </w:rPr>
        <w:t xml:space="preserve">Nilai-nilai parameter diambil dari dictionary parameters menggunakan helper methods: parameterAsRasterLayer() untuk layer raster, parameterAsString() untuk string field AGB, dan parameterAsOutputLayer() untuk path output.</w:t>
      </w:r>
    </w:p>
    <w:p>
      <w:r>
        <w:t xml:space="preserve"/>
      </w:r>
    </w:p>
    <w:p>
      <w:pPr>
        <w:pStyle w:val="Heading3"/>
      </w:pPr>
      <w:r>
        <w:rPr>
          <w:b/>
          <w:bCs/>
          <w:color w:val="388E3C"/>
          <w:sz w:val="24"/>
          <w:szCs w:val="24"/>
        </w:rPr>
        <w:t xml:space="preserve">Blok 2 — Ekstraksi Piksel via native:rastersampling</w:t>
      </w:r>
    </w:p>
    <w:p>
      <w:pPr>
        <w:spacing w:after="80" w:before="80" w:line="360"/>
        <w:jc w:val="both"/>
      </w:pPr>
      <w:r>
        <w:rPr>
          <w:b w:val="false"/>
          <w:bCs w:val="false"/>
          <w:i w:val="false"/>
          <w:iCs w:val="false"/>
          <w:sz w:val="24"/>
          <w:szCs w:val="24"/>
        </w:rPr>
        <w:t xml:space="preserve">Dua pemanggilan processing.run() dirantai secara berantai. Pertama, nilai Band 4 diekstrak ke kolom RED_1 pada layer titik. Kemudian, layer hasil pertama digunakan sebagai input untuk mengekstrak nilai Band 8 ke kolom NIR_1. Pendekatan berantai ini memastikan kedua nilai spektral tergabung dalam satu layer fitur yang sama.</w:t>
      </w:r>
    </w:p>
    <w:p>
      <w:r>
        <w:t xml:space="preserve"/>
      </w:r>
    </w:p>
    <w:p>
      <w:pPr>
        <w:pStyle w:val="Heading3"/>
      </w:pPr>
      <w:r>
        <w:rPr>
          <w:b/>
          <w:bCs/>
          <w:color w:val="388E3C"/>
          <w:sz w:val="24"/>
          <w:szCs w:val="24"/>
        </w:rPr>
        <w:t xml:space="preserve">Blok 3 — Konstruksi Matriks Fitur</w:t>
      </w:r>
    </w:p>
    <w:p>
      <w:pPr>
        <w:spacing w:after="80" w:before="80" w:line="360"/>
        <w:jc w:val="both"/>
      </w:pPr>
      <w:r>
        <w:rPr>
          <w:b w:val="false"/>
          <w:bCs w:val="false"/>
          <w:i w:val="false"/>
          <w:iCs w:val="false"/>
          <w:sz w:val="24"/>
          <w:szCs w:val="24"/>
        </w:rPr>
        <w:t xml:space="preserve">Iterasi atas semua fitur layer sampel mengambil nilai RED_1, NIR_1, dan nilai AGB dari field yang ditentukan pengguna. Nilai NDVI dihitung inline per titik dengan penanganan pembagian nol (zero-division guard). Nilai AGC dihitung dari AGB menggunakan faktor 0,47. Semua data valid dikumpulkan ke dalam list X (fitur) dan y (target) lalu dikonversi ke NumPy array untuk kompatibilitas scikit-learn.</w:t>
      </w:r>
    </w:p>
    <w:p>
      <w:r>
        <w:t xml:space="preserve"/>
      </w:r>
    </w:p>
    <w:p>
      <w:pPr>
        <w:pStyle w:val="Heading3"/>
      </w:pPr>
      <w:r>
        <w:rPr>
          <w:b/>
          <w:bCs/>
          <w:color w:val="388E3C"/>
          <w:sz w:val="24"/>
          <w:szCs w:val="24"/>
        </w:rPr>
        <w:t xml:space="preserve">Blok 4 — Training dan Evaluasi RF</w:t>
      </w:r>
    </w:p>
    <w:p>
      <w:pPr>
        <w:spacing w:after="80" w:before="80" w:line="360"/>
        <w:jc w:val="both"/>
      </w:pPr>
      <w:r>
        <w:rPr>
          <w:b w:val="false"/>
          <w:bCs w:val="false"/>
          <w:i w:val="false"/>
          <w:iCs w:val="false"/>
          <w:sz w:val="24"/>
          <w:szCs w:val="24"/>
        </w:rPr>
        <w:t xml:space="preserve">Data dibagi 70%/30% menggunakan train_test_split dengan seed acak 42 (reproducible). Model RandomForestRegressor dilatih pada data latih. Evaluasi R² dan RMSE dilakukan pada data uji untuk mengukur kemampuan generalisasi model.</w:t>
      </w:r>
    </w:p>
    <w:p>
      <w:r>
        <w:t xml:space="preserve"/>
      </w:r>
    </w:p>
    <w:p>
      <w:pPr>
        <w:pStyle w:val="Heading3"/>
      </w:pPr>
      <w:r>
        <w:rPr>
          <w:b/>
          <w:bCs/>
          <w:color w:val="388E3C"/>
          <w:sz w:val="24"/>
          <w:szCs w:val="24"/>
        </w:rPr>
        <w:t xml:space="preserve">Blok 5 — Penulisan Raster Output</w:t>
      </w:r>
    </w:p>
    <w:p>
      <w:pPr>
        <w:spacing w:after="80" w:before="80" w:line="360"/>
        <w:jc w:val="both"/>
      </w:pPr>
      <w:r>
        <w:rPr>
          <w:b w:val="false"/>
          <w:bCs w:val="false"/>
          <w:i w:val="false"/>
          <w:iCs w:val="false"/>
          <w:sz w:val="24"/>
          <w:szCs w:val="24"/>
        </w:rPr>
        <w:t xml:space="preserve">GDAL digunakan langsung untuk membaca piksel citra baris per baris dan menulis prediksi ke file GeoTIFF output. Geotransform dan proyeksi dari raster input disalin ke output untuk memastikan georeferensi yang benar. Ukuran piksel dalam hektar dihitung dari geotransform untuk statistik area. Perulangan foreach baris juga menghitung total stok AGC dan total area mangrove aktif (piksel dengan AGC &gt; 0).</w:t>
      </w:r>
    </w:p>
    <w:p>
      <w:r>
        <w:t xml:space="preserve"/>
      </w:r>
    </w:p>
    <w:p>
      <w:pPr>
        <w:pStyle w:val="Heading2"/>
      </w:pPr>
      <w:r>
        <w:rPr>
          <w:b/>
          <w:bCs/>
          <w:color w:val="2E7D32"/>
          <w:sz w:val="26"/>
          <w:szCs w:val="26"/>
        </w:rPr>
        <w:t xml:space="preserve">6.3 Penanganan Dependensi dan Kesalahan</w:t>
      </w:r>
    </w:p>
    <w:p>
      <w:pPr>
        <w:spacing w:after="80" w:before="80" w:line="360"/>
        <w:jc w:val="both"/>
      </w:pPr>
      <w:r>
        <w:rPr>
          <w:b w:val="false"/>
          <w:bCs w:val="false"/>
          <w:i w:val="false"/>
          <w:iCs w:val="false"/>
          <w:sz w:val="24"/>
          <w:szCs w:val="24"/>
        </w:rPr>
        <w:t xml:space="preserve">Skrip menggunakan blok try-except bertingkat untuk menangani dua kasus impor: (1) GDAL dapat diimpor sebagai osgeo.gdal (instalasi OSGeo4W standar) atau langsung sebagai gdal (instalasi alternatif); (2) scikit-learn dikonfirmasi tersedia, jika tidak maka QgsProcessingException dilempar dengan pesan yang informatif bagi pengguna.</w:t>
      </w:r>
    </w:p>
    <w:p>
      <w:r>
        <w:t xml:space="preserve"/>
      </w:r>
    </w:p>
    <w:p>
      <w:r>
        <w:br w:type="page"/>
      </w:r>
    </w:p>
    <w:p>
      <w:pPr>
        <w:pStyle w:val="Heading1"/>
      </w:pPr>
      <w:r>
        <w:rPr>
          <w:b/>
          <w:bCs/>
          <w:color w:val="1B5E20"/>
          <w:sz w:val="32"/>
          <w:szCs w:val="32"/>
        </w:rPr>
        <w:t xml:space="preserve">BAB VII — DIAGRAM ALIR</w:t>
      </w:r>
    </w:p>
    <w:p>
      <w:r>
        <w:t xml:space="preserve"/>
      </w:r>
    </w:p>
    <w:p>
      <w:pPr>
        <w:pStyle w:val="Heading2"/>
      </w:pPr>
      <w:r>
        <w:rPr>
          <w:b/>
          <w:bCs/>
          <w:color w:val="2E7D32"/>
          <w:sz w:val="26"/>
          <w:szCs w:val="26"/>
        </w:rPr>
        <w:t xml:space="preserve">7.1 Diagram Alir Proses Estimasi AGC</w:t>
      </w:r>
    </w:p>
    <w:p>
      <w:pPr>
        <w:spacing w:after="80" w:before="80" w:line="360"/>
        <w:jc w:val="both"/>
      </w:pPr>
      <w:r>
        <w:rPr>
          <w:b w:val="false"/>
          <w:bCs w:val="false"/>
          <w:i w:val="false"/>
          <w:iCs w:val="false"/>
          <w:sz w:val="24"/>
          <w:szCs w:val="24"/>
        </w:rPr>
        <w:t xml:space="preserve">Diagram alir berikut menggambarkan keseluruhan alur proses dari data masukan hingga peta prediksi AGC dan laporan statistik karbon:</w:t>
      </w:r>
    </w:p>
    <w:p>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2E7D32" w:sz="1"/>
              <w:left w:val="single" w:color="2E7D32" w:sz="1"/>
              <w:bottom w:val="single" w:color="2E7D32" w:sz="1"/>
              <w:right w:val="single" w:color="2E7D32" w:sz="1"/>
            </w:tcBorders>
            <w:shd w:fill="1B5E20" w:val="clear"/>
            <w:tcMar>
              <w:top w:type="dxa" w:w="120"/>
              <w:left w:type="dxa" w:w="200"/>
              <w:bottom w:type="dxa" w:w="120"/>
              <w:right w:type="dxa" w:w="200"/>
            </w:tcMar>
          </w:tcPr>
          <w:p>
            <w:pPr>
              <w:jc w:val="center"/>
            </w:pPr>
            <w:r>
              <w:rPr>
                <w:b/>
                <w:bCs/>
                <w:color w:val="FFFFFF"/>
                <w:sz w:val="26"/>
                <w:szCs w:val="26"/>
              </w:rPr>
              <w:t xml:space="preserve">START</w:t>
            </w:r>
          </w:p>
        </w:tc>
      </w:tr>
      <w:tr>
        <w:tc>
          <w:tcPr>
            <w:tcW w:type="dxa" w:w="8000"/>
            <w:tcBorders>
              <w:top w:val="single" w:color="AAAAAA" w:sz="1"/>
              <w:left w:val="single" w:color="AAAAAA" w:sz="1"/>
              <w:bottom w:val="single" w:color="AAAAAA" w:sz="1"/>
              <w:right w:val="single" w:color="AAAAAA" w:sz="1"/>
            </w:tcBorders>
            <w:shd w:fill="E8F5E9" w:val="clear"/>
            <w:tcMar>
              <w:top w:type="dxa" w:w="100"/>
              <w:left w:type="dxa" w:w="200"/>
              <w:bottom w:type="dxa" w:w="100"/>
              <w:right w:type="dxa" w:w="200"/>
            </w:tcMar>
          </w:tcPr>
          <w:p>
            <w:pPr>
              <w:jc w:val="center"/>
            </w:pPr>
            <w:r>
              <w:rPr>
                <w:sz w:val="22"/>
                <w:szCs w:val="22"/>
              </w:rPr>
              <w:t xml:space="preserve">INPUT: Citra Sentinel-2 Band 4 (Red) + Band 8 (NIR)</w:t>
            </w:r>
          </w:p>
        </w:tc>
      </w:tr>
      <w:tr>
        <w:tc>
          <w:tcPr>
            <w:tcW w:type="dxa" w:w="8000"/>
            <w:tcBorders>
              <w:top w:val="single" w:color="AAAAAA" w:sz="1"/>
              <w:left w:val="single" w:color="AAAAAA" w:sz="1"/>
              <w:bottom w:val="single" w:color="AAAAAA" w:sz="1"/>
              <w:right w:val="single" w:color="AAAAAA" w:sz="1"/>
            </w:tcBorders>
            <w:shd w:fill="E8F5E9" w:val="clear"/>
            <w:tcMar>
              <w:top w:type="dxa" w:w="100"/>
              <w:left w:type="dxa" w:w="200"/>
              <w:bottom w:type="dxa" w:w="100"/>
              <w:right w:type="dxa" w:w="200"/>
            </w:tcMar>
          </w:tcPr>
          <w:p>
            <w:pPr>
              <w:jc w:val="center"/>
            </w:pPr>
            <w:r>
              <w:rPr>
                <w:sz w:val="22"/>
                <w:szCs w:val="22"/>
              </w:rPr>
              <w:t xml:space="preserve">INPUT: Vektor Titik Sampel dengan Atribut AGB (ton/ha)</w:t>
            </w:r>
          </w:p>
        </w:tc>
      </w:tr>
      <w:tr>
        <w:tc>
          <w:tcPr>
            <w:tcW w:type="dxa" w:w="8000"/>
            <w:tcBorders>
              <w:top w:val="single" w:color="2E7D32" w:sz="1"/>
              <w:left w:val="single" w:color="2E7D32" w:sz="1"/>
              <w:bottom w:val="single" w:color="2E7D32" w:sz="1"/>
              <w:right w:val="single" w:color="2E7D32" w:sz="1"/>
            </w:tcBorders>
            <w:shd w:fill="2E7D32" w:val="clear"/>
            <w:tcMar>
              <w:top w:type="dxa" w:w="100"/>
              <w:left w:type="dxa" w:w="200"/>
              <w:bottom w:type="dxa" w:w="100"/>
              <w:right w:type="dxa" w:w="200"/>
            </w:tcMar>
          </w:tcPr>
          <w:p>
            <w:pPr>
              <w:jc w:val="center"/>
            </w:pPr>
            <w:r>
              <w:rPr>
                <w:b/>
                <w:bCs/>
                <w:color w:val="FFFFFF"/>
                <w:sz w:val="22"/>
                <w:szCs w:val="22"/>
              </w:rPr>
              <w:t xml:space="preserve">PROSES 1: Ekstraksi Nilai Piksel (native:rastersampling)</w:t>
            </w:r>
          </w:p>
        </w:tc>
      </w:tr>
      <w:tr>
        <w:tc>
          <w:tcPr>
            <w:tcW w:type="dxa" w:w="8000"/>
            <w:tcBorders>
              <w:top w:val="single" w:color="AAAAAA" w:sz="1"/>
              <w:left w:val="single" w:color="AAAAAA" w:sz="1"/>
              <w:bottom w:val="single" w:color="AAAAAA" w:sz="1"/>
              <w:right w:val="single" w:color="AAAAAA" w:sz="1"/>
            </w:tcBorders>
            <w:shd w:fill="F1F8E9" w:val="clear"/>
            <w:tcMar>
              <w:top w:type="dxa" w:w="100"/>
              <w:left w:type="dxa" w:w="200"/>
              <w:bottom w:type="dxa" w:w="100"/>
              <w:right w:type="dxa" w:w="200"/>
            </w:tcMar>
          </w:tcPr>
          <w:p>
            <w:pPr>
              <w:jc w:val="center"/>
            </w:pPr>
            <w:r>
              <w:rPr>
                <w:i/>
                <w:iCs/>
                <w:sz w:val="22"/>
                <w:szCs w:val="22"/>
              </w:rPr>
              <w:t xml:space="preserve">Ekstrak RED_1 &amp; NIR_1 pada setiap titik sampel</w:t>
            </w:r>
          </w:p>
        </w:tc>
      </w:tr>
      <w:tr>
        <w:tc>
          <w:tcPr>
            <w:tcW w:type="dxa" w:w="8000"/>
            <w:tcBorders>
              <w:top w:val="single" w:color="2E7D32" w:sz="1"/>
              <w:left w:val="single" w:color="2E7D32" w:sz="1"/>
              <w:bottom w:val="single" w:color="2E7D32" w:sz="1"/>
              <w:right w:val="single" w:color="2E7D32" w:sz="1"/>
            </w:tcBorders>
            <w:shd w:fill="2E7D32" w:val="clear"/>
            <w:tcMar>
              <w:top w:type="dxa" w:w="100"/>
              <w:left w:type="dxa" w:w="200"/>
              <w:bottom w:type="dxa" w:w="100"/>
              <w:right w:type="dxa" w:w="200"/>
            </w:tcMar>
          </w:tcPr>
          <w:p>
            <w:pPr>
              <w:jc w:val="center"/>
            </w:pPr>
            <w:r>
              <w:rPr>
                <w:b/>
                <w:bCs/>
                <w:color w:val="FFFFFF"/>
                <w:sz w:val="22"/>
                <w:szCs w:val="22"/>
              </w:rPr>
              <w:t xml:space="preserve">PROSES 2: Konstruksi Fitur &amp; Konversi AGB ke AGC</w:t>
            </w:r>
          </w:p>
        </w:tc>
      </w:tr>
      <w:tr>
        <w:tc>
          <w:tcPr>
            <w:tcW w:type="dxa" w:w="8000"/>
            <w:tcBorders>
              <w:top w:val="single" w:color="AAAAAA" w:sz="1"/>
              <w:left w:val="single" w:color="AAAAAA" w:sz="1"/>
              <w:bottom w:val="single" w:color="AAAAAA" w:sz="1"/>
              <w:right w:val="single" w:color="AAAAAA" w:sz="1"/>
            </w:tcBorders>
            <w:shd w:fill="F1F8E9" w:val="clear"/>
            <w:tcMar>
              <w:top w:type="dxa" w:w="100"/>
              <w:left w:type="dxa" w:w="200"/>
              <w:bottom w:type="dxa" w:w="100"/>
              <w:right w:type="dxa" w:w="200"/>
            </w:tcMar>
          </w:tcPr>
          <w:p>
            <w:pPr>
              <w:jc w:val="center"/>
            </w:pPr>
            <w:r>
              <w:rPr>
                <w:i/>
                <w:iCs/>
                <w:sz w:val="22"/>
                <w:szCs w:val="22"/>
              </w:rPr>
              <w:t xml:space="preserve">Hitung NDVI = (NIR - Red) / (NIR + Red)</w:t>
            </w:r>
          </w:p>
          <w:p>
            <w:pPr>
              <w:jc w:val="center"/>
            </w:pPr>
            <w:r>
              <w:rPr>
                <w:i/>
                <w:iCs/>
                <w:sz w:val="22"/>
                <w:szCs w:val="22"/>
              </w:rPr>
              <w:t xml:space="preserve">Hitung AGC = AGB x 0,47</w:t>
            </w:r>
          </w:p>
          <w:p>
            <w:pPr>
              <w:jc w:val="center"/>
            </w:pPr>
            <w:r>
              <w:rPr>
                <w:i/>
                <w:iCs/>
                <w:sz w:val="22"/>
                <w:szCs w:val="22"/>
              </w:rPr>
              <w:t xml:space="preserve">Buat Matriks X = [Red, NIR, NDVI] | y = [AGC]</w:t>
            </w:r>
          </w:p>
        </w:tc>
      </w:tr>
      <w:tr>
        <w:tc>
          <w:tcPr>
            <w:tcW w:type="dxa" w:w="8000"/>
            <w:tcBorders>
              <w:top w:val="single" w:color="2E7D32" w:sz="1"/>
              <w:left w:val="single" w:color="2E7D32" w:sz="1"/>
              <w:bottom w:val="single" w:color="2E7D32" w:sz="1"/>
              <w:right w:val="single" w:color="2E7D32" w:sz="1"/>
            </w:tcBorders>
            <w:shd w:fill="2E7D32" w:val="clear"/>
            <w:tcMar>
              <w:top w:type="dxa" w:w="100"/>
              <w:left w:type="dxa" w:w="200"/>
              <w:bottom w:type="dxa" w:w="100"/>
              <w:right w:type="dxa" w:w="200"/>
            </w:tcMar>
          </w:tcPr>
          <w:p>
            <w:pPr>
              <w:jc w:val="center"/>
            </w:pPr>
            <w:r>
              <w:rPr>
                <w:b/>
                <w:bCs/>
                <w:color w:val="FFFFFF"/>
                <w:sz w:val="22"/>
                <w:szCs w:val="22"/>
              </w:rPr>
              <w:t xml:space="preserve">PROSES 3: Training Random Forest (70% data latih)</w:t>
            </w:r>
          </w:p>
        </w:tc>
      </w:tr>
      <w:tr>
        <w:tc>
          <w:tcPr>
            <w:tcW w:type="dxa" w:w="8000"/>
            <w:tcBorders>
              <w:top w:val="single" w:color="AAAAAA" w:sz="1"/>
              <w:left w:val="single" w:color="AAAAAA" w:sz="1"/>
              <w:bottom w:val="single" w:color="AAAAAA" w:sz="1"/>
              <w:right w:val="single" w:color="AAAAAA" w:sz="1"/>
            </w:tcBorders>
            <w:shd w:fill="FFF8E1" w:val="clear"/>
            <w:tcMar>
              <w:top w:type="dxa" w:w="100"/>
              <w:left w:type="dxa" w:w="200"/>
              <w:bottom w:type="dxa" w:w="100"/>
              <w:right w:type="dxa" w:w="200"/>
            </w:tcMar>
          </w:tcPr>
          <w:p>
            <w:pPr>
              <w:jc w:val="center"/>
            </w:pPr>
            <w:r>
              <w:rPr>
                <w:i/>
                <w:iCs/>
                <w:sz w:val="22"/>
                <w:szCs w:val="22"/>
              </w:rPr>
              <w:t xml:space="preserve">n_estimators=100 | random_state=42</w:t>
            </w:r>
          </w:p>
          <w:p>
            <w:pPr>
              <w:jc w:val="center"/>
            </w:pPr>
            <w:r>
              <w:rPr>
                <w:i/>
                <w:iCs/>
                <w:sz w:val="22"/>
                <w:szCs w:val="22"/>
              </w:rPr>
              <w:t xml:space="preserve">Evaluasi pada 30% data uji: R2 &amp; RMSE</w:t>
            </w:r>
          </w:p>
        </w:tc>
      </w:tr>
      <w:tr>
        <w:tc>
          <w:tcPr>
            <w:tcW w:type="dxa" w:w="8000"/>
            <w:tcBorders>
              <w:top w:val="single" w:color="2E7D32" w:sz="1"/>
              <w:left w:val="single" w:color="2E7D32" w:sz="1"/>
              <w:bottom w:val="single" w:color="2E7D32" w:sz="1"/>
              <w:right w:val="single" w:color="2E7D32" w:sz="1"/>
            </w:tcBorders>
            <w:shd w:fill="2E7D32" w:val="clear"/>
            <w:tcMar>
              <w:top w:type="dxa" w:w="100"/>
              <w:left w:type="dxa" w:w="200"/>
              <w:bottom w:type="dxa" w:w="100"/>
              <w:right w:type="dxa" w:w="200"/>
            </w:tcMar>
          </w:tcPr>
          <w:p>
            <w:pPr>
              <w:jc w:val="center"/>
            </w:pPr>
            <w:r>
              <w:rPr>
                <w:b/>
                <w:bCs/>
                <w:color w:val="FFFFFF"/>
                <w:sz w:val="22"/>
                <w:szCs w:val="22"/>
              </w:rPr>
              <w:t xml:space="preserve">PROSES 4: Prediksi Raster — Row by Row via GDAL</w:t>
            </w:r>
          </w:p>
        </w:tc>
      </w:tr>
      <w:tr>
        <w:tc>
          <w:tcPr>
            <w:tcW w:type="dxa" w:w="8000"/>
            <w:tcBorders>
              <w:top w:val="single" w:color="AAAAAA" w:sz="1"/>
              <w:left w:val="single" w:color="AAAAAA" w:sz="1"/>
              <w:bottom w:val="single" w:color="AAAAAA" w:sz="1"/>
              <w:right w:val="single" w:color="AAAAAA" w:sz="1"/>
            </w:tcBorders>
            <w:shd w:fill="F1F8E9" w:val="clear"/>
            <w:tcMar>
              <w:top w:type="dxa" w:w="100"/>
              <w:left w:type="dxa" w:w="200"/>
              <w:bottom w:type="dxa" w:w="100"/>
              <w:right w:type="dxa" w:w="200"/>
            </w:tcMar>
          </w:tcPr>
          <w:p>
            <w:pPr>
              <w:jc w:val="center"/>
            </w:pPr>
            <w:r>
              <w:rPr>
                <w:i/>
                <w:iCs/>
                <w:sz w:val="22"/>
                <w:szCs w:val="22"/>
              </w:rPr>
              <w:t xml:space="preserve">Baca piksel Red &amp; NIR per baris</w:t>
            </w:r>
          </w:p>
          <w:p>
            <w:pPr>
              <w:jc w:val="center"/>
            </w:pPr>
            <w:r>
              <w:rPr>
                <w:i/>
                <w:iCs/>
                <w:sz w:val="22"/>
                <w:szCs w:val="22"/>
              </w:rPr>
              <w:t xml:space="preserve">Hitung NDVI per piksel</w:t>
            </w:r>
          </w:p>
          <w:p>
            <w:pPr>
              <w:jc w:val="center"/>
            </w:pPr>
            <w:r>
              <w:rPr>
                <w:i/>
                <w:iCs/>
                <w:sz w:val="22"/>
                <w:szCs w:val="22"/>
              </w:rPr>
              <w:t xml:space="preserve">Prediksi AGC = RF.predict([Red, NIR, NDVI])</w:t>
            </w:r>
          </w:p>
          <w:p>
            <w:pPr>
              <w:jc w:val="center"/>
            </w:pPr>
            <w:r>
              <w:rPr>
                <w:i/>
                <w:iCs/>
                <w:sz w:val="22"/>
                <w:szCs w:val="22"/>
              </w:rPr>
              <w:t xml:space="preserve">Tulis baris ke GeoTIFF output</w:t>
            </w:r>
          </w:p>
        </w:tc>
      </w:tr>
      <w:tr>
        <w:tc>
          <w:tcPr>
            <w:tcW w:type="dxa" w:w="8000"/>
            <w:tcBorders>
              <w:top w:val="single" w:color="2E7D32" w:sz="1"/>
              <w:left w:val="single" w:color="2E7D32" w:sz="1"/>
              <w:bottom w:val="single" w:color="2E7D32" w:sz="1"/>
              <w:right w:val="single" w:color="2E7D32" w:sz="1"/>
            </w:tcBorders>
            <w:shd w:fill="1B5E20" w:val="clear"/>
            <w:tcMar>
              <w:top w:type="dxa" w:w="100"/>
              <w:left w:type="dxa" w:w="200"/>
              <w:bottom w:type="dxa" w:w="100"/>
              <w:right w:type="dxa" w:w="200"/>
            </w:tcMar>
          </w:tcPr>
          <w:p>
            <w:pPr>
              <w:jc w:val="center"/>
            </w:pPr>
            <w:r>
              <w:rPr>
                <w:b/>
                <w:bCs/>
                <w:color w:val="FFFFFF"/>
                <w:sz w:val="22"/>
                <w:szCs w:val="22"/>
              </w:rPr>
              <w:t xml:space="preserve">OUTPUT: Peta Raster AGC + Laporan Statistik Karbon</w:t>
            </w:r>
          </w:p>
        </w:tc>
      </w:tr>
      <w:tr>
        <w:tc>
          <w:tcPr>
            <w:tcW w:type="dxa" w:w="8000"/>
            <w:tcBorders>
              <w:top w:val="single" w:color="2E7D32" w:sz="1"/>
              <w:left w:val="single" w:color="2E7D32" w:sz="1"/>
              <w:bottom w:val="single" w:color="2E7D32" w:sz="1"/>
              <w:right w:val="single" w:color="2E7D32" w:sz="1"/>
            </w:tcBorders>
            <w:shd w:fill="1B5E20" w:val="clear"/>
            <w:tcMar>
              <w:top w:type="dxa" w:w="120"/>
              <w:left w:type="dxa" w:w="200"/>
              <w:bottom w:type="dxa" w:w="120"/>
              <w:right w:type="dxa" w:w="200"/>
            </w:tcMar>
          </w:tcPr>
          <w:p>
            <w:pPr>
              <w:jc w:val="center"/>
            </w:pPr>
            <w:r>
              <w:rPr>
                <w:b/>
                <w:bCs/>
                <w:color w:val="FFFFFF"/>
                <w:sz w:val="26"/>
                <w:szCs w:val="26"/>
              </w:rPr>
              <w:t xml:space="preserve">END</w:t>
            </w:r>
          </w:p>
        </w:tc>
      </w:tr>
    </w:tbl>
    <w:p>
      <w:r>
        <w:t xml:space="preserve"/>
      </w:r>
    </w:p>
    <w:p>
      <w:pPr>
        <w:spacing w:after="80" w:before="80" w:line="360"/>
        <w:jc w:val="both"/>
      </w:pPr>
      <w:r>
        <w:rPr>
          <w:b w:val="false"/>
          <w:bCs w:val="false"/>
          <w:i w:val="false"/>
          <w:iCs w:val="false"/>
          <w:sz w:val="24"/>
          <w:szCs w:val="24"/>
        </w:rPr>
        <w:t xml:space="preserve">Keterangan: Kotak hijau tua menunjukkan tahap proses utama, kotak hijau muda menunjukkan sub-proses atau detail kalkulasi, dan kotak kuning muda menunjukkan tahap evaluasi model.</w:t>
      </w:r>
    </w:p>
    <w:p>
      <w:r>
        <w:t xml:space="preserve"/>
      </w:r>
    </w:p>
    <w:p>
      <w:r>
        <w:br w:type="page"/>
      </w:r>
    </w:p>
    <w:p>
      <w:pPr>
        <w:pStyle w:val="Heading1"/>
      </w:pPr>
      <w:r>
        <w:rPr>
          <w:b/>
          <w:bCs/>
          <w:color w:val="1B5E20"/>
          <w:sz w:val="32"/>
          <w:szCs w:val="32"/>
        </w:rPr>
        <w:t xml:space="preserve">BAB VIII — KESIMPULAN DAN SARAN</w:t>
      </w:r>
    </w:p>
    <w:p>
      <w:r>
        <w:t xml:space="preserve"/>
      </w:r>
    </w:p>
    <w:p>
      <w:pPr>
        <w:pStyle w:val="Heading2"/>
      </w:pPr>
      <w:r>
        <w:rPr>
          <w:b/>
          <w:bCs/>
          <w:color w:val="2E7D32"/>
          <w:sz w:val="26"/>
          <w:szCs w:val="26"/>
        </w:rPr>
        <w:t xml:space="preserve">8.1 Kesimpulan</w:t>
      </w:r>
    </w:p>
    <w:p>
      <w:pPr>
        <w:spacing w:after="80" w:before="80" w:line="360"/>
        <w:jc w:val="both"/>
      </w:pPr>
      <w:r>
        <w:rPr>
          <w:b w:val="false"/>
          <w:bCs w:val="false"/>
          <w:i w:val="false"/>
          <w:iCs w:val="false"/>
          <w:sz w:val="24"/>
          <w:szCs w:val="24"/>
        </w:rPr>
        <w:t xml:space="preserve">Dari praktikum ini dapat disimpulkan beberapa hal penting:</w:t>
      </w:r>
    </w:p>
    <w:p>
      <w:pPr>
        <w:pStyle w:val="ListParagraph"/>
        <w:numPr>
          <w:ilvl w:val="0"/>
          <w:numId w:val="2"/>
        </w:numPr>
        <w:spacing w:after="60" w:before="60"/>
      </w:pPr>
      <w:r>
        <w:rPr>
          <w:sz w:val="24"/>
          <w:szCs w:val="24"/>
        </w:rPr>
        <w:t xml:space="preserve">Estimasi stok karbon mangrove (AGC) dapat dilakukan secara spasial dengan memanfaatkan data spektral citra Sentinel-2 melalui konversi bertahap: nilai piksel Red/NIR -&gt; NDVI -&gt; model RF -&gt; prediksi AGC berbasis konversi AGB x 0,47.</w:t>
      </w:r>
    </w:p>
    <w:p>
      <w:pPr>
        <w:pStyle w:val="ListParagraph"/>
        <w:numPr>
          <w:ilvl w:val="0"/>
          <w:numId w:val="2"/>
        </w:numPr>
        <w:spacing w:after="60" w:before="60"/>
      </w:pPr>
      <w:r>
        <w:rPr>
          <w:sz w:val="24"/>
          <w:szCs w:val="24"/>
        </w:rPr>
        <w:t xml:space="preserve">Geokomputasi memberikan keunggulan signifikan berupa skalabilitas (pemrosesan jutaan piksel), reproduksibilitas (workflow terkodekan), dan demokratisasi analisis kompleks melalui antarmuka grafis QGIS.</w:t>
      </w:r>
    </w:p>
    <w:p>
      <w:pPr>
        <w:pStyle w:val="ListParagraph"/>
        <w:numPr>
          <w:ilvl w:val="0"/>
          <w:numId w:val="2"/>
        </w:numPr>
        <w:spacing w:after="60" w:before="60"/>
      </w:pPr>
      <w:r>
        <w:rPr>
          <w:sz w:val="24"/>
          <w:szCs w:val="24"/>
        </w:rPr>
        <w:t xml:space="preserve">Antarmuka Processing Algorithm QGIS menyediakan cara yang intuitif bagi pengguna untuk mengoperasikan model machine learning tanpa perlu keahlian pemrograman, dengan parameter yang jelas dan output langsung terintegrasi ke dalam proyek GIS.</w:t>
      </w:r>
    </w:p>
    <w:p>
      <w:pPr>
        <w:pStyle w:val="ListParagraph"/>
        <w:numPr>
          <w:ilvl w:val="0"/>
          <w:numId w:val="2"/>
        </w:numPr>
        <w:spacing w:after="60" w:before="60"/>
      </w:pPr>
      <w:r>
        <w:rPr>
          <w:sz w:val="24"/>
          <w:szCs w:val="24"/>
        </w:rPr>
        <w:t xml:space="preserve">Arsitektur skrip Python mengikuti pola QgsProcessingAlgorithm yang modular dengan pemisahan jelas antara definisi parameter (initAlgorithm), logika inti (processAlgorithm), dan penanganan I/O raster (GDAL).</w:t>
      </w:r>
    </w:p>
    <w:p>
      <w:pPr>
        <w:pStyle w:val="ListParagraph"/>
        <w:numPr>
          <w:ilvl w:val="0"/>
          <w:numId w:val="2"/>
        </w:numPr>
        <w:spacing w:after="60" w:before="60"/>
      </w:pPr>
      <w:r>
        <w:rPr>
          <w:sz w:val="24"/>
          <w:szCs w:val="24"/>
        </w:rPr>
        <w:t xml:space="preserve">Diagram alir menunjukkan bahwa proses terdiri dari 4 blok utama yang berurutan: ekstraksi piksel, konstruksi fitur, training RF, dan prediksi raster, dengan umpan balik evaluasi model sebelum prediksi skala penuh.</w:t>
      </w:r>
    </w:p>
    <w:p>
      <w:r>
        <w:t xml:space="preserve"/>
      </w:r>
    </w:p>
    <w:p>
      <w:pPr>
        <w:pStyle w:val="Heading2"/>
      </w:pPr>
      <w:r>
        <w:rPr>
          <w:b/>
          <w:bCs/>
          <w:color w:val="2E7D32"/>
          <w:sz w:val="26"/>
          <w:szCs w:val="26"/>
        </w:rPr>
        <w:t xml:space="preserve">8.2 Saran</w:t>
      </w:r>
    </w:p>
    <w:p>
      <w:pPr>
        <w:pStyle w:val="ListParagraph"/>
        <w:numPr>
          <w:ilvl w:val="0"/>
          <w:numId w:val="3"/>
        </w:numPr>
      </w:pPr>
      <w:r>
        <w:rPr>
          <w:sz w:val="24"/>
          <w:szCs w:val="24"/>
        </w:rPr>
        <w:t xml:space="preserve">Penambahan parameter untuk mengatur hyperparameter Random Forest (n_estimators, max_depth, min_samples_split) akan meningkatkan fleksibilitas dan akurasi model.</w:t>
      </w:r>
    </w:p>
    <w:p>
      <w:pPr>
        <w:pStyle w:val="ListParagraph"/>
        <w:numPr>
          <w:ilvl w:val="0"/>
          <w:numId w:val="3"/>
        </w:numPr>
      </w:pPr>
      <w:r>
        <w:rPr>
          <w:sz w:val="24"/>
          <w:szCs w:val="24"/>
        </w:rPr>
        <w:t xml:space="preserve">Integrasi variabel fitur tambahan seperti SAVI, EVI, atau band tekstur (GLCM) dapat meningkatkan performa model di area dengan keragaman struktur kanopi yang tinggi.</w:t>
      </w:r>
    </w:p>
    <w:p>
      <w:pPr>
        <w:pStyle w:val="ListParagraph"/>
        <w:numPr>
          <w:ilvl w:val="0"/>
          <w:numId w:val="3"/>
        </w:numPr>
      </w:pPr>
      <w:r>
        <w:rPr>
          <w:sz w:val="24"/>
          <w:szCs w:val="24"/>
        </w:rPr>
        <w:t xml:space="preserve">Implementasi validasi silang (k-fold cross-validation) akan memberikan estimasi performa model yang lebih robust dibandingkan single train-test split.</w:t>
      </w:r>
    </w:p>
    <w:p>
      <w:pPr>
        <w:pStyle w:val="ListParagraph"/>
        <w:numPr>
          <w:ilvl w:val="0"/>
          <w:numId w:val="3"/>
        </w:numPr>
      </w:pPr>
      <w:r>
        <w:rPr>
          <w:sz w:val="24"/>
          <w:szCs w:val="24"/>
        </w:rPr>
        <w:t xml:space="preserve">Penambahan fitur ekspor laporan otomatis ke PDF akan memudahkan diseminasi hasil analisis kepada pemangku kepentingan non-teknis.</w:t>
      </w:r>
    </w:p>
    <w:p>
      <w:r>
        <w:t xml:space="preserve"/>
      </w:r>
    </w:p>
    <w:p>
      <w:r>
        <w:br w:type="page"/>
      </w:r>
    </w:p>
    <w:p>
      <w:pPr>
        <w:pStyle w:val="Heading1"/>
      </w:pPr>
      <w:r>
        <w:rPr>
          <w:b/>
          <w:bCs/>
          <w:color w:val="1B5E20"/>
          <w:sz w:val="32"/>
          <w:szCs w:val="32"/>
        </w:rPr>
        <w:t xml:space="preserve">DAFTAR PUSTAKA</w:t>
      </w:r>
    </w:p>
    <w:p>
      <w:r>
        <w:t xml:space="preserve"/>
      </w:r>
    </w:p>
    <w:p>
      <w:pPr>
        <w:spacing w:after="80" w:before="80" w:line="360"/>
        <w:jc w:val="both"/>
      </w:pPr>
      <w:r>
        <w:rPr>
          <w:b w:val="false"/>
          <w:bCs w:val="false"/>
          <w:i w:val="false"/>
          <w:iCs w:val="false"/>
          <w:sz w:val="24"/>
          <w:szCs w:val="24"/>
        </w:rPr>
        <w:t xml:space="preserve">Breiman, L. (2001). Random Forests. Machine Learning, 45(1), 5-32.</w:t>
      </w:r>
    </w:p>
    <w:p>
      <w:pPr>
        <w:spacing w:after="80" w:before="80" w:line="360"/>
        <w:jc w:val="both"/>
      </w:pPr>
      <w:r>
        <w:rPr>
          <w:b w:val="false"/>
          <w:bCs w:val="false"/>
          <w:i w:val="false"/>
          <w:iCs w:val="false"/>
          <w:sz w:val="24"/>
          <w:szCs w:val="24"/>
        </w:rPr>
        <w:t xml:space="preserve">IPCC. (2006). IPCC Guidelines for National Greenhouse Gas Inventories, Volume 4: Agriculture, Forestry and Other Land Use. Intergovernmental Panel on Climate Change.</w:t>
      </w:r>
    </w:p>
    <w:p>
      <w:pPr>
        <w:spacing w:after="80" w:before="80" w:line="360"/>
        <w:jc w:val="both"/>
      </w:pPr>
      <w:r>
        <w:rPr>
          <w:b w:val="false"/>
          <w:bCs w:val="false"/>
          <w:i w:val="false"/>
          <w:iCs w:val="false"/>
          <w:sz w:val="24"/>
          <w:szCs w:val="24"/>
        </w:rPr>
        <w:t xml:space="preserve">Komiyama, A., Ong, J. E., &amp; Poungparn, S. (2008). Allometry, biomass, and productivity of mangrove forests: A review. Aquatic Botany, 89(2), 128-137.</w:t>
      </w:r>
    </w:p>
    <w:p>
      <w:pPr>
        <w:spacing w:after="80" w:before="80" w:line="360"/>
        <w:jc w:val="both"/>
      </w:pPr>
      <w:r>
        <w:rPr>
          <w:b w:val="false"/>
          <w:bCs w:val="false"/>
          <w:i w:val="false"/>
          <w:iCs w:val="false"/>
          <w:sz w:val="24"/>
          <w:szCs w:val="24"/>
        </w:rPr>
        <w:t xml:space="preserve">QGIS Development Team. (2023). QGIS Geographic Information System. Open Source Geospatial Foundation. http://qgis.org</w:t>
      </w:r>
    </w:p>
    <w:p>
      <w:pPr>
        <w:spacing w:after="80" w:before="80" w:line="360"/>
        <w:jc w:val="both"/>
      </w:pPr>
      <w:r>
        <w:rPr>
          <w:b w:val="false"/>
          <w:bCs w:val="false"/>
          <w:i w:val="false"/>
          <w:iCs w:val="false"/>
          <w:sz w:val="24"/>
          <w:szCs w:val="24"/>
        </w:rPr>
        <w:t xml:space="preserve">Pedregosa, F. et al. (2011). Scikit-learn: Machine Learning in Python. Journal of Machine Learning Research, 12, 2825-2830.</w:t>
      </w:r>
    </w:p>
    <w:p>
      <w:pPr>
        <w:spacing w:after="80" w:before="80" w:line="360"/>
        <w:jc w:val="both"/>
      </w:pPr>
      <w:r>
        <w:rPr>
          <w:b w:val="false"/>
          <w:bCs w:val="false"/>
          <w:i w:val="false"/>
          <w:iCs w:val="false"/>
          <w:sz w:val="24"/>
          <w:szCs w:val="24"/>
        </w:rPr>
        <w:t xml:space="preserve">Rouse, J. W. et al. (1974). Monitoring Vegetation Systems in the Great Plains with ERTS. Proceedings of the Third ERTS Symposium, 1, 309-317.</w:t>
      </w:r>
    </w:p>
    <w:p>
      <w:pPr>
        <w:spacing w:after="80" w:before="80" w:line="360"/>
        <w:jc w:val="both"/>
      </w:pPr>
      <w:r>
        <w:rPr>
          <w:b w:val="false"/>
          <w:bCs w:val="false"/>
          <w:i w:val="false"/>
          <w:iCs w:val="false"/>
          <w:sz w:val="24"/>
          <w:szCs w:val="24"/>
        </w:rPr>
        <w:t xml:space="preserve">Sasmito, S. D. et al. (2020). Mangrove blue carbon stocks and dynamics are controlled by hydrogeomorphic settings and land-use legacies. Ecological Indicators, 116, 106417.</w:t>
      </w:r>
    </w:p>
    <w:p>
      <w:pPr>
        <w:spacing w:after="80" w:before="80" w:line="360"/>
        <w:jc w:val="both"/>
      </w:pPr>
      <w:r>
        <w:rPr>
          <w:b w:val="false"/>
          <w:bCs w:val="false"/>
          <w:i w:val="false"/>
          <w:iCs w:val="false"/>
          <w:sz w:val="24"/>
          <w:szCs w:val="24"/>
        </w:rPr>
        <w:t xml:space="preserve">GDAL/OGR contributors. (2023). GDAL/OGR Geospatial Data Abstraction software Library. Open Source Geospatial Foundation. https://gdal.org</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2026-05-06T05:15:32.343Z</dcterms:created>
  <dcterms:modified xsi:type="dcterms:W3CDTF">2026-05-06T05:15:32.344Z</dcterms:modified>
</cp:coreProperties>
</file>

<file path=docProps/custom.xml><?xml version="1.0" encoding="utf-8"?>
<Properties xmlns="http://schemas.openxmlformats.org/officeDocument/2006/custom-properties" xmlns:vt="http://schemas.openxmlformats.org/officeDocument/2006/docPropsVTypes"/>
</file>