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5BAF0" w14:textId="77777777" w:rsidR="00BB618D" w:rsidRDefault="001B07B8">
      <w:pPr>
        <w:pStyle w:val="FirstParagraph"/>
      </w:pPr>
      <w:r>
        <w:t>[ARTICLE TYPE: Tools and Datasets Article]</w:t>
      </w:r>
    </w:p>
    <w:p w14:paraId="5505BAF1" w14:textId="77777777" w:rsidR="00BB618D" w:rsidRDefault="001B07B8">
      <w:pPr>
        <w:pStyle w:val="1"/>
      </w:pPr>
      <w:bookmarkStart w:id="0" w:name="X913088592d6b113a1ae894cd689bc584f7cca10"/>
      <w:r>
        <w:t>Teaching Sonata Form Through Synchronized Visualization: Mozart’s K. 545</w:t>
      </w:r>
    </w:p>
    <w:p w14:paraId="5505BAF2" w14:textId="77777777" w:rsidR="00BB618D" w:rsidRDefault="001B07B8">
      <w:pPr>
        <w:pStyle w:val="FirstParagraph"/>
      </w:pPr>
      <w:r>
        <w:rPr>
          <w:i/>
          <w:iCs/>
        </w:rPr>
        <w:t xml:space="preserve">[Author details are not included in this manuscript file as the peer </w:t>
      </w:r>
      <w:r>
        <w:rPr>
          <w:i/>
          <w:iCs/>
        </w:rPr>
        <w:t>review process is blinded. Author names, affiliations, contact details and ORCIDs are provided via the online submission system.]</w:t>
      </w:r>
    </w:p>
    <w:p w14:paraId="5505BAF3" w14:textId="77777777" w:rsidR="00BB618D" w:rsidRDefault="001B07B8">
      <w:pPr>
        <w:pStyle w:val="1"/>
      </w:pPr>
      <w:bookmarkStart w:id="1" w:name="abstract"/>
      <w:bookmarkEnd w:id="0"/>
      <w:r>
        <w:t>Abstract</w:t>
      </w:r>
    </w:p>
    <w:p w14:paraId="5505BAF4" w14:textId="77777777" w:rsidR="00BB618D" w:rsidRDefault="001B07B8">
      <w:pPr>
        <w:pStyle w:val="FirstParagraph"/>
      </w:pPr>
      <w:r>
        <w:t>Sonata form is a central topic in music-theory and music-history curricula, yet learners routinely report difficulty perceiving formal structure while listening: the hierarchical relation between sections, theme zones, and the moment-to-moment audio is not directly legible from a printed score. Existing computational tools for music visualization either treat formal annotations as auxiliary metadata rather than as first-class data, or have not been designed for the practical edge cases of learner-facing use</w:t>
      </w:r>
      <w:r>
        <w:t>, most prominently the performer-elected exposition repeat. We present an open-source, web-based tool that synchronizes a MusicXML score, audio playback, and a two-level formal-analysis layer (sections × theme zones) along a single timeline, demonstrated on Mozart’s Piano Sonata in C major, K. 545, first movement (73 measures). The system renders MusicXML through OpenSheetMusicDisplay and paints section and theme-zone colors directly onto the score at the measure level, and supports performer-elected exposi</w:t>
      </w:r>
      <w:r>
        <w:t>tion repeats through an explicit exposition-repeat folding map. Together, the tool and the released analysis schema provide an open infrastructure for both classroom teaching of formal hierarchy and downstream computational reuse on other works in the sonata-form repertoire.</w:t>
      </w:r>
    </w:p>
    <w:p w14:paraId="5505BAF5" w14:textId="77777777" w:rsidR="00BB618D" w:rsidRDefault="001B07B8">
      <w:pPr>
        <w:pStyle w:val="a0"/>
      </w:pPr>
      <w:r>
        <w:rPr>
          <w:b/>
          <w:bCs/>
        </w:rPr>
        <w:t>Word Count:</w:t>
      </w:r>
      <w:r>
        <w:t xml:space="preserve"> </w:t>
      </w:r>
      <w:r>
        <w:rPr>
          <w:i/>
          <w:iCs/>
        </w:rPr>
        <w:t>[to be inserted at final submission, current draft ≈ 6,100 words including references and appendix]</w:t>
      </w:r>
    </w:p>
    <w:p w14:paraId="5505BAF6" w14:textId="77777777" w:rsidR="00BB618D" w:rsidRDefault="001B07B8">
      <w:pPr>
        <w:pStyle w:val="a0"/>
      </w:pPr>
      <w:r>
        <w:rPr>
          <w:b/>
          <w:bCs/>
        </w:rPr>
        <w:t>Keywords:</w:t>
      </w:r>
      <w:r>
        <w:t xml:space="preserve"> sonata form; score-audio synchronization; MusicXML visualization; exposition-repeat folding; music education technology; Mozart K. 545</w:t>
      </w:r>
    </w:p>
    <w:p w14:paraId="5505BAF7" w14:textId="77777777" w:rsidR="00BB618D" w:rsidRDefault="001B07B8">
      <w:pPr>
        <w:pStyle w:val="1"/>
      </w:pPr>
      <w:bookmarkStart w:id="2" w:name="introduction"/>
      <w:bookmarkEnd w:id="1"/>
      <w:r>
        <w:t>1. Introduction</w:t>
      </w:r>
    </w:p>
    <w:p w14:paraId="5505BAF8" w14:textId="77777777" w:rsidR="00BB618D" w:rsidRDefault="001B07B8">
      <w:pPr>
        <w:pStyle w:val="2"/>
      </w:pPr>
      <w:bookmarkStart w:id="3" w:name="motivation"/>
      <w:r>
        <w:t>1.1 Motivation</w:t>
      </w:r>
    </w:p>
    <w:p w14:paraId="5505BAF9" w14:textId="77777777" w:rsidR="00BB618D" w:rsidRDefault="001B07B8">
      <w:pPr>
        <w:pStyle w:val="FirstParagraph"/>
      </w:pPr>
      <w:r>
        <w:t xml:space="preserve">Sonata form is the principal organizational principle of Western instrumental music from the late eighteenth century onwards and remains a central topic in music-theory and music-history curricula at both secondary and tertiary levels (Caplin, 2009; Hepokoski &amp; Darcy, 2006). Despite this curricular centrality, learners, including music-conservatory </w:t>
      </w:r>
      <w:r>
        <w:lastRenderedPageBreak/>
        <w:t>entrants, routinely report difficulty perceiving formal structure during listening (Cook, 1990; Margulis, 2014). This difficulty arises from at least three representational gaps:</w:t>
      </w:r>
    </w:p>
    <w:p w14:paraId="5505BAFA" w14:textId="77777777" w:rsidR="00BB618D" w:rsidRDefault="001B07B8">
      <w:pPr>
        <w:pStyle w:val="Compact"/>
        <w:numPr>
          <w:ilvl w:val="0"/>
          <w:numId w:val="2"/>
        </w:numPr>
      </w:pPr>
      <w:r>
        <w:rPr>
          <w:b/>
          <w:bCs/>
        </w:rPr>
        <w:t>The temporal–spatial gap.</w:t>
      </w:r>
      <w:r>
        <w:t xml:space="preserve"> Music unfolds in time, but notation is fixed in space. The learner must mentally bind the two.</w:t>
      </w:r>
    </w:p>
    <w:p w14:paraId="5505BAFB" w14:textId="77777777" w:rsidR="00BB618D" w:rsidRDefault="001B07B8">
      <w:pPr>
        <w:pStyle w:val="Compact"/>
        <w:numPr>
          <w:ilvl w:val="0"/>
          <w:numId w:val="2"/>
        </w:numPr>
      </w:pPr>
      <w:r>
        <w:rPr>
          <w:b/>
          <w:bCs/>
        </w:rPr>
        <w:t>Absence of “you-are-here” cues.</w:t>
      </w:r>
      <w:r>
        <w:t xml:space="preserve"> Listeners typically receive no visual indication of their current position within the formal scheme.</w:t>
      </w:r>
    </w:p>
    <w:p w14:paraId="5505BAFC" w14:textId="77777777" w:rsidR="00BB618D" w:rsidRDefault="001B07B8">
      <w:pPr>
        <w:pStyle w:val="Compact"/>
        <w:numPr>
          <w:ilvl w:val="0"/>
          <w:numId w:val="2"/>
        </w:numPr>
      </w:pPr>
      <w:r>
        <w:rPr>
          <w:b/>
          <w:bCs/>
        </w:rPr>
        <w:t>Flattening of hierarchy.</w:t>
      </w:r>
      <w:r>
        <w:t xml:space="preserve"> The hierarchy of section → theme zone → motive is not directly legible from the printed score; it relies on verbal explanation or post-hoc analysis.</w:t>
      </w:r>
    </w:p>
    <w:p w14:paraId="5505BAFD" w14:textId="77777777" w:rsidR="00BB618D" w:rsidRDefault="001B07B8">
      <w:pPr>
        <w:pStyle w:val="FirstParagraph"/>
      </w:pPr>
      <w:r>
        <w:t xml:space="preserve">Digital tools offer a route to closing these gaps through </w:t>
      </w:r>
      <w:r>
        <w:rPr>
          <w:i/>
          <w:iCs/>
        </w:rPr>
        <w:t>simultaneous representation</w:t>
      </w:r>
      <w:r>
        <w:t xml:space="preserve">. Computational visualization has shown analytic potential in the computer-musicology literature, but most existing tools are research-oriented and not aimed at classroom learners. Commercial platforms such as Soundslice and MuseScore Web provide score-following synchronized to audio, yet they do not treat </w:t>
      </w:r>
      <w:r>
        <w:rPr>
          <w:i/>
          <w:iCs/>
        </w:rPr>
        <w:t>formal analysis as a first-class data object</w:t>
      </w:r>
      <w:r>
        <w:t>: a learner cannot click a “secondary theme” label, jump to it, loop it, and see it foregrounded on the score in the same color it oc</w:t>
      </w:r>
      <w:r>
        <w:t>cupies on a timeline.</w:t>
      </w:r>
    </w:p>
    <w:p w14:paraId="5505BAFE" w14:textId="77777777" w:rsidR="00BB618D" w:rsidRDefault="001B07B8">
      <w:pPr>
        <w:pStyle w:val="a0"/>
      </w:pPr>
      <w:r>
        <w:t>This paper presents an open-source tool designed precisely to close that gap, evaluates its educational effect on undergraduate music-education majors, and releases its analytical data and source code under permissive licenses for community reuse.</w:t>
      </w:r>
    </w:p>
    <w:p w14:paraId="5505BAFF" w14:textId="77777777" w:rsidR="00BB618D" w:rsidRDefault="001B07B8">
      <w:pPr>
        <w:pStyle w:val="2"/>
      </w:pPr>
      <w:bookmarkStart w:id="4" w:name="research-questions"/>
      <w:bookmarkEnd w:id="3"/>
      <w:r>
        <w:t>1.2 Research Questions</w:t>
      </w:r>
    </w:p>
    <w:p w14:paraId="5505BB00" w14:textId="77777777" w:rsidR="00BB618D" w:rsidRDefault="001B07B8">
      <w:pPr>
        <w:pStyle w:val="Compact"/>
        <w:numPr>
          <w:ilvl w:val="0"/>
          <w:numId w:val="3"/>
        </w:numPr>
      </w:pPr>
      <w:r>
        <w:rPr>
          <w:b/>
          <w:bCs/>
        </w:rPr>
        <w:t>RQ1.</w:t>
      </w:r>
      <w:r>
        <w:t xml:space="preserve"> How should the synchronized visualization of score, audio, and formal analysis be designed to support effective learning of the hierarchical structure of sonata form?</w:t>
      </w:r>
    </w:p>
    <w:p w14:paraId="5505BB01" w14:textId="77777777" w:rsidR="00BB618D" w:rsidRDefault="001B07B8">
      <w:pPr>
        <w:pStyle w:val="Compact"/>
        <w:numPr>
          <w:ilvl w:val="0"/>
          <w:numId w:val="3"/>
        </w:numPr>
      </w:pPr>
      <w:r>
        <w:rPr>
          <w:b/>
          <w:bCs/>
        </w:rPr>
        <w:t>RQ2.</w:t>
      </w:r>
      <w:r>
        <w:t xml:space="preserve"> What pedagogical affordances does the first movement of Mozart’s K. 545 offer as a case piece, particularly its subdominant-recapitulation deformation?</w:t>
      </w:r>
    </w:p>
    <w:p w14:paraId="5505BB02" w14:textId="77777777" w:rsidR="00BB618D" w:rsidRDefault="001B07B8">
      <w:pPr>
        <w:pStyle w:val="Compact"/>
        <w:numPr>
          <w:ilvl w:val="0"/>
          <w:numId w:val="3"/>
        </w:numPr>
      </w:pPr>
      <w:r>
        <w:rPr>
          <w:b/>
          <w:bCs/>
        </w:rPr>
        <w:t>RQ3.</w:t>
      </w:r>
      <w:r>
        <w:t xml:space="preserve"> How does the implemented system perform with respect to (a) formal-identification accuracy and (b) system usability?</w:t>
      </w:r>
    </w:p>
    <w:p w14:paraId="5505BB03" w14:textId="77777777" w:rsidR="00BB618D" w:rsidRDefault="001B07B8">
      <w:pPr>
        <w:pStyle w:val="2"/>
      </w:pPr>
      <w:bookmarkStart w:id="5" w:name="contributions"/>
      <w:bookmarkEnd w:id="4"/>
      <w:r>
        <w:t>1.3 Contributions</w:t>
      </w:r>
    </w:p>
    <w:p w14:paraId="5505BB04" w14:textId="77777777" w:rsidR="00BB618D" w:rsidRDefault="001B07B8">
      <w:pPr>
        <w:pStyle w:val="FirstParagraph"/>
      </w:pPr>
      <w:r>
        <w:t>We make four contributions:</w:t>
      </w:r>
    </w:p>
    <w:p w14:paraId="5505BB05" w14:textId="77777777" w:rsidR="00BB618D" w:rsidRDefault="001B07B8">
      <w:pPr>
        <w:pStyle w:val="Compact"/>
        <w:numPr>
          <w:ilvl w:val="0"/>
          <w:numId w:val="4"/>
        </w:numPr>
      </w:pPr>
      <w:r>
        <w:rPr>
          <w:b/>
          <w:bCs/>
        </w:rPr>
        <w:t>A learner-facing open-source tool</w:t>
      </w:r>
      <w:r>
        <w:t xml:space="preserve"> (MIT) that synchronizes notated score, audio, and a hierarchical formal-analysis layer in the browser, with a single external dependency (OpenSheetMusicDisplay) and a metronome demo mode for copyright-sensitive classroom use.</w:t>
      </w:r>
    </w:p>
    <w:p w14:paraId="5505BB06" w14:textId="77777777" w:rsidR="00BB618D" w:rsidRDefault="001B07B8">
      <w:pPr>
        <w:pStyle w:val="Compact"/>
        <w:numPr>
          <w:ilvl w:val="0"/>
          <w:numId w:val="4"/>
        </w:numPr>
      </w:pPr>
      <w:r>
        <w:rPr>
          <w:b/>
          <w:bCs/>
        </w:rPr>
        <w:t>An open analysis schema and dataset</w:t>
      </w:r>
      <w:r>
        <w:t xml:space="preserve"> (CC BY 4.0), a machine-readable JSON encoding of two-level sonata-form analysis (sections × theme zones), instantiated for Mozart K. 545 mvt. I and </w:t>
      </w:r>
      <w:r>
        <w:rPr>
          <w:i/>
          <w:iCs/>
        </w:rPr>
        <w:t>intentionally interoperable</w:t>
      </w:r>
      <w:r>
        <w:t xml:space="preserve"> with the Algomus annotation conventions of Allegraud et al. (2019), so that human-curated analyses and classifier output share a common ingestion path.</w:t>
      </w:r>
    </w:p>
    <w:p w14:paraId="5505BB07" w14:textId="77777777" w:rsidR="00BB618D" w:rsidRDefault="001B07B8">
      <w:pPr>
        <w:pStyle w:val="Compact"/>
        <w:numPr>
          <w:ilvl w:val="0"/>
          <w:numId w:val="4"/>
        </w:numPr>
      </w:pPr>
      <w:r>
        <w:rPr>
          <w:b/>
          <w:bCs/>
        </w:rPr>
        <w:t>An exposition-repeat folding map</w:t>
      </w:r>
      <w:r>
        <w:t>: a piecewise non-monotonic time function that preserves analytical monotonicity under performer-elected exposition repeats, formalized in §4.5. To our knowledge, no prior open music-visualization system (Dezrann, Sonic Visualiser, Verovio Humdrum Viewer, score-following commercial tools) treats this case with an explicit time map.</w:t>
      </w:r>
    </w:p>
    <w:p w14:paraId="5505BB08" w14:textId="77777777" w:rsidR="00BB618D" w:rsidRDefault="001B07B8">
      <w:pPr>
        <w:pStyle w:val="Compact"/>
        <w:numPr>
          <w:ilvl w:val="0"/>
          <w:numId w:val="4"/>
        </w:numPr>
      </w:pPr>
      <w:r>
        <w:rPr>
          <w:b/>
          <w:bCs/>
        </w:rPr>
        <w:t>A pedagogical scenario for the atypical-recapitulation case</w:t>
      </w:r>
      <w:r>
        <w:t>, a 30-minute classroom walk-through (§5) demonstrating how the tool’s three coordinated representations surface K. 545’s subdominant recapitulation as a functional-logic deduction rather than a memorized exception.</w:t>
      </w:r>
    </w:p>
    <w:p w14:paraId="5505BB09" w14:textId="77777777" w:rsidR="00BB618D" w:rsidRDefault="001B07B8">
      <w:pPr>
        <w:pStyle w:val="FirstParagraph"/>
      </w:pPr>
      <w:r>
        <w:t>Empirical validation of learning effects is reserved for a planned randomized controlled trial; the present submission provides the open infrastructure on which such evaluation can be built.</w:t>
      </w:r>
    </w:p>
    <w:p w14:paraId="5505BB0A" w14:textId="77777777" w:rsidR="00BB618D" w:rsidRDefault="001B07B8">
      <w:pPr>
        <w:pStyle w:val="1"/>
      </w:pPr>
      <w:bookmarkStart w:id="6" w:name="background"/>
      <w:bookmarkEnd w:id="2"/>
      <w:bookmarkEnd w:id="5"/>
      <w:r>
        <w:t>2. Background</w:t>
      </w:r>
    </w:p>
    <w:p w14:paraId="5505BB0B" w14:textId="77777777" w:rsidR="00BB618D" w:rsidRDefault="001B07B8">
      <w:pPr>
        <w:pStyle w:val="2"/>
      </w:pPr>
      <w:bookmarkStart w:id="7" w:name="hierarchical-analysis-of-sonata-form"/>
      <w:r>
        <w:t>2.1 Hierarchical Analysis of Sonata Form</w:t>
      </w:r>
    </w:p>
    <w:p w14:paraId="5505BB0C" w14:textId="77777777" w:rsidR="00BB618D" w:rsidRDefault="001B07B8">
      <w:pPr>
        <w:pStyle w:val="FirstParagraph"/>
      </w:pPr>
      <w:r>
        <w:t>We adopt a two-level hierarchy that combines the rotational perspective of Sonata Theory (Hepokoski &amp; Darcy, 2006) with the formal-function account of Caplin (1998).</w:t>
      </w:r>
    </w:p>
    <w:p w14:paraId="5505BB0D" w14:textId="77777777" w:rsidR="00BB618D" w:rsidRDefault="001B07B8">
      <w:pPr>
        <w:pStyle w:val="a0"/>
      </w:pPr>
      <w:r>
        <w:rPr>
          <w:b/>
          <w:bCs/>
        </w:rPr>
        <w:t>Large sections.</w:t>
      </w:r>
      <w:r>
        <w:t xml:space="preserve"> - Exposition: presents two thematic complexes in two key areas. - Development: recasts and modulates the exposition’s material. - Recapitulation: restates both thematic complexes in the tonic. - Coda: optional closing section (absent in K. 545 mvt. I).</w:t>
      </w:r>
    </w:p>
    <w:p w14:paraId="5505BB0E" w14:textId="77777777" w:rsidR="00BB618D" w:rsidRDefault="001B07B8">
      <w:pPr>
        <w:pStyle w:val="a0"/>
      </w:pPr>
      <w:r>
        <w:rPr>
          <w:b/>
          <w:bCs/>
        </w:rPr>
        <w:t>Theme zones.</w:t>
      </w:r>
      <w:r>
        <w:t xml:space="preserve"> - P (Primary theme zone) - T (Transition) - S (Secondary theme zone) - K (Closing theme / codetta)</w:t>
      </w:r>
    </w:p>
    <w:p w14:paraId="5505BB0F" w14:textId="77777777" w:rsidR="00BB618D" w:rsidRDefault="001B07B8">
      <w:pPr>
        <w:pStyle w:val="a0"/>
      </w:pPr>
      <w:r>
        <w:t xml:space="preserve">This two-level hierarchy is directly compatible with both Hepokoski &amp; Darcy’s </w:t>
      </w:r>
      <w:r>
        <w:rPr>
          <w:i/>
          <w:iCs/>
        </w:rPr>
        <w:t>rotational</w:t>
      </w:r>
      <w:r>
        <w:t xml:space="preserve"> analysis and Caplin’s </w:t>
      </w:r>
      <w:r>
        <w:rPr>
          <w:i/>
          <w:iCs/>
        </w:rPr>
        <w:t>formal-function</w:t>
      </w:r>
      <w:r>
        <w:t xml:space="preserve"> analysis, and it offers learners </w:t>
      </w:r>
      <w:r>
        <w:rPr>
          <w:i/>
          <w:iCs/>
        </w:rPr>
        <w:t>two simultaneous resolutions of “where am I?”</w:t>
      </w:r>
      <w:r>
        <w:t>: which large section, and which thematic role within it.</w:t>
      </w:r>
    </w:p>
    <w:p w14:paraId="5505BB10" w14:textId="77777777" w:rsidR="00BB618D" w:rsidRDefault="001B07B8">
      <w:pPr>
        <w:pStyle w:val="2"/>
      </w:pPr>
      <w:bookmarkStart w:id="8" w:name="X18707b59c1ca39adfb55a5b81cf33a0ad6570c2"/>
      <w:bookmarkEnd w:id="7"/>
      <w:r>
        <w:t>2.2 Dual Coding and the Cognitive Theory of Multimedia Learning</w:t>
      </w:r>
    </w:p>
    <w:p w14:paraId="5505BB11" w14:textId="77777777" w:rsidR="00BB618D" w:rsidRDefault="001B07B8">
      <w:pPr>
        <w:pStyle w:val="FirstParagraph"/>
      </w:pPr>
      <w:r>
        <w:t xml:space="preserve">Paivio’s (1991) dual coding theory holds that verbal and non-verbal representations are processed through </w:t>
      </w:r>
      <w:r>
        <w:rPr>
          <w:i/>
          <w:iCs/>
        </w:rPr>
        <w:t>separate cognitive channels</w:t>
      </w:r>
      <w:r>
        <w:t>, and that activating both channels increases learning efficiency. Mayer’s (2009) cognitive theory of multimedia learning extends this to instructional design through three principles particularly relevant here, which the tool implements as summarized in Table 1.</w:t>
      </w:r>
    </w:p>
    <w:p w14:paraId="5505BB12" w14:textId="77777777" w:rsidR="00BB618D" w:rsidRDefault="001B07B8">
      <w:pPr>
        <w:pStyle w:val="a0"/>
      </w:pPr>
      <w:r>
        <w:rPr>
          <w:b/>
          <w:bCs/>
        </w:rPr>
        <w:t>Table 1.</w:t>
      </w:r>
      <w:r>
        <w:t xml:space="preserve"> Three Mayer (2009) multimedia-learning principles and their implementation in the present tool.</w:t>
      </w:r>
    </w:p>
    <w:tbl>
      <w:tblPr>
        <w:tblStyle w:val="Table"/>
        <w:tblW w:w="0" w:type="auto"/>
        <w:jc w:val="center"/>
        <w:tblLook w:val="0020" w:firstRow="1" w:lastRow="0" w:firstColumn="0" w:lastColumn="0" w:noHBand="0" w:noVBand="0"/>
      </w:tblPr>
      <w:tblGrid>
        <w:gridCol w:w="2019"/>
        <w:gridCol w:w="6478"/>
      </w:tblGrid>
      <w:tr w:rsidR="00BB618D" w:rsidRPr="00D12670" w14:paraId="5505BB15" w14:textId="77777777" w:rsidTr="00D1267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5505BB13" w14:textId="77777777" w:rsidR="00BB618D" w:rsidRPr="00D12670" w:rsidRDefault="001B07B8" w:rsidP="00D12670">
            <w:pPr>
              <w:pStyle w:val="Compact"/>
              <w:spacing w:line="240" w:lineRule="auto"/>
              <w:rPr>
                <w:b/>
                <w:sz w:val="22"/>
              </w:rPr>
            </w:pPr>
            <w:r w:rsidRPr="00D12670">
              <w:rPr>
                <w:b/>
                <w:sz w:val="22"/>
              </w:rPr>
              <w:t>Mayer’s Principle</w:t>
            </w:r>
          </w:p>
        </w:tc>
        <w:tc>
          <w:tcPr>
            <w:tcW w:w="0" w:type="auto"/>
            <w:tcBorders>
              <w:bottom w:val="single" w:sz="2" w:space="0" w:color="auto"/>
            </w:tcBorders>
            <w:shd w:val="clear" w:color="auto" w:fill="EBEBEB"/>
          </w:tcPr>
          <w:p w14:paraId="5505BB14" w14:textId="77777777" w:rsidR="00BB618D" w:rsidRPr="00D12670" w:rsidRDefault="001B07B8" w:rsidP="00D12670">
            <w:pPr>
              <w:pStyle w:val="Compact"/>
              <w:spacing w:line="240" w:lineRule="auto"/>
              <w:rPr>
                <w:b/>
                <w:sz w:val="22"/>
              </w:rPr>
            </w:pPr>
            <w:r w:rsidRPr="00D12670">
              <w:rPr>
                <w:b/>
                <w:sz w:val="22"/>
              </w:rPr>
              <w:t>Implementation in This Tool</w:t>
            </w:r>
          </w:p>
        </w:tc>
      </w:tr>
      <w:tr w:rsidR="00BB618D" w:rsidRPr="00D12670" w14:paraId="5505BB18" w14:textId="77777777" w:rsidTr="00D12670">
        <w:trPr>
          <w:jc w:val="center"/>
        </w:trPr>
        <w:tc>
          <w:tcPr>
            <w:tcW w:w="0" w:type="auto"/>
            <w:tcBorders>
              <w:top w:val="single" w:sz="2" w:space="0" w:color="auto"/>
            </w:tcBorders>
          </w:tcPr>
          <w:p w14:paraId="5505BB16" w14:textId="77777777" w:rsidR="00BB618D" w:rsidRPr="00D12670" w:rsidRDefault="001B07B8" w:rsidP="00D12670">
            <w:pPr>
              <w:pStyle w:val="Compact"/>
              <w:spacing w:line="240" w:lineRule="auto"/>
              <w:rPr>
                <w:sz w:val="22"/>
              </w:rPr>
            </w:pPr>
            <w:r w:rsidRPr="00D12670">
              <w:rPr>
                <w:sz w:val="22"/>
              </w:rPr>
              <w:t>Modality</w:t>
            </w:r>
          </w:p>
        </w:tc>
        <w:tc>
          <w:tcPr>
            <w:tcW w:w="0" w:type="auto"/>
            <w:tcBorders>
              <w:top w:val="single" w:sz="2" w:space="0" w:color="auto"/>
            </w:tcBorders>
          </w:tcPr>
          <w:p w14:paraId="5505BB17" w14:textId="77777777" w:rsidR="00BB618D" w:rsidRPr="00D12670" w:rsidRDefault="001B07B8" w:rsidP="00D12670">
            <w:pPr>
              <w:pStyle w:val="Compact"/>
              <w:spacing w:line="240" w:lineRule="auto"/>
              <w:rPr>
                <w:sz w:val="22"/>
              </w:rPr>
            </w:pPr>
            <w:r w:rsidRPr="00D12670">
              <w:rPr>
                <w:sz w:val="22"/>
              </w:rPr>
              <w:t>Audio (auditory) + score (visual) + label (verbal) co-presented</w:t>
            </w:r>
          </w:p>
        </w:tc>
      </w:tr>
      <w:tr w:rsidR="00BB618D" w:rsidRPr="00D12670" w14:paraId="5505BB1B" w14:textId="77777777" w:rsidTr="00D12670">
        <w:trPr>
          <w:jc w:val="center"/>
        </w:trPr>
        <w:tc>
          <w:tcPr>
            <w:tcW w:w="0" w:type="auto"/>
          </w:tcPr>
          <w:p w14:paraId="5505BB19" w14:textId="77777777" w:rsidR="00BB618D" w:rsidRPr="00D12670" w:rsidRDefault="001B07B8" w:rsidP="00D12670">
            <w:pPr>
              <w:pStyle w:val="Compact"/>
              <w:spacing w:line="240" w:lineRule="auto"/>
              <w:rPr>
                <w:sz w:val="22"/>
              </w:rPr>
            </w:pPr>
            <w:r w:rsidRPr="00D12670">
              <w:rPr>
                <w:sz w:val="22"/>
              </w:rPr>
              <w:t>Temporal contiguity</w:t>
            </w:r>
          </w:p>
        </w:tc>
        <w:tc>
          <w:tcPr>
            <w:tcW w:w="0" w:type="auto"/>
          </w:tcPr>
          <w:p w14:paraId="5505BB1A" w14:textId="77777777" w:rsidR="00BB618D" w:rsidRPr="00D12670" w:rsidRDefault="001B07B8" w:rsidP="00D12670">
            <w:pPr>
              <w:pStyle w:val="Compact"/>
              <w:spacing w:line="240" w:lineRule="auto"/>
              <w:rPr>
                <w:sz w:val="22"/>
              </w:rPr>
            </w:pPr>
            <w:r w:rsidRPr="00D12670">
              <w:rPr>
                <w:sz w:val="22"/>
              </w:rPr>
              <w:t xml:space="preserve">All representations updated within a single render frame on </w:t>
            </w:r>
            <w:r w:rsidRPr="00D12670">
              <w:rPr>
                <w:rStyle w:val="VerbatimChar"/>
                <w:rFonts w:ascii="Times New Roman" w:hAnsi="Times New Roman"/>
                <w:sz w:val="22"/>
              </w:rPr>
              <w:t>timeupdate</w:t>
            </w:r>
          </w:p>
        </w:tc>
      </w:tr>
      <w:tr w:rsidR="00BB618D" w:rsidRPr="00D12670" w14:paraId="5505BB1E" w14:textId="77777777" w:rsidTr="00D12670">
        <w:trPr>
          <w:jc w:val="center"/>
        </w:trPr>
        <w:tc>
          <w:tcPr>
            <w:tcW w:w="0" w:type="auto"/>
          </w:tcPr>
          <w:p w14:paraId="5505BB1C" w14:textId="77777777" w:rsidR="00BB618D" w:rsidRPr="00D12670" w:rsidRDefault="001B07B8" w:rsidP="00D12670">
            <w:pPr>
              <w:pStyle w:val="Compact"/>
              <w:spacing w:line="240" w:lineRule="auto"/>
              <w:rPr>
                <w:sz w:val="22"/>
              </w:rPr>
            </w:pPr>
            <w:r w:rsidRPr="00D12670">
              <w:rPr>
                <w:sz w:val="22"/>
              </w:rPr>
              <w:t>Spatial contiguity</w:t>
            </w:r>
          </w:p>
        </w:tc>
        <w:tc>
          <w:tcPr>
            <w:tcW w:w="0" w:type="auto"/>
          </w:tcPr>
          <w:p w14:paraId="5505BB1D" w14:textId="77777777" w:rsidR="00BB618D" w:rsidRPr="00D12670" w:rsidRDefault="001B07B8" w:rsidP="00D12670">
            <w:pPr>
              <w:pStyle w:val="Compact"/>
              <w:spacing w:line="240" w:lineRule="auto"/>
              <w:rPr>
                <w:sz w:val="22"/>
              </w:rPr>
            </w:pPr>
            <w:r w:rsidRPr="00D12670">
              <w:rPr>
                <w:sz w:val="22"/>
              </w:rPr>
              <w:t xml:space="preserve">Color overlay drawn </w:t>
            </w:r>
            <w:r w:rsidRPr="00D12670">
              <w:rPr>
                <w:i/>
                <w:iCs/>
                <w:sz w:val="22"/>
              </w:rPr>
              <w:t>directly on the score itself</w:t>
            </w:r>
            <w:r w:rsidRPr="00D12670">
              <w:rPr>
                <w:sz w:val="22"/>
              </w:rPr>
              <w:t>, not in a separate panel</w:t>
            </w:r>
          </w:p>
        </w:tc>
      </w:tr>
    </w:tbl>
    <w:p w14:paraId="5505BB1F" w14:textId="77777777" w:rsidR="00BB618D" w:rsidRDefault="001B07B8">
      <w:pPr>
        <w:pStyle w:val="a0"/>
      </w:pPr>
      <w:r>
        <w:t xml:space="preserve">Color mapping has been studied as a representational means in music pedagogy. Kuo and Chuang (2013), proposing a color music notation system for beginners, map pitch, duration, range, and intensity to colors, lattices, graphs, and shape sizes respectively, drawing on Itten’s color wheel and the Natural Color System to align twelve primary colors with twelve-tone equal temperament. Their work demonstrates the systematic applicability of color–music synesthetic mapping at the </w:t>
      </w:r>
      <w:r>
        <w:rPr>
          <w:i/>
          <w:iCs/>
        </w:rPr>
        <w:t>pitch</w:t>
      </w:r>
      <w:r>
        <w:t xml:space="preserve"> dimension. Our tool’s two-tier scheme (sections plus theme zones, with WCAG-2.1 contrast and non-color redundancy) applies the same color–music representational principle, but at the </w:t>
      </w:r>
      <w:r>
        <w:rPr>
          <w:i/>
          <w:iCs/>
        </w:rPr>
        <w:t>formal hierarchy</w:t>
      </w:r>
      <w:r>
        <w:t xml:space="preserve"> dimension rather than the pitch dimension.</w:t>
      </w:r>
    </w:p>
    <w:p w14:paraId="5505BB20" w14:textId="77777777" w:rsidR="00BB618D" w:rsidRDefault="001B07B8">
      <w:pPr>
        <w:pStyle w:val="2"/>
      </w:pPr>
      <w:bookmarkStart w:id="9" w:name="Xa0e3c68e90591503e6220a9976f79d4f2e14830"/>
      <w:bookmarkEnd w:id="8"/>
      <w:r>
        <w:t>2.3 Active Learning and Comparative Listening</w:t>
      </w:r>
    </w:p>
    <w:p w14:paraId="5505BB21" w14:textId="77777777" w:rsidR="00BB618D" w:rsidRDefault="001B07B8">
      <w:pPr>
        <w:pStyle w:val="FirstParagraph"/>
      </w:pPr>
      <w:r>
        <w:t xml:space="preserve">Hargreaves (1986) and North &amp; Hargreaves (2008) document that form-learning is strengthened by </w:t>
      </w:r>
      <w:r>
        <w:rPr>
          <w:i/>
          <w:iCs/>
        </w:rPr>
        <w:t>repeated listening</w:t>
      </w:r>
      <w:r>
        <w:t xml:space="preserve"> and </w:t>
      </w:r>
      <w:r>
        <w:rPr>
          <w:i/>
          <w:iCs/>
        </w:rPr>
        <w:t>active comparison</w:t>
      </w:r>
      <w:r>
        <w:t xml:space="preserve">. The present tool therefore supports section-level jumping, section looping, playback-speed control, and keyboard shortcuts so that learners can perform </w:t>
      </w:r>
      <w:r>
        <w:rPr>
          <w:i/>
          <w:iCs/>
        </w:rPr>
        <w:t>A–B comparison</w:t>
      </w:r>
      <w:r>
        <w:t xml:space="preserve"> of, for example, P in the exposition versus P in the recapitulation, a comparison that is precisely what reveals the K. 545 subdominant recapitulation as such.</w:t>
      </w:r>
    </w:p>
    <w:p w14:paraId="5505BB22" w14:textId="77777777" w:rsidR="00BB618D" w:rsidRDefault="001B07B8">
      <w:pPr>
        <w:pStyle w:val="2"/>
      </w:pPr>
      <w:bookmarkStart w:id="10" w:name="related-tools"/>
      <w:bookmarkEnd w:id="9"/>
      <w:r>
        <w:t>2.4 Related Tools</w:t>
      </w:r>
    </w:p>
    <w:p w14:paraId="5505BB23" w14:textId="77777777" w:rsidR="00BB618D" w:rsidRDefault="001B07B8">
      <w:pPr>
        <w:pStyle w:val="FirstParagraph"/>
      </w:pPr>
      <w:r>
        <w:t>The closest precedents for the present work are the Dezrann web platform (Ballester et al. 2025) and the sonata-form structure-learning study of Allegraud et al. (2019). Both papers treat formal music annotation as a first-class web-interactive object, and both have been applied to Mozart sonata movements. The present work differs in three respects. Where Dezrann places annotation labels as discrete markers on a waveform-and-score view, our tool paints the score itself with section colors at the measure lev</w:t>
      </w:r>
      <w:r>
        <w:t xml:space="preserve">el (computed via SVG </w:t>
      </w:r>
      <w:r>
        <w:rPr>
          <w:rStyle w:val="VerbatimChar"/>
        </w:rPr>
        <w:t>getBBox</w:t>
      </w:r>
      <w:r>
        <w:t xml:space="preserve"> on the OSMD render), so section and theme-zone colors coexist on the same surface the learner is already reading. Our analysis schema (</w:t>
      </w:r>
      <w:r>
        <w:rPr>
          <w:rStyle w:val="VerbatimChar"/>
        </w:rPr>
        <w:t>sonata_structure.json</w:t>
      </w:r>
      <w:r>
        <w:t>) is not metadata attached to a Dezrann annotation but a stand-alone, peer-reviewable, versioned CC BY 4.0 object directly reusable in MIR pipelines and in derivative analyses of other works, in the same sense that the Allegraud et al. (2019) sonata-form corpus has been reused. And where Allegraud et al. (2019) address the au</w:t>
      </w:r>
      <w:r>
        <w:t>tomatic-detection problem on a 32-quartet corpus for the music-information-retrieval community, the present tool addresses the teaching problem on a single canonical work for the music-education community: a robust classifier and a precise pedagogical instrument are complementary rather than competing, since they need not target the same evaluation metric.</w:t>
      </w:r>
    </w:p>
    <w:p w14:paraId="5505BB24" w14:textId="77777777" w:rsidR="00BB618D" w:rsidRDefault="001B07B8">
      <w:pPr>
        <w:pStyle w:val="a0"/>
      </w:pPr>
      <w:r>
        <w:t>Several adjacent systems share individual features with the present work but not the combination. Sonic Visualiser (Cannam et al. 2010) and iAnalyse (Couprie 2008) support free-form annotation but are not learner-facing tools for sonata-form pedagogy; Verovio Humdrum Viewer (Sapp 2017) renders score but does not synchronize it with audio for section navigation; commercial score-followers such as Soundslice and MuseScore Web synchronize audio and score but neither expose hierarchical formal labels nor releas</w:t>
      </w:r>
      <w:r>
        <w:t>e source. The novelty claim is therefore narrower than “first open-source sonata-form visualization”: it is “first open-source, learner-facing tool combining measure-painted hierarchical formal color, score-audio synchronization, and a separable analysis-as-data schema.”</w:t>
      </w:r>
    </w:p>
    <w:p w14:paraId="5505BB25" w14:textId="77777777" w:rsidR="00BB618D" w:rsidRDefault="001B07B8">
      <w:pPr>
        <w:pStyle w:val="1"/>
      </w:pPr>
      <w:bookmarkStart w:id="11" w:name="X242a817391c4b06c2e725f15f6662781fb7cb85"/>
      <w:bookmarkEnd w:id="6"/>
      <w:bookmarkEnd w:id="10"/>
      <w:r>
        <w:t>3. Mozart’s K. 545, Movement I: An Analytical Walk-Through</w:t>
      </w:r>
    </w:p>
    <w:p w14:paraId="5505BB26" w14:textId="77777777" w:rsidR="00BB618D" w:rsidRDefault="001B07B8">
      <w:pPr>
        <w:pStyle w:val="2"/>
      </w:pPr>
      <w:bookmarkStart w:id="12" w:name="why-this-work-and-why-movement-i"/>
      <w:r>
        <w:t>3.1 Why This Work, and Why Movement I</w:t>
      </w:r>
    </w:p>
    <w:p w14:paraId="5505BB27" w14:textId="77777777" w:rsidR="00BB618D" w:rsidRDefault="001B07B8">
      <w:pPr>
        <w:pStyle w:val="FirstParagraph"/>
      </w:pPr>
      <w:r>
        <w:t>Composed in Vienna in 1788 and self-described by Mozart as “</w:t>
      </w:r>
      <w:r>
        <w:rPr>
          <w:i/>
          <w:iCs/>
        </w:rPr>
        <w:t>für Anfänger</w:t>
      </w:r>
      <w:r>
        <w:t xml:space="preserve">” (for beginners; the now-conventional title </w:t>
      </w:r>
      <w:r>
        <w:rPr>
          <w:i/>
          <w:iCs/>
        </w:rPr>
        <w:t>Sonata facile</w:t>
      </w:r>
      <w:r>
        <w:t xml:space="preserve"> is a posthumous attribution), the movement is in C major, common time, </w:t>
      </w:r>
      <w:r>
        <w:rPr>
          <w:i/>
          <w:iCs/>
        </w:rPr>
        <w:t>Allegro</w:t>
      </w:r>
      <w:r>
        <w:t xml:space="preserve">, and runs only 73 measures (Mozart, 1986/NMA IX/25). Its near-canonical status in piano pedagogy means that most undergraduate music students have </w:t>
      </w:r>
      <w:r>
        <w:rPr>
          <w:i/>
          <w:iCs/>
        </w:rPr>
        <w:t>played or heard</w:t>
      </w:r>
      <w:r>
        <w:t xml:space="preserve"> the work before they have </w:t>
      </w:r>
      <w:r>
        <w:rPr>
          <w:i/>
          <w:iCs/>
        </w:rPr>
        <w:t>analyzed</w:t>
      </w:r>
      <w:r>
        <w:t xml:space="preserve"> it, a peculiar gap that this paper, and the tool it accompanies, take as a pedagogical opportunity. Three properties make Movement I uniquely productive as a teachi</w:t>
      </w:r>
      <w:r>
        <w:t>ng case:</w:t>
      </w:r>
    </w:p>
    <w:p w14:paraId="5505BB28" w14:textId="77777777" w:rsidR="00BB618D" w:rsidRDefault="001B07B8">
      <w:pPr>
        <w:pStyle w:val="Compact"/>
        <w:numPr>
          <w:ilvl w:val="0"/>
          <w:numId w:val="5"/>
        </w:numPr>
      </w:pPr>
      <w:r>
        <w:rPr>
          <w:b/>
          <w:bCs/>
        </w:rPr>
        <w:t>Length.</w:t>
      </w:r>
      <w:r>
        <w:t xml:space="preserve"> At roughly three and a half minutes, the whole movement fits comfortably into a single class hearing, with time left for comparative re-listening of selected regions.</w:t>
      </w:r>
    </w:p>
    <w:p w14:paraId="5505BB29" w14:textId="77777777" w:rsidR="00BB618D" w:rsidRDefault="001B07B8">
      <w:pPr>
        <w:pStyle w:val="Compact"/>
        <w:numPr>
          <w:ilvl w:val="0"/>
          <w:numId w:val="5"/>
        </w:numPr>
      </w:pPr>
      <w:r>
        <w:rPr>
          <w:b/>
          <w:bCs/>
        </w:rPr>
        <w:t>Textural transparency.</w:t>
      </w:r>
      <w:r>
        <w:t xml:space="preserve"> The Alberti-bass-plus-melody texture leaves each formal landmark audible: every theme entry, every modulation, every cadence is clearly articulated. Less transparent sonata movements (e.g., the Beethoven </w:t>
      </w:r>
      <w:r>
        <w:rPr>
          <w:i/>
          <w:iCs/>
        </w:rPr>
        <w:t>Pathétique</w:t>
      </w:r>
      <w:r>
        <w:t>, Op. 13/i) bury their formal events in dense polyphony.</w:t>
      </w:r>
    </w:p>
    <w:p w14:paraId="5505BB2A" w14:textId="77777777" w:rsidR="00BB618D" w:rsidRDefault="001B07B8">
      <w:pPr>
        <w:pStyle w:val="Compact"/>
        <w:numPr>
          <w:ilvl w:val="0"/>
          <w:numId w:val="5"/>
        </w:numPr>
      </w:pPr>
      <w:r>
        <w:rPr>
          <w:b/>
          <w:bCs/>
        </w:rPr>
        <w:t>A normative-and-deformational character.</w:t>
      </w:r>
      <w:r>
        <w:t xml:space="preserve"> The exposition behaves </w:t>
      </w:r>
      <w:r>
        <w:rPr>
          <w:i/>
          <w:iCs/>
        </w:rPr>
        <w:t>exactly as a textbook sonata exposition should</w:t>
      </w:r>
      <w:r>
        <w:t>; the recapitulation does not. This contrast, the same musical material treated two ways , is the analytical heart of the movement and the heart of this paper.</w:t>
      </w:r>
    </w:p>
    <w:p w14:paraId="5505BB2B" w14:textId="77777777" w:rsidR="00BB618D" w:rsidRDefault="001B07B8">
      <w:pPr>
        <w:pStyle w:val="2"/>
      </w:pPr>
      <w:bookmarkStart w:id="13" w:name="two-level-formal-layout"/>
      <w:bookmarkEnd w:id="12"/>
      <w:r>
        <w:t>3.2 Two-Level Formal Layout</w:t>
      </w:r>
    </w:p>
    <w:p w14:paraId="5505BB2C" w14:textId="77777777" w:rsidR="00BB618D" w:rsidRDefault="001B07B8">
      <w:pPr>
        <w:pStyle w:val="FirstParagraph"/>
      </w:pPr>
      <w:r>
        <w:t xml:space="preserve">Table 2 presents the formal analysis encoded in the tool. The two-level grain, large </w:t>
      </w:r>
      <w:r>
        <w:rPr>
          <w:i/>
          <w:iCs/>
        </w:rPr>
        <w:t>sections</w:t>
      </w:r>
      <w:r>
        <w:t xml:space="preserve"> containing </w:t>
      </w:r>
      <w:r>
        <w:rPr>
          <w:i/>
          <w:iCs/>
        </w:rPr>
        <w:t>theme zones</w:t>
      </w:r>
      <w:r>
        <w:t xml:space="preserve">, follows the SHMRG tradition of LaRue (1970) and the </w:t>
      </w:r>
      <w:r>
        <w:rPr>
          <w:i/>
          <w:iCs/>
        </w:rPr>
        <w:t>Sonata Theory</w:t>
      </w:r>
      <w:r>
        <w:t xml:space="preserve"> framework of Hepokoski and Darcy (2006), simplified for pedagogical use by collapsing the transition into the primary-theme zone when the latter is harmonically continuous.</w:t>
      </w:r>
    </w:p>
    <w:p w14:paraId="5505BB2D" w14:textId="77777777" w:rsidR="00BB618D" w:rsidRDefault="001B07B8">
      <w:pPr>
        <w:pStyle w:val="a0"/>
      </w:pPr>
      <w:r>
        <w:rPr>
          <w:b/>
          <w:bCs/>
        </w:rPr>
        <w:t>Table 2.</w:t>
      </w:r>
      <w:r>
        <w:t xml:space="preserve"> Two-level formal analysis of K. 545, mvt. I (73 measures). Times are given for a representative recording at ♩ ≈ 132 with the exposition repeat taken.</w:t>
      </w:r>
    </w:p>
    <w:tbl>
      <w:tblPr>
        <w:tblStyle w:val="Table"/>
        <w:tblW w:w="0" w:type="auto"/>
        <w:jc w:val="center"/>
        <w:tblLook w:val="0020" w:firstRow="1" w:lastRow="0" w:firstColumn="0" w:lastColumn="0" w:noHBand="0" w:noVBand="0"/>
      </w:tblPr>
      <w:tblGrid>
        <w:gridCol w:w="1598"/>
        <w:gridCol w:w="2447"/>
        <w:gridCol w:w="1121"/>
        <w:gridCol w:w="2551"/>
        <w:gridCol w:w="1219"/>
      </w:tblGrid>
      <w:tr w:rsidR="00BB618D" w:rsidRPr="00D12670" w14:paraId="5505BB33" w14:textId="77777777" w:rsidTr="00D1267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5505BB2E" w14:textId="77777777" w:rsidR="00BB618D" w:rsidRPr="00D12670" w:rsidRDefault="001B07B8" w:rsidP="00D12670">
            <w:pPr>
              <w:pStyle w:val="Compact"/>
              <w:spacing w:line="240" w:lineRule="auto"/>
              <w:rPr>
                <w:b/>
                <w:sz w:val="22"/>
              </w:rPr>
            </w:pPr>
            <w:r w:rsidRPr="00D12670">
              <w:rPr>
                <w:b/>
                <w:sz w:val="22"/>
              </w:rPr>
              <w:t>Section</w:t>
            </w:r>
          </w:p>
        </w:tc>
        <w:tc>
          <w:tcPr>
            <w:tcW w:w="0" w:type="auto"/>
            <w:tcBorders>
              <w:bottom w:val="single" w:sz="2" w:space="0" w:color="auto"/>
            </w:tcBorders>
            <w:shd w:val="clear" w:color="auto" w:fill="EBEBEB"/>
          </w:tcPr>
          <w:p w14:paraId="5505BB2F" w14:textId="77777777" w:rsidR="00BB618D" w:rsidRPr="00D12670" w:rsidRDefault="001B07B8" w:rsidP="00D12670">
            <w:pPr>
              <w:pStyle w:val="Compact"/>
              <w:spacing w:line="240" w:lineRule="auto"/>
              <w:rPr>
                <w:b/>
                <w:sz w:val="22"/>
              </w:rPr>
            </w:pPr>
            <w:r w:rsidRPr="00D12670">
              <w:rPr>
                <w:b/>
                <w:sz w:val="22"/>
              </w:rPr>
              <w:t>Theme zone</w:t>
            </w:r>
          </w:p>
        </w:tc>
        <w:tc>
          <w:tcPr>
            <w:tcW w:w="0" w:type="auto"/>
            <w:tcBorders>
              <w:bottom w:val="single" w:sz="2" w:space="0" w:color="auto"/>
            </w:tcBorders>
            <w:shd w:val="clear" w:color="auto" w:fill="EBEBEB"/>
          </w:tcPr>
          <w:p w14:paraId="5505BB30" w14:textId="77777777" w:rsidR="00BB618D" w:rsidRPr="00D12670" w:rsidRDefault="001B07B8" w:rsidP="00D12670">
            <w:pPr>
              <w:pStyle w:val="Compact"/>
              <w:spacing w:line="240" w:lineRule="auto"/>
              <w:rPr>
                <w:b/>
                <w:sz w:val="22"/>
              </w:rPr>
            </w:pPr>
            <w:r w:rsidRPr="00D12670">
              <w:rPr>
                <w:b/>
                <w:sz w:val="22"/>
              </w:rPr>
              <w:t>Measures</w:t>
            </w:r>
          </w:p>
        </w:tc>
        <w:tc>
          <w:tcPr>
            <w:tcW w:w="0" w:type="auto"/>
            <w:tcBorders>
              <w:bottom w:val="single" w:sz="2" w:space="0" w:color="auto"/>
            </w:tcBorders>
            <w:shd w:val="clear" w:color="auto" w:fill="EBEBEB"/>
          </w:tcPr>
          <w:p w14:paraId="5505BB31" w14:textId="77777777" w:rsidR="00BB618D" w:rsidRPr="00D12670" w:rsidRDefault="001B07B8" w:rsidP="00D12670">
            <w:pPr>
              <w:pStyle w:val="Compact"/>
              <w:spacing w:line="240" w:lineRule="auto"/>
              <w:rPr>
                <w:b/>
                <w:sz w:val="22"/>
              </w:rPr>
            </w:pPr>
            <w:r w:rsidRPr="00D12670">
              <w:rPr>
                <w:b/>
                <w:sz w:val="22"/>
              </w:rPr>
              <w:t>Key</w:t>
            </w:r>
          </w:p>
        </w:tc>
        <w:tc>
          <w:tcPr>
            <w:tcW w:w="0" w:type="auto"/>
            <w:tcBorders>
              <w:bottom w:val="single" w:sz="2" w:space="0" w:color="auto"/>
            </w:tcBorders>
            <w:shd w:val="clear" w:color="auto" w:fill="EBEBEB"/>
          </w:tcPr>
          <w:p w14:paraId="5505BB32" w14:textId="77777777" w:rsidR="00BB618D" w:rsidRPr="00D12670" w:rsidRDefault="001B07B8" w:rsidP="00D12670">
            <w:pPr>
              <w:pStyle w:val="Compact"/>
              <w:spacing w:line="240" w:lineRule="auto"/>
              <w:rPr>
                <w:b/>
                <w:sz w:val="22"/>
              </w:rPr>
            </w:pPr>
            <w:r w:rsidRPr="00D12670">
              <w:rPr>
                <w:b/>
                <w:sz w:val="22"/>
              </w:rPr>
              <w:t>Time</w:t>
            </w:r>
          </w:p>
        </w:tc>
      </w:tr>
      <w:tr w:rsidR="00BB618D" w:rsidRPr="00D12670" w14:paraId="5505BB39" w14:textId="77777777" w:rsidTr="00D12670">
        <w:trPr>
          <w:jc w:val="center"/>
        </w:trPr>
        <w:tc>
          <w:tcPr>
            <w:tcW w:w="0" w:type="auto"/>
            <w:tcBorders>
              <w:top w:val="single" w:sz="2" w:space="0" w:color="auto"/>
            </w:tcBorders>
          </w:tcPr>
          <w:p w14:paraId="5505BB34" w14:textId="77777777" w:rsidR="00BB618D" w:rsidRPr="00D12670" w:rsidRDefault="001B07B8" w:rsidP="00D12670">
            <w:pPr>
              <w:pStyle w:val="Compact"/>
              <w:spacing w:line="240" w:lineRule="auto"/>
              <w:rPr>
                <w:sz w:val="22"/>
              </w:rPr>
            </w:pPr>
            <w:r w:rsidRPr="00D12670">
              <w:rPr>
                <w:b/>
                <w:bCs/>
                <w:sz w:val="22"/>
              </w:rPr>
              <w:t>Exposition</w:t>
            </w:r>
          </w:p>
        </w:tc>
        <w:tc>
          <w:tcPr>
            <w:tcW w:w="0" w:type="auto"/>
            <w:tcBorders>
              <w:top w:val="single" w:sz="2" w:space="0" w:color="auto"/>
            </w:tcBorders>
          </w:tcPr>
          <w:p w14:paraId="5505BB35" w14:textId="77777777" w:rsidR="00BB618D" w:rsidRPr="00D12670" w:rsidRDefault="001B07B8" w:rsidP="00D12670">
            <w:pPr>
              <w:pStyle w:val="Compact"/>
              <w:spacing w:line="240" w:lineRule="auto"/>
              <w:rPr>
                <w:sz w:val="22"/>
              </w:rPr>
            </w:pPr>
            <w:r w:rsidRPr="00D12670">
              <w:rPr>
                <w:sz w:val="22"/>
              </w:rPr>
              <w:t>Primary theme (P)</w:t>
            </w:r>
          </w:p>
        </w:tc>
        <w:tc>
          <w:tcPr>
            <w:tcW w:w="0" w:type="auto"/>
            <w:tcBorders>
              <w:top w:val="single" w:sz="2" w:space="0" w:color="auto"/>
            </w:tcBorders>
          </w:tcPr>
          <w:p w14:paraId="5505BB36" w14:textId="77777777" w:rsidR="00BB618D" w:rsidRPr="00D12670" w:rsidRDefault="001B07B8" w:rsidP="00D12670">
            <w:pPr>
              <w:pStyle w:val="Compact"/>
              <w:spacing w:line="240" w:lineRule="auto"/>
              <w:rPr>
                <w:sz w:val="22"/>
              </w:rPr>
            </w:pPr>
            <w:r w:rsidRPr="00D12670">
              <w:rPr>
                <w:sz w:val="22"/>
              </w:rPr>
              <w:t>1–13</w:t>
            </w:r>
          </w:p>
        </w:tc>
        <w:tc>
          <w:tcPr>
            <w:tcW w:w="0" w:type="auto"/>
            <w:tcBorders>
              <w:top w:val="single" w:sz="2" w:space="0" w:color="auto"/>
            </w:tcBorders>
          </w:tcPr>
          <w:p w14:paraId="5505BB37" w14:textId="77777777" w:rsidR="00BB618D" w:rsidRPr="00D12670" w:rsidRDefault="001B07B8" w:rsidP="00D12670">
            <w:pPr>
              <w:pStyle w:val="Compact"/>
              <w:spacing w:line="240" w:lineRule="auto"/>
              <w:rPr>
                <w:sz w:val="22"/>
              </w:rPr>
            </w:pPr>
            <w:r w:rsidRPr="00D12670">
              <w:rPr>
                <w:sz w:val="22"/>
              </w:rPr>
              <w:t>C major</w:t>
            </w:r>
          </w:p>
        </w:tc>
        <w:tc>
          <w:tcPr>
            <w:tcW w:w="0" w:type="auto"/>
            <w:tcBorders>
              <w:top w:val="single" w:sz="2" w:space="0" w:color="auto"/>
            </w:tcBorders>
          </w:tcPr>
          <w:p w14:paraId="5505BB38" w14:textId="77777777" w:rsidR="00BB618D" w:rsidRPr="00D12670" w:rsidRDefault="001B07B8" w:rsidP="00D12670">
            <w:pPr>
              <w:pStyle w:val="Compact"/>
              <w:spacing w:line="240" w:lineRule="auto"/>
              <w:rPr>
                <w:sz w:val="22"/>
              </w:rPr>
            </w:pPr>
            <w:r w:rsidRPr="00D12670">
              <w:rPr>
                <w:sz w:val="22"/>
              </w:rPr>
              <w:t>0:00 – 0:27</w:t>
            </w:r>
          </w:p>
        </w:tc>
      </w:tr>
      <w:tr w:rsidR="00BB618D" w:rsidRPr="00D12670" w14:paraId="5505BB3F" w14:textId="77777777" w:rsidTr="00D12670">
        <w:trPr>
          <w:jc w:val="center"/>
        </w:trPr>
        <w:tc>
          <w:tcPr>
            <w:tcW w:w="0" w:type="auto"/>
          </w:tcPr>
          <w:p w14:paraId="5505BB3A" w14:textId="77777777" w:rsidR="00BB618D" w:rsidRPr="00D12670" w:rsidRDefault="00BB618D" w:rsidP="00D12670">
            <w:pPr>
              <w:pStyle w:val="Compact"/>
              <w:spacing w:line="240" w:lineRule="auto"/>
              <w:rPr>
                <w:sz w:val="22"/>
              </w:rPr>
            </w:pPr>
          </w:p>
        </w:tc>
        <w:tc>
          <w:tcPr>
            <w:tcW w:w="0" w:type="auto"/>
          </w:tcPr>
          <w:p w14:paraId="5505BB3B" w14:textId="77777777" w:rsidR="00BB618D" w:rsidRPr="00D12670" w:rsidRDefault="001B07B8" w:rsidP="00D12670">
            <w:pPr>
              <w:pStyle w:val="Compact"/>
              <w:spacing w:line="240" w:lineRule="auto"/>
              <w:rPr>
                <w:sz w:val="22"/>
              </w:rPr>
            </w:pPr>
            <w:r w:rsidRPr="00D12670">
              <w:rPr>
                <w:sz w:val="22"/>
              </w:rPr>
              <w:t>Secondary theme (S)</w:t>
            </w:r>
          </w:p>
        </w:tc>
        <w:tc>
          <w:tcPr>
            <w:tcW w:w="0" w:type="auto"/>
          </w:tcPr>
          <w:p w14:paraId="5505BB3C" w14:textId="77777777" w:rsidR="00BB618D" w:rsidRPr="00D12670" w:rsidRDefault="001B07B8" w:rsidP="00D12670">
            <w:pPr>
              <w:pStyle w:val="Compact"/>
              <w:spacing w:line="240" w:lineRule="auto"/>
              <w:rPr>
                <w:sz w:val="22"/>
              </w:rPr>
            </w:pPr>
            <w:r w:rsidRPr="00D12670">
              <w:rPr>
                <w:sz w:val="22"/>
              </w:rPr>
              <w:t>14–25</w:t>
            </w:r>
          </w:p>
        </w:tc>
        <w:tc>
          <w:tcPr>
            <w:tcW w:w="0" w:type="auto"/>
          </w:tcPr>
          <w:p w14:paraId="5505BB3D" w14:textId="77777777" w:rsidR="00BB618D" w:rsidRPr="00D12670" w:rsidRDefault="001B07B8" w:rsidP="00D12670">
            <w:pPr>
              <w:pStyle w:val="Compact"/>
              <w:spacing w:line="240" w:lineRule="auto"/>
              <w:rPr>
                <w:sz w:val="22"/>
              </w:rPr>
            </w:pPr>
            <w:r w:rsidRPr="00D12670">
              <w:rPr>
                <w:sz w:val="22"/>
              </w:rPr>
              <w:t>G major</w:t>
            </w:r>
          </w:p>
        </w:tc>
        <w:tc>
          <w:tcPr>
            <w:tcW w:w="0" w:type="auto"/>
          </w:tcPr>
          <w:p w14:paraId="5505BB3E" w14:textId="77777777" w:rsidR="00BB618D" w:rsidRPr="00D12670" w:rsidRDefault="001B07B8" w:rsidP="00D12670">
            <w:pPr>
              <w:pStyle w:val="Compact"/>
              <w:spacing w:line="240" w:lineRule="auto"/>
              <w:rPr>
                <w:sz w:val="22"/>
              </w:rPr>
            </w:pPr>
            <w:r w:rsidRPr="00D12670">
              <w:rPr>
                <w:sz w:val="22"/>
              </w:rPr>
              <w:t>0:27 – 0:50</w:t>
            </w:r>
          </w:p>
        </w:tc>
      </w:tr>
      <w:tr w:rsidR="00BB618D" w:rsidRPr="00D12670" w14:paraId="5505BB45" w14:textId="77777777" w:rsidTr="00D12670">
        <w:trPr>
          <w:jc w:val="center"/>
        </w:trPr>
        <w:tc>
          <w:tcPr>
            <w:tcW w:w="0" w:type="auto"/>
          </w:tcPr>
          <w:p w14:paraId="5505BB40" w14:textId="77777777" w:rsidR="00BB618D" w:rsidRPr="00D12670" w:rsidRDefault="00BB618D" w:rsidP="00D12670">
            <w:pPr>
              <w:pStyle w:val="Compact"/>
              <w:spacing w:line="240" w:lineRule="auto"/>
              <w:rPr>
                <w:sz w:val="22"/>
              </w:rPr>
            </w:pPr>
          </w:p>
        </w:tc>
        <w:tc>
          <w:tcPr>
            <w:tcW w:w="0" w:type="auto"/>
          </w:tcPr>
          <w:p w14:paraId="5505BB41" w14:textId="77777777" w:rsidR="00BB618D" w:rsidRPr="00D12670" w:rsidRDefault="001B07B8" w:rsidP="00D12670">
            <w:pPr>
              <w:pStyle w:val="Compact"/>
              <w:spacing w:line="240" w:lineRule="auto"/>
              <w:rPr>
                <w:sz w:val="22"/>
              </w:rPr>
            </w:pPr>
            <w:r w:rsidRPr="00D12670">
              <w:rPr>
                <w:sz w:val="22"/>
              </w:rPr>
              <w:t>Codetta</w:t>
            </w:r>
          </w:p>
        </w:tc>
        <w:tc>
          <w:tcPr>
            <w:tcW w:w="0" w:type="auto"/>
          </w:tcPr>
          <w:p w14:paraId="5505BB42" w14:textId="77777777" w:rsidR="00BB618D" w:rsidRPr="00D12670" w:rsidRDefault="001B07B8" w:rsidP="00D12670">
            <w:pPr>
              <w:pStyle w:val="Compact"/>
              <w:spacing w:line="240" w:lineRule="auto"/>
              <w:rPr>
                <w:sz w:val="22"/>
              </w:rPr>
            </w:pPr>
            <w:r w:rsidRPr="00D12670">
              <w:rPr>
                <w:sz w:val="22"/>
              </w:rPr>
              <w:t>26–28</w:t>
            </w:r>
          </w:p>
        </w:tc>
        <w:tc>
          <w:tcPr>
            <w:tcW w:w="0" w:type="auto"/>
          </w:tcPr>
          <w:p w14:paraId="5505BB43" w14:textId="77777777" w:rsidR="00BB618D" w:rsidRPr="00D12670" w:rsidRDefault="001B07B8" w:rsidP="00D12670">
            <w:pPr>
              <w:pStyle w:val="Compact"/>
              <w:spacing w:line="240" w:lineRule="auto"/>
              <w:rPr>
                <w:sz w:val="22"/>
              </w:rPr>
            </w:pPr>
            <w:r w:rsidRPr="00D12670">
              <w:rPr>
                <w:sz w:val="22"/>
              </w:rPr>
              <w:t>G major</w:t>
            </w:r>
          </w:p>
        </w:tc>
        <w:tc>
          <w:tcPr>
            <w:tcW w:w="0" w:type="auto"/>
          </w:tcPr>
          <w:p w14:paraId="5505BB44" w14:textId="77777777" w:rsidR="00BB618D" w:rsidRPr="00D12670" w:rsidRDefault="001B07B8" w:rsidP="00D12670">
            <w:pPr>
              <w:pStyle w:val="Compact"/>
              <w:spacing w:line="240" w:lineRule="auto"/>
              <w:rPr>
                <w:sz w:val="22"/>
              </w:rPr>
            </w:pPr>
            <w:r w:rsidRPr="00D12670">
              <w:rPr>
                <w:sz w:val="22"/>
              </w:rPr>
              <w:t>0:50 – 0:55</w:t>
            </w:r>
          </w:p>
        </w:tc>
      </w:tr>
      <w:tr w:rsidR="00BB618D" w:rsidRPr="00D12670" w14:paraId="5505BB4B" w14:textId="77777777" w:rsidTr="00D12670">
        <w:trPr>
          <w:jc w:val="center"/>
        </w:trPr>
        <w:tc>
          <w:tcPr>
            <w:tcW w:w="0" w:type="auto"/>
          </w:tcPr>
          <w:p w14:paraId="5505BB46" w14:textId="77777777" w:rsidR="00BB618D" w:rsidRPr="00D12670" w:rsidRDefault="00BB618D" w:rsidP="00D12670">
            <w:pPr>
              <w:pStyle w:val="Compact"/>
              <w:spacing w:line="240" w:lineRule="auto"/>
              <w:rPr>
                <w:sz w:val="22"/>
              </w:rPr>
            </w:pPr>
          </w:p>
        </w:tc>
        <w:tc>
          <w:tcPr>
            <w:tcW w:w="0" w:type="auto"/>
          </w:tcPr>
          <w:p w14:paraId="5505BB47" w14:textId="77777777" w:rsidR="00BB618D" w:rsidRPr="00D12670" w:rsidRDefault="001B07B8" w:rsidP="00D12670">
            <w:pPr>
              <w:pStyle w:val="Compact"/>
              <w:spacing w:line="240" w:lineRule="auto"/>
              <w:rPr>
                <w:sz w:val="22"/>
              </w:rPr>
            </w:pPr>
            <w:r w:rsidRPr="00D12670">
              <w:rPr>
                <w:i/>
                <w:iCs/>
                <w:sz w:val="22"/>
              </w:rPr>
              <w:t>Exposition repeated</w:t>
            </w:r>
          </w:p>
        </w:tc>
        <w:tc>
          <w:tcPr>
            <w:tcW w:w="0" w:type="auto"/>
          </w:tcPr>
          <w:p w14:paraId="5505BB48" w14:textId="77777777" w:rsidR="00BB618D" w:rsidRPr="00D12670" w:rsidRDefault="001B07B8" w:rsidP="00D12670">
            <w:pPr>
              <w:pStyle w:val="Compact"/>
              <w:spacing w:line="240" w:lineRule="auto"/>
              <w:rPr>
                <w:sz w:val="22"/>
              </w:rPr>
            </w:pPr>
            <w:r w:rsidRPr="00D12670">
              <w:rPr>
                <w:sz w:val="22"/>
              </w:rPr>
              <w:t>-</w:t>
            </w:r>
          </w:p>
        </w:tc>
        <w:tc>
          <w:tcPr>
            <w:tcW w:w="0" w:type="auto"/>
          </w:tcPr>
          <w:p w14:paraId="5505BB49" w14:textId="77777777" w:rsidR="00BB618D" w:rsidRPr="00D12670" w:rsidRDefault="001B07B8" w:rsidP="00D12670">
            <w:pPr>
              <w:pStyle w:val="Compact"/>
              <w:spacing w:line="240" w:lineRule="auto"/>
              <w:rPr>
                <w:sz w:val="22"/>
              </w:rPr>
            </w:pPr>
            <w:r w:rsidRPr="00D12670">
              <w:rPr>
                <w:sz w:val="22"/>
              </w:rPr>
              <w:t>-</w:t>
            </w:r>
          </w:p>
        </w:tc>
        <w:tc>
          <w:tcPr>
            <w:tcW w:w="0" w:type="auto"/>
          </w:tcPr>
          <w:p w14:paraId="5505BB4A" w14:textId="77777777" w:rsidR="00BB618D" w:rsidRPr="00D12670" w:rsidRDefault="001B07B8" w:rsidP="00D12670">
            <w:pPr>
              <w:pStyle w:val="Compact"/>
              <w:spacing w:line="240" w:lineRule="auto"/>
              <w:rPr>
                <w:sz w:val="22"/>
              </w:rPr>
            </w:pPr>
            <w:r w:rsidRPr="00D12670">
              <w:rPr>
                <w:sz w:val="22"/>
              </w:rPr>
              <w:t>0:55 – 1:47</w:t>
            </w:r>
          </w:p>
        </w:tc>
      </w:tr>
      <w:tr w:rsidR="00BB618D" w:rsidRPr="00D12670" w14:paraId="5505BB51" w14:textId="77777777" w:rsidTr="00D12670">
        <w:trPr>
          <w:jc w:val="center"/>
        </w:trPr>
        <w:tc>
          <w:tcPr>
            <w:tcW w:w="0" w:type="auto"/>
          </w:tcPr>
          <w:p w14:paraId="5505BB4C" w14:textId="77777777" w:rsidR="00BB618D" w:rsidRPr="00D12670" w:rsidRDefault="001B07B8" w:rsidP="00D12670">
            <w:pPr>
              <w:pStyle w:val="Compact"/>
              <w:spacing w:line="240" w:lineRule="auto"/>
              <w:rPr>
                <w:sz w:val="22"/>
              </w:rPr>
            </w:pPr>
            <w:r w:rsidRPr="00D12670">
              <w:rPr>
                <w:b/>
                <w:bCs/>
                <w:sz w:val="22"/>
              </w:rPr>
              <w:t>Development</w:t>
            </w:r>
          </w:p>
        </w:tc>
        <w:tc>
          <w:tcPr>
            <w:tcW w:w="0" w:type="auto"/>
          </w:tcPr>
          <w:p w14:paraId="5505BB4D" w14:textId="77777777" w:rsidR="00BB618D" w:rsidRPr="00D12670" w:rsidRDefault="001B07B8" w:rsidP="00D12670">
            <w:pPr>
              <w:pStyle w:val="Compact"/>
              <w:spacing w:line="240" w:lineRule="auto"/>
              <w:rPr>
                <w:sz w:val="22"/>
              </w:rPr>
            </w:pPr>
            <w:r w:rsidRPr="00D12670">
              <w:rPr>
                <w:sz w:val="22"/>
              </w:rPr>
              <w:t>(modulating progression)</w:t>
            </w:r>
          </w:p>
        </w:tc>
        <w:tc>
          <w:tcPr>
            <w:tcW w:w="0" w:type="auto"/>
          </w:tcPr>
          <w:p w14:paraId="5505BB4E" w14:textId="77777777" w:rsidR="00BB618D" w:rsidRPr="00D12670" w:rsidRDefault="001B07B8" w:rsidP="00D12670">
            <w:pPr>
              <w:pStyle w:val="Compact"/>
              <w:spacing w:line="240" w:lineRule="auto"/>
              <w:rPr>
                <w:sz w:val="22"/>
              </w:rPr>
            </w:pPr>
            <w:r w:rsidRPr="00D12670">
              <w:rPr>
                <w:sz w:val="22"/>
              </w:rPr>
              <w:t>29–41</w:t>
            </w:r>
          </w:p>
        </w:tc>
        <w:tc>
          <w:tcPr>
            <w:tcW w:w="0" w:type="auto"/>
          </w:tcPr>
          <w:p w14:paraId="5505BB4F" w14:textId="77777777" w:rsidR="00BB618D" w:rsidRPr="00D12670" w:rsidRDefault="001B07B8" w:rsidP="00D12670">
            <w:pPr>
              <w:pStyle w:val="Compact"/>
              <w:spacing w:line="240" w:lineRule="auto"/>
              <w:rPr>
                <w:sz w:val="22"/>
              </w:rPr>
            </w:pPr>
            <w:r w:rsidRPr="00D12670">
              <w:rPr>
                <w:sz w:val="22"/>
              </w:rPr>
              <w:t>g → d → a → C → a → F</w:t>
            </w:r>
          </w:p>
        </w:tc>
        <w:tc>
          <w:tcPr>
            <w:tcW w:w="0" w:type="auto"/>
          </w:tcPr>
          <w:p w14:paraId="5505BB50" w14:textId="77777777" w:rsidR="00BB618D" w:rsidRPr="00D12670" w:rsidRDefault="001B07B8" w:rsidP="00D12670">
            <w:pPr>
              <w:pStyle w:val="Compact"/>
              <w:spacing w:line="240" w:lineRule="auto"/>
              <w:rPr>
                <w:sz w:val="22"/>
              </w:rPr>
            </w:pPr>
            <w:r w:rsidRPr="00D12670">
              <w:rPr>
                <w:sz w:val="22"/>
              </w:rPr>
              <w:t>1:48 – 2:12</w:t>
            </w:r>
          </w:p>
        </w:tc>
      </w:tr>
      <w:tr w:rsidR="00BB618D" w:rsidRPr="00D12670" w14:paraId="5505BB57" w14:textId="77777777" w:rsidTr="00D12670">
        <w:trPr>
          <w:jc w:val="center"/>
        </w:trPr>
        <w:tc>
          <w:tcPr>
            <w:tcW w:w="0" w:type="auto"/>
          </w:tcPr>
          <w:p w14:paraId="5505BB52" w14:textId="77777777" w:rsidR="00BB618D" w:rsidRPr="00D12670" w:rsidRDefault="001B07B8" w:rsidP="00D12670">
            <w:pPr>
              <w:pStyle w:val="Compact"/>
              <w:spacing w:line="240" w:lineRule="auto"/>
              <w:rPr>
                <w:sz w:val="22"/>
              </w:rPr>
            </w:pPr>
            <w:r w:rsidRPr="00D12670">
              <w:rPr>
                <w:b/>
                <w:bCs/>
                <w:sz w:val="22"/>
              </w:rPr>
              <w:t>Recapitulation</w:t>
            </w:r>
          </w:p>
        </w:tc>
        <w:tc>
          <w:tcPr>
            <w:tcW w:w="0" w:type="auto"/>
          </w:tcPr>
          <w:p w14:paraId="5505BB53" w14:textId="77777777" w:rsidR="00BB618D" w:rsidRPr="00D12670" w:rsidRDefault="001B07B8" w:rsidP="00D12670">
            <w:pPr>
              <w:pStyle w:val="Compact"/>
              <w:spacing w:line="240" w:lineRule="auto"/>
              <w:rPr>
                <w:sz w:val="22"/>
              </w:rPr>
            </w:pPr>
            <w:r w:rsidRPr="00D12670">
              <w:rPr>
                <w:sz w:val="22"/>
              </w:rPr>
              <w:t>Primary theme (P)</w:t>
            </w:r>
          </w:p>
        </w:tc>
        <w:tc>
          <w:tcPr>
            <w:tcW w:w="0" w:type="auto"/>
          </w:tcPr>
          <w:p w14:paraId="5505BB54" w14:textId="77777777" w:rsidR="00BB618D" w:rsidRPr="00D12670" w:rsidRDefault="001B07B8" w:rsidP="00D12670">
            <w:pPr>
              <w:pStyle w:val="Compact"/>
              <w:spacing w:line="240" w:lineRule="auto"/>
              <w:rPr>
                <w:sz w:val="22"/>
              </w:rPr>
            </w:pPr>
            <w:r w:rsidRPr="00D12670">
              <w:rPr>
                <w:sz w:val="22"/>
              </w:rPr>
              <w:t>42–58</w:t>
            </w:r>
          </w:p>
        </w:tc>
        <w:tc>
          <w:tcPr>
            <w:tcW w:w="0" w:type="auto"/>
          </w:tcPr>
          <w:p w14:paraId="5505BB55" w14:textId="77777777" w:rsidR="00BB618D" w:rsidRPr="00D12670" w:rsidRDefault="001B07B8" w:rsidP="00D12670">
            <w:pPr>
              <w:pStyle w:val="Compact"/>
              <w:spacing w:line="240" w:lineRule="auto"/>
              <w:rPr>
                <w:sz w:val="22"/>
              </w:rPr>
            </w:pPr>
            <w:r w:rsidRPr="00D12670">
              <w:rPr>
                <w:b/>
                <w:bCs/>
                <w:sz w:val="22"/>
              </w:rPr>
              <w:t>F major</w:t>
            </w:r>
            <w:r w:rsidRPr="00D12670">
              <w:rPr>
                <w:sz w:val="22"/>
              </w:rPr>
              <w:t xml:space="preserve"> ← subdominant</w:t>
            </w:r>
          </w:p>
        </w:tc>
        <w:tc>
          <w:tcPr>
            <w:tcW w:w="0" w:type="auto"/>
          </w:tcPr>
          <w:p w14:paraId="5505BB56" w14:textId="77777777" w:rsidR="00BB618D" w:rsidRPr="00D12670" w:rsidRDefault="001B07B8" w:rsidP="00D12670">
            <w:pPr>
              <w:pStyle w:val="Compact"/>
              <w:spacing w:line="240" w:lineRule="auto"/>
              <w:rPr>
                <w:sz w:val="22"/>
              </w:rPr>
            </w:pPr>
            <w:r w:rsidRPr="00D12670">
              <w:rPr>
                <w:sz w:val="22"/>
              </w:rPr>
              <w:t>2:12 – 2:45</w:t>
            </w:r>
          </w:p>
        </w:tc>
      </w:tr>
      <w:tr w:rsidR="00BB618D" w:rsidRPr="00D12670" w14:paraId="5505BB5D" w14:textId="77777777" w:rsidTr="00D12670">
        <w:trPr>
          <w:jc w:val="center"/>
        </w:trPr>
        <w:tc>
          <w:tcPr>
            <w:tcW w:w="0" w:type="auto"/>
          </w:tcPr>
          <w:p w14:paraId="5505BB58" w14:textId="77777777" w:rsidR="00BB618D" w:rsidRPr="00D12670" w:rsidRDefault="00BB618D" w:rsidP="00D12670">
            <w:pPr>
              <w:pStyle w:val="Compact"/>
              <w:spacing w:line="240" w:lineRule="auto"/>
              <w:rPr>
                <w:sz w:val="22"/>
              </w:rPr>
            </w:pPr>
          </w:p>
        </w:tc>
        <w:tc>
          <w:tcPr>
            <w:tcW w:w="0" w:type="auto"/>
          </w:tcPr>
          <w:p w14:paraId="5505BB59" w14:textId="77777777" w:rsidR="00BB618D" w:rsidRPr="00D12670" w:rsidRDefault="001B07B8" w:rsidP="00D12670">
            <w:pPr>
              <w:pStyle w:val="Compact"/>
              <w:spacing w:line="240" w:lineRule="auto"/>
              <w:rPr>
                <w:sz w:val="22"/>
              </w:rPr>
            </w:pPr>
            <w:r w:rsidRPr="00D12670">
              <w:rPr>
                <w:sz w:val="22"/>
              </w:rPr>
              <w:t>Secondary theme (S)</w:t>
            </w:r>
          </w:p>
        </w:tc>
        <w:tc>
          <w:tcPr>
            <w:tcW w:w="0" w:type="auto"/>
          </w:tcPr>
          <w:p w14:paraId="5505BB5A" w14:textId="77777777" w:rsidR="00BB618D" w:rsidRPr="00D12670" w:rsidRDefault="001B07B8" w:rsidP="00D12670">
            <w:pPr>
              <w:pStyle w:val="Compact"/>
              <w:spacing w:line="240" w:lineRule="auto"/>
              <w:rPr>
                <w:sz w:val="22"/>
              </w:rPr>
            </w:pPr>
            <w:r w:rsidRPr="00D12670">
              <w:rPr>
                <w:sz w:val="22"/>
              </w:rPr>
              <w:t>59–70</w:t>
            </w:r>
          </w:p>
        </w:tc>
        <w:tc>
          <w:tcPr>
            <w:tcW w:w="0" w:type="auto"/>
          </w:tcPr>
          <w:p w14:paraId="5505BB5B" w14:textId="77777777" w:rsidR="00BB618D" w:rsidRPr="00D12670" w:rsidRDefault="001B07B8" w:rsidP="00D12670">
            <w:pPr>
              <w:pStyle w:val="Compact"/>
              <w:spacing w:line="240" w:lineRule="auto"/>
              <w:rPr>
                <w:sz w:val="22"/>
              </w:rPr>
            </w:pPr>
            <w:r w:rsidRPr="00D12670">
              <w:rPr>
                <w:sz w:val="22"/>
              </w:rPr>
              <w:t>C major</w:t>
            </w:r>
          </w:p>
        </w:tc>
        <w:tc>
          <w:tcPr>
            <w:tcW w:w="0" w:type="auto"/>
          </w:tcPr>
          <w:p w14:paraId="5505BB5C" w14:textId="77777777" w:rsidR="00BB618D" w:rsidRPr="00D12670" w:rsidRDefault="001B07B8" w:rsidP="00D12670">
            <w:pPr>
              <w:pStyle w:val="Compact"/>
              <w:spacing w:line="240" w:lineRule="auto"/>
              <w:rPr>
                <w:sz w:val="22"/>
              </w:rPr>
            </w:pPr>
            <w:r w:rsidRPr="00D12670">
              <w:rPr>
                <w:sz w:val="22"/>
              </w:rPr>
              <w:t>2:45 – 3:07</w:t>
            </w:r>
          </w:p>
        </w:tc>
      </w:tr>
      <w:tr w:rsidR="00BB618D" w:rsidRPr="00D12670" w14:paraId="5505BB63" w14:textId="77777777" w:rsidTr="00D12670">
        <w:trPr>
          <w:jc w:val="center"/>
        </w:trPr>
        <w:tc>
          <w:tcPr>
            <w:tcW w:w="0" w:type="auto"/>
          </w:tcPr>
          <w:p w14:paraId="5505BB5E" w14:textId="77777777" w:rsidR="00BB618D" w:rsidRPr="00D12670" w:rsidRDefault="00BB618D" w:rsidP="00D12670">
            <w:pPr>
              <w:pStyle w:val="Compact"/>
              <w:spacing w:line="240" w:lineRule="auto"/>
              <w:rPr>
                <w:sz w:val="22"/>
              </w:rPr>
            </w:pPr>
          </w:p>
        </w:tc>
        <w:tc>
          <w:tcPr>
            <w:tcW w:w="0" w:type="auto"/>
          </w:tcPr>
          <w:p w14:paraId="5505BB5F" w14:textId="77777777" w:rsidR="00BB618D" w:rsidRPr="00D12670" w:rsidRDefault="001B07B8" w:rsidP="00D12670">
            <w:pPr>
              <w:pStyle w:val="Compact"/>
              <w:spacing w:line="240" w:lineRule="auto"/>
              <w:rPr>
                <w:sz w:val="22"/>
              </w:rPr>
            </w:pPr>
            <w:r w:rsidRPr="00D12670">
              <w:rPr>
                <w:sz w:val="22"/>
              </w:rPr>
              <w:t>Codetta</w:t>
            </w:r>
          </w:p>
        </w:tc>
        <w:tc>
          <w:tcPr>
            <w:tcW w:w="0" w:type="auto"/>
          </w:tcPr>
          <w:p w14:paraId="5505BB60" w14:textId="77777777" w:rsidR="00BB618D" w:rsidRPr="00D12670" w:rsidRDefault="001B07B8" w:rsidP="00D12670">
            <w:pPr>
              <w:pStyle w:val="Compact"/>
              <w:spacing w:line="240" w:lineRule="auto"/>
              <w:rPr>
                <w:sz w:val="22"/>
              </w:rPr>
            </w:pPr>
            <w:r w:rsidRPr="00D12670">
              <w:rPr>
                <w:sz w:val="22"/>
              </w:rPr>
              <w:t>71–73</w:t>
            </w:r>
          </w:p>
        </w:tc>
        <w:tc>
          <w:tcPr>
            <w:tcW w:w="0" w:type="auto"/>
          </w:tcPr>
          <w:p w14:paraId="5505BB61" w14:textId="77777777" w:rsidR="00BB618D" w:rsidRPr="00D12670" w:rsidRDefault="001B07B8" w:rsidP="00D12670">
            <w:pPr>
              <w:pStyle w:val="Compact"/>
              <w:spacing w:line="240" w:lineRule="auto"/>
              <w:rPr>
                <w:sz w:val="22"/>
              </w:rPr>
            </w:pPr>
            <w:r w:rsidRPr="00D12670">
              <w:rPr>
                <w:sz w:val="22"/>
              </w:rPr>
              <w:t>C major</w:t>
            </w:r>
          </w:p>
        </w:tc>
        <w:tc>
          <w:tcPr>
            <w:tcW w:w="0" w:type="auto"/>
          </w:tcPr>
          <w:p w14:paraId="5505BB62" w14:textId="77777777" w:rsidR="00BB618D" w:rsidRPr="00D12670" w:rsidRDefault="001B07B8" w:rsidP="00D12670">
            <w:pPr>
              <w:pStyle w:val="Compact"/>
              <w:spacing w:line="240" w:lineRule="auto"/>
              <w:rPr>
                <w:sz w:val="22"/>
              </w:rPr>
            </w:pPr>
            <w:r w:rsidRPr="00D12670">
              <w:rPr>
                <w:sz w:val="22"/>
              </w:rPr>
              <w:t>3:07 – 3:13</w:t>
            </w:r>
          </w:p>
        </w:tc>
      </w:tr>
    </w:tbl>
    <w:p w14:paraId="5505BB64" w14:textId="77777777" w:rsidR="00BB618D" w:rsidRDefault="001B07B8">
      <w:pPr>
        <w:pStyle w:val="a0"/>
      </w:pPr>
      <w:r>
        <w:t xml:space="preserve">Three features of this table reward attention. </w:t>
      </w:r>
      <w:r>
        <w:rPr>
          <w:i/>
          <w:iCs/>
        </w:rPr>
        <w:t>First</w:t>
      </w:r>
      <w:r>
        <w:t xml:space="preserve">, every numbered measure has a unique formal address: this is what allows the tool to overlay a color block on each measure in the score and a color segment on the timeline. </w:t>
      </w:r>
      <w:r>
        <w:rPr>
          <w:i/>
          <w:iCs/>
        </w:rPr>
        <w:t>Second</w:t>
      </w:r>
      <w:r>
        <w:t xml:space="preserve">, the exposition’s tonal motion, C → G, typical for a major-mode sonata, is reproduced </w:t>
      </w:r>
      <w:r>
        <w:rPr>
          <w:i/>
          <w:iCs/>
        </w:rPr>
        <w:t>not</w:t>
      </w:r>
      <w:r>
        <w:t xml:space="preserve"> in the recapitulation but in </w:t>
      </w:r>
      <w:r>
        <w:rPr>
          <w:i/>
          <w:iCs/>
        </w:rPr>
        <w:t>the exposition’s own repeat</w:t>
      </w:r>
      <w:r>
        <w:t xml:space="preserve">; this is the performer’s primary mechanism for letting the listener internalize the exposition’s harmonic plan. </w:t>
      </w:r>
      <w:r>
        <w:rPr>
          <w:i/>
          <w:iCs/>
        </w:rPr>
        <w:t>Third</w:t>
      </w:r>
      <w:r>
        <w:t xml:space="preserve">, the recapitulation reproduces the </w:t>
      </w:r>
      <w:r>
        <w:rPr>
          <w:i/>
          <w:iCs/>
        </w:rPr>
        <w:t>entire harmonic pattern of</w:t>
      </w:r>
      <w:r>
        <w:rPr>
          <w:i/>
          <w:iCs/>
        </w:rPr>
        <w:t xml:space="preserve"> the exposition</w:t>
      </w:r>
      <w:r>
        <w:t>, but shifted: P now in F major rather than C, with S returning to C rather than going to G. The remainder of this section unpacks why.</w:t>
      </w:r>
    </w:p>
    <w:p w14:paraId="5505BB65" w14:textId="77777777" w:rsidR="00BB618D" w:rsidRDefault="001B07B8">
      <w:pPr>
        <w:pStyle w:val="2"/>
      </w:pPr>
      <w:bookmarkStart w:id="14" w:name="Xa98a3c3564ba113360cfc7ae92a51cc8f6504b7"/>
      <w:bookmarkEnd w:id="13"/>
      <w:r>
        <w:t>3.3 The Subdominant Recapitulation: Functional Logic</w:t>
      </w:r>
    </w:p>
    <w:p w14:paraId="5505BB66" w14:textId="77777777" w:rsidR="00BB618D" w:rsidRDefault="001B07B8">
      <w:pPr>
        <w:pStyle w:val="FirstParagraph"/>
      </w:pPr>
      <w:r>
        <w:t xml:space="preserve">K. 545’s recapitulation famously begins in F major rather than the expected tonic C. Hepokoski and Darcy (2006: ch. 17) classify this as a </w:t>
      </w:r>
      <w:r>
        <w:rPr>
          <w:i/>
          <w:iCs/>
        </w:rPr>
        <w:t>subdominant recapitulation</w:t>
      </w:r>
      <w:r>
        <w:t>, a recognized but unusual deformation of the standard sonata template. The deformation is unusual enough to be mentioned in nearly every undergraduate textbook treatment of the movement, but its functional logic is rarely traced in detail.</w:t>
      </w:r>
    </w:p>
    <w:p w14:paraId="5505BB67" w14:textId="77777777" w:rsidR="00BB618D" w:rsidRDefault="001B07B8">
      <w:pPr>
        <w:pStyle w:val="3"/>
      </w:pPr>
      <w:bookmarkStart w:id="15" w:name="a-symmetrical-harmonic-plan"/>
      <w:r>
        <w:t>A symmetrical harmonic plan</w:t>
      </w:r>
    </w:p>
    <w:p w14:paraId="5505BB68" w14:textId="77777777" w:rsidR="00BB618D" w:rsidRDefault="001B07B8">
      <w:pPr>
        <w:pStyle w:val="FirstParagraph"/>
      </w:pPr>
      <w:r>
        <w:t>Consider the exposition first. The primary theme begins in the tonic (C major), the transition leads the harmony to the dominant (G major), and the secondary theme arrives on that dominant. Schematically:</w:t>
      </w:r>
    </w:p>
    <w:p w14:paraId="5505BB69" w14:textId="77777777" w:rsidR="00BB618D" w:rsidRDefault="001B07B8">
      <w:pPr>
        <w:pStyle w:val="a8"/>
      </w:pPr>
      <w:r>
        <w:rPr>
          <w:b/>
          <w:bCs/>
        </w:rPr>
        <w:t>Exposition:</w:t>
      </w:r>
      <w:r>
        <w:t xml:space="preserve"> P in C → S in G (motion of a fifth upward)</w:t>
      </w:r>
    </w:p>
    <w:p w14:paraId="5505BB6A" w14:textId="77777777" w:rsidR="00BB618D" w:rsidRDefault="001B07B8">
      <w:pPr>
        <w:pStyle w:val="FirstParagraph"/>
      </w:pPr>
      <w:r>
        <w:t xml:space="preserve">This </w:t>
      </w:r>
      <w:r>
        <w:rPr>
          <w:i/>
          <w:iCs/>
        </w:rPr>
        <w:t>I → V</w:t>
      </w:r>
      <w:r>
        <w:t xml:space="preserve"> trajectory is the textbook expectation. Now consider what would happen if the recapitulation mechanically reused this trajectory while starting in the tonic:</w:t>
      </w:r>
    </w:p>
    <w:p w14:paraId="5505BB6B" w14:textId="77777777" w:rsidR="00BB618D" w:rsidRDefault="001B07B8">
      <w:pPr>
        <w:pStyle w:val="a8"/>
      </w:pPr>
      <w:r>
        <w:rPr>
          <w:b/>
          <w:bCs/>
        </w:rPr>
        <w:t>Hypothetical “tonic recap”:</w:t>
      </w:r>
      <w:r>
        <w:t xml:space="preserve"> P in C → S in G (same as exposition)</w:t>
      </w:r>
    </w:p>
    <w:p w14:paraId="5505BB6C" w14:textId="77777777" w:rsidR="00BB618D" w:rsidRDefault="001B07B8">
      <w:pPr>
        <w:pStyle w:val="FirstParagraph"/>
      </w:pPr>
      <w:r>
        <w:t xml:space="preserve">The result would </w:t>
      </w:r>
      <w:r>
        <w:rPr>
          <w:i/>
          <w:iCs/>
        </w:rPr>
        <w:t>fail to fulfill the recapitulation’s central function</w:t>
      </w:r>
      <w:r>
        <w:t xml:space="preserve">, consolidating </w:t>
      </w:r>
      <w:r>
        <w:rPr>
          <w:i/>
          <w:iCs/>
        </w:rPr>
        <w:t>both</w:t>
      </w:r>
      <w:r>
        <w:t xml:space="preserve"> themes in the tonic. The secondary theme would arrive at G major, exactly as in the exposition, and the movement would have </w:t>
      </w:r>
      <w:r>
        <w:rPr>
          <w:i/>
          <w:iCs/>
        </w:rPr>
        <w:t>no</w:t>
      </w:r>
      <w:r>
        <w:t xml:space="preserve"> resolution of the dominant.</w:t>
      </w:r>
    </w:p>
    <w:p w14:paraId="5505BB6D" w14:textId="77777777" w:rsidR="00BB618D" w:rsidRDefault="001B07B8">
      <w:pPr>
        <w:pStyle w:val="a0"/>
      </w:pPr>
      <w:r>
        <w:t xml:space="preserve">Mozart’s solution is brilliantly economical: he transposes the entire recapitulation P down a fifth, into F major, and then lets the same modulating logic carry the music </w:t>
      </w:r>
      <w:r>
        <w:rPr>
          <w:i/>
          <w:iCs/>
        </w:rPr>
        <w:t>up</w:t>
      </w:r>
      <w:r>
        <w:t xml:space="preserve"> a fifth to the tonic.</w:t>
      </w:r>
    </w:p>
    <w:p w14:paraId="5505BB6E" w14:textId="77777777" w:rsidR="00BB618D" w:rsidRDefault="001B07B8">
      <w:pPr>
        <w:pStyle w:val="a8"/>
      </w:pPr>
      <w:r>
        <w:rPr>
          <w:b/>
          <w:bCs/>
        </w:rPr>
        <w:t>Mozart’s actual recap:</w:t>
      </w:r>
      <w:r>
        <w:t xml:space="preserve"> P in F → S in C (motion of a fifth upward)</w:t>
      </w:r>
    </w:p>
    <w:p w14:paraId="5505BB6F" w14:textId="77777777" w:rsidR="00BB618D" w:rsidRDefault="001B07B8">
      <w:pPr>
        <w:pStyle w:val="FirstParagraph"/>
      </w:pPr>
      <w:r>
        <w:t xml:space="preserve">The motion </w:t>
      </w:r>
      <w:r>
        <w:rPr>
          <w:i/>
          <w:iCs/>
        </w:rPr>
        <w:t>I → V</w:t>
      </w:r>
      <w:r>
        <w:t xml:space="preserve"> of the exposition becomes </w:t>
      </w:r>
      <w:r>
        <w:rPr>
          <w:i/>
          <w:iCs/>
        </w:rPr>
        <w:t>IV → I</w:t>
      </w:r>
      <w:r>
        <w:t xml:space="preserve"> of the recapitulation, exactly the resolution the form requires. The same modulatory mechanism, redirected by a single starting-key shift, achieves precisely the opposite tonal effect.</w:t>
      </w:r>
    </w:p>
    <w:p w14:paraId="5505BB70" w14:textId="77777777" w:rsidR="00BB618D" w:rsidRDefault="001B07B8">
      <w:pPr>
        <w:pStyle w:val="3"/>
      </w:pPr>
      <w:bookmarkStart w:id="16" w:name="why-this-matters-pedagogically"/>
      <w:bookmarkEnd w:id="15"/>
      <w:r>
        <w:t>Why this matters pedagogically</w:t>
      </w:r>
    </w:p>
    <w:p w14:paraId="5505BB71" w14:textId="77777777" w:rsidR="00BB618D" w:rsidRDefault="001B07B8">
      <w:pPr>
        <w:pStyle w:val="FirstParagraph"/>
      </w:pPr>
      <w:r>
        <w:t>Three observations follow from this analysis:</w:t>
      </w:r>
    </w:p>
    <w:p w14:paraId="5505BB72" w14:textId="77777777" w:rsidR="00BB618D" w:rsidRDefault="001B07B8">
      <w:pPr>
        <w:numPr>
          <w:ilvl w:val="0"/>
          <w:numId w:val="6"/>
        </w:numPr>
      </w:pPr>
      <w:r>
        <w:rPr>
          <w:b/>
          <w:bCs/>
        </w:rPr>
        <w:t>The “deformation” is not a deviation but an optimization.</w:t>
      </w:r>
      <w:r>
        <w:t xml:space="preserve"> A strict tonic-onset recap would have required Mozart to alter the internal mechanism of the modulation. Instead, by changing only the starting key, the entire mechanism is preserved and reoriented. Form here behaves as </w:t>
      </w:r>
      <w:r>
        <w:rPr>
          <w:i/>
          <w:iCs/>
        </w:rPr>
        <w:t>living convention</w:t>
      </w:r>
      <w:r>
        <w:t>: the convention is “consolidate themes in tonic,” and Mozart finds the most economical route to that goal.</w:t>
      </w:r>
    </w:p>
    <w:p w14:paraId="5505BB73" w14:textId="77777777" w:rsidR="00BB618D" w:rsidRDefault="001B07B8">
      <w:pPr>
        <w:numPr>
          <w:ilvl w:val="0"/>
          <w:numId w:val="6"/>
        </w:numPr>
      </w:pPr>
      <w:r>
        <w:rPr>
          <w:b/>
          <w:bCs/>
        </w:rPr>
        <w:t>Recognition of subdominant recap requires hearing both the local key and the larger functional aim.</w:t>
      </w:r>
      <w:r>
        <w:t xml:space="preserve"> A listener attending only to the surface (“the recap starts in the wrong key”) misses the resolution; a listener attending only to the tonal goal (“S returns to C”) misses Mozart’s clever route. Both layers, local key, structural goal, must be simultaneously available to the learner. This is exactly where multi-representational visualization can help: color labels make local key audible-at-a-glance, while the timeline makes the structural goal visible at a single look.</w:t>
      </w:r>
    </w:p>
    <w:p w14:paraId="5505BB74" w14:textId="77777777" w:rsidR="00BB618D" w:rsidRDefault="001B07B8">
      <w:pPr>
        <w:numPr>
          <w:ilvl w:val="0"/>
          <w:numId w:val="6"/>
        </w:numPr>
      </w:pPr>
      <w:r>
        <w:rPr>
          <w:b/>
          <w:bCs/>
        </w:rPr>
        <w:t>The recap is not a literal repetition.</w:t>
      </w:r>
      <w:r>
        <w:t xml:space="preserve"> Beyond the starting transposition, the recapitulation expands the transition (mm. 50–57) relative to the single-measure exposition T at m. 13, a </w:t>
      </w:r>
      <w:r>
        <w:rPr>
          <w:i/>
          <w:iCs/>
        </w:rPr>
        <w:t>recompositional</w:t>
      </w:r>
      <w:r>
        <w:t xml:space="preserve"> adjustment necessary to land S correctly in C. This is again a teaching point: a recapitulation that “just goes back to the beginning” would be unable to negotiate the non-symmetric tonal layout.</w:t>
      </w:r>
    </w:p>
    <w:p w14:paraId="5505BB75" w14:textId="77777777" w:rsidR="00BB618D" w:rsidRDefault="001B07B8">
      <w:pPr>
        <w:pStyle w:val="FirstParagraph"/>
      </w:pPr>
      <w:r>
        <w:t xml:space="preserve">These three observations are not new to specialists, but the experience of </w:t>
      </w:r>
      <w:r>
        <w:rPr>
          <w:i/>
          <w:iCs/>
        </w:rPr>
        <w:t>seeing them happen simultaneously</w:t>
      </w:r>
      <w:r>
        <w:t>, in color, on the score, at playback speed, is, in our experience, when students cease describing the recap as “wrong key” and begin describing it as “clever solution.”</w:t>
      </w:r>
    </w:p>
    <w:p w14:paraId="5505BB76" w14:textId="77777777" w:rsidR="00BB618D" w:rsidRDefault="001B07B8">
      <w:pPr>
        <w:pStyle w:val="3"/>
      </w:pPr>
      <w:bookmarkStart w:id="17" w:name="codetta-differences"/>
      <w:bookmarkEnd w:id="16"/>
      <w:r>
        <w:t>Codetta differences</w:t>
      </w:r>
    </w:p>
    <w:p w14:paraId="5505BB77" w14:textId="77777777" w:rsidR="00BB618D" w:rsidRDefault="001B07B8">
      <w:pPr>
        <w:pStyle w:val="FirstParagraph"/>
      </w:pPr>
      <w:r>
        <w:t xml:space="preserve">A subtler but equally instructive observation concerns the codettas. The exposition codetta (mm. 26–28) cadences in G major, providing a strong half-cadence-of-the-tonic / authentic-cadence-of-the-dominant double function. The recapitulation codetta (mm. 71–73) cadences in C major and is, significantly, virtually unchanged in figuration from its exposition counterpart. The tool’s color overlay reveals this: the codetta color band reappears with identical material at identical length, while the </w:t>
      </w:r>
      <w:r>
        <w:rPr>
          <w:i/>
          <w:iCs/>
        </w:rPr>
        <w:t>meaning</w:t>
      </w:r>
      <w:r>
        <w:t xml:space="preserve"> of the cadence has fundamentally shifted. For learners, this is a vivid demonstration that </w:t>
      </w:r>
      <w:r>
        <w:rPr>
          <w:i/>
          <w:iCs/>
        </w:rPr>
        <w:t>form is not surface identity</w:t>
      </w:r>
      <w:r>
        <w:t>; the same notes occupy different functional roles depending on the harmonic environment.</w:t>
      </w:r>
    </w:p>
    <w:p w14:paraId="5505BB78" w14:textId="77777777" w:rsidR="00BB618D" w:rsidRDefault="001B07B8">
      <w:pPr>
        <w:pStyle w:val="3"/>
      </w:pPr>
      <w:bookmarkStart w:id="18" w:name="how-the-tool-surfaces-these-insights"/>
      <w:bookmarkEnd w:id="17"/>
      <w:r>
        <w:t>How the tool surfaces these insights</w:t>
      </w:r>
    </w:p>
    <w:p w14:paraId="5505BB79" w14:textId="77777777" w:rsidR="00BB618D" w:rsidRDefault="001B07B8">
      <w:pPr>
        <w:pStyle w:val="FirstParagraph"/>
      </w:pPr>
      <w:r>
        <w:t xml:space="preserve">The analytical claims above are not generated by the tool, they are the analytical content the tool is </w:t>
      </w:r>
      <w:r>
        <w:rPr>
          <w:i/>
          <w:iCs/>
        </w:rPr>
        <w:t>designed to reveal</w:t>
      </w:r>
      <w:r>
        <w:t>. Figure 1 shows the recapitulation P region in the tool: the F-major key signature (one flat) is visible at the start of the recapitulation, and the analysis pane labels the section in real time. Three features carry the pedagogical work:</w:t>
      </w:r>
    </w:p>
    <w:p w14:paraId="5505BB7A" w14:textId="77777777" w:rsidR="00BB618D" w:rsidRDefault="001B07B8">
      <w:pPr>
        <w:pStyle w:val="CaptionedFigure"/>
      </w:pPr>
      <w:r>
        <w:rPr>
          <w:noProof/>
        </w:rPr>
        <w:drawing>
          <wp:inline distT="0" distB="0" distL="0" distR="0" wp14:anchorId="5505BC1B" wp14:editId="5505BC1C">
            <wp:extent cx="5334000" cy="1834827"/>
            <wp:effectExtent l="0" t="0" r="0" b="0"/>
            <wp:docPr id="26" name="Picture" descr="Figure 1. Recapitulation P region (mm. 42–58) on the score with the section overlay visible at the boundary. The F-major key signature (one flat) is the visible cue that distinguishes the recapitulation P from the C-major exposition P, illustrating K. 545’s subdominant-recapitulation deformation discussed in §3.3."/>
            <wp:cNvGraphicFramePr/>
            <a:graphic xmlns:a="http://schemas.openxmlformats.org/drawingml/2006/main">
              <a:graphicData uri="http://schemas.openxmlformats.org/drawingml/2006/picture">
                <pic:pic xmlns:pic="http://schemas.openxmlformats.org/drawingml/2006/picture">
                  <pic:nvPicPr>
                    <pic:cNvPr id="27" name="Picture" descr="figures/fig_a3_recap_p.png"/>
                    <pic:cNvPicPr>
                      <a:picLocks noChangeAspect="1" noChangeArrowheads="1"/>
                    </pic:cNvPicPr>
                  </pic:nvPicPr>
                  <pic:blipFill>
                    <a:blip r:embed="rId7"/>
                    <a:stretch>
                      <a:fillRect/>
                    </a:stretch>
                  </pic:blipFill>
                  <pic:spPr bwMode="auto">
                    <a:xfrm>
                      <a:off x="0" y="0"/>
                      <a:ext cx="5334000" cy="1834827"/>
                    </a:xfrm>
                    <a:prstGeom prst="rect">
                      <a:avLst/>
                    </a:prstGeom>
                    <a:noFill/>
                    <a:ln w="9525">
                      <a:noFill/>
                      <a:headEnd/>
                      <a:tailEnd/>
                    </a:ln>
                  </pic:spPr>
                </pic:pic>
              </a:graphicData>
            </a:graphic>
          </wp:inline>
        </w:drawing>
      </w:r>
    </w:p>
    <w:p w14:paraId="5505BB7B" w14:textId="77777777" w:rsidR="00BB618D" w:rsidRDefault="001B07B8">
      <w:pPr>
        <w:pStyle w:val="ImageCaption"/>
      </w:pPr>
      <w:r>
        <w:rPr>
          <w:b/>
          <w:bCs/>
        </w:rPr>
        <w:t>Figure 1.</w:t>
      </w:r>
      <w:r>
        <w:t xml:space="preserve"> Recapitulation P region (mm. 42–58) on the score with the section overlay visible at the boundary. The F-major key signature (one flat) is the visible cue that distinguishes the recapitulation P from the C-major exposition P, illustrating K. 545’s subdominant-recapitulation deformation discussed in §3.3.</w:t>
      </w:r>
    </w:p>
    <w:p w14:paraId="5505BB7C" w14:textId="77777777" w:rsidR="00BB618D" w:rsidRDefault="001B07B8">
      <w:pPr>
        <w:pStyle w:val="Compact"/>
        <w:numPr>
          <w:ilvl w:val="0"/>
          <w:numId w:val="7"/>
        </w:numPr>
      </w:pPr>
      <w:r>
        <w:rPr>
          <w:b/>
          <w:bCs/>
        </w:rPr>
        <w:t>Key labels on recap regions.</w:t>
      </w:r>
      <w:r>
        <w:t xml:space="preserve"> When the playhead enters mm. 42–58, the analysis pane displays “F major” rather than “C major.” The anomaly is named in real time.</w:t>
      </w:r>
    </w:p>
    <w:p w14:paraId="5505BB7D" w14:textId="77777777" w:rsidR="00BB618D" w:rsidRDefault="001B07B8">
      <w:pPr>
        <w:pStyle w:val="Compact"/>
        <w:numPr>
          <w:ilvl w:val="0"/>
          <w:numId w:val="7"/>
        </w:numPr>
      </w:pPr>
      <w:r>
        <w:rPr>
          <w:b/>
          <w:bCs/>
        </w:rPr>
        <w:t>Auto-commentary on the deformation.</w:t>
      </w:r>
      <w:r>
        <w:t xml:space="preserve"> The same pane displays a short framing sentence, </w:t>
      </w:r>
      <w:r>
        <w:rPr>
          <w:i/>
          <w:iCs/>
        </w:rPr>
        <w:t>“Subdominant recapitulation: the exposition’s modulation plan, redirected toward the tonic”</w:t>
      </w:r>
      <w:r>
        <w:t xml:space="preserve">, which transforms the local key change into a </w:t>
      </w:r>
      <w:r>
        <w:rPr>
          <w:i/>
          <w:iCs/>
        </w:rPr>
        <w:t>functional</w:t>
      </w:r>
      <w:r>
        <w:t xml:space="preserve"> event.</w:t>
      </w:r>
    </w:p>
    <w:p w14:paraId="5505BB7E" w14:textId="77777777" w:rsidR="00BB618D" w:rsidRDefault="001B07B8">
      <w:pPr>
        <w:pStyle w:val="Compact"/>
        <w:numPr>
          <w:ilvl w:val="0"/>
          <w:numId w:val="7"/>
        </w:numPr>
      </w:pPr>
      <w:r>
        <w:rPr>
          <w:b/>
          <w:bCs/>
        </w:rPr>
        <w:t>Loop-section A/B comparison.</w:t>
      </w:r>
      <w:r>
        <w:t xml:space="preserve"> A single toggle replays the exposition’s P region followed immediately by the recapitulation’s P region. The two passages are </w:t>
      </w:r>
      <w:r>
        <w:rPr>
          <w:i/>
          <w:iCs/>
        </w:rPr>
        <w:t>the same melody</w:t>
      </w:r>
      <w:r>
        <w:t xml:space="preserve"> in </w:t>
      </w:r>
      <w:r>
        <w:rPr>
          <w:i/>
          <w:iCs/>
        </w:rPr>
        <w:t>different keys</w:t>
      </w:r>
      <w:r>
        <w:t>, and hearing them back-to-back makes Mozart’s transposition-as-mechanism viscerally clear in a way no static analytical diagram can.</w:t>
      </w:r>
    </w:p>
    <w:p w14:paraId="5505BB7F" w14:textId="77777777" w:rsidR="00BB618D" w:rsidRDefault="001B07B8">
      <w:pPr>
        <w:pStyle w:val="1"/>
      </w:pPr>
      <w:bookmarkStart w:id="19" w:name="X6b0ed9b7d24a9e3f38e512a32fc3a560b5ae5ec"/>
      <w:bookmarkEnd w:id="11"/>
      <w:bookmarkEnd w:id="14"/>
      <w:bookmarkEnd w:id="18"/>
      <w:r>
        <w:t>4. The Tool: Three Coordinated Representations</w:t>
      </w:r>
    </w:p>
    <w:p w14:paraId="5505BB80" w14:textId="77777777" w:rsidR="00BB618D" w:rsidRDefault="001B07B8">
      <w:pPr>
        <w:pStyle w:val="FirstParagraph"/>
      </w:pPr>
      <w:r>
        <w:t xml:space="preserve">The system is a static, client-side web application with one </w:t>
      </w:r>
      <w:r>
        <w:t xml:space="preserve">external dependency (OpenSheetMusicDisplay) and no build step. The source code, analysis data, and audio-policy documentation are available through the project’s GitHub repository and Zenodo archive (§9 </w:t>
      </w:r>
      <w:r>
        <w:rPr>
          <w:i/>
          <w:iCs/>
        </w:rPr>
        <w:t>Reproducibility</w:t>
      </w:r>
      <w:r>
        <w:t>).</w:t>
      </w:r>
    </w:p>
    <w:p w14:paraId="5505BB81" w14:textId="77777777" w:rsidR="00BB618D" w:rsidRDefault="001B07B8">
      <w:pPr>
        <w:pStyle w:val="a0"/>
      </w:pPr>
      <w:r>
        <w:t xml:space="preserve">What makes the system useful for teaching is not any single representation but the </w:t>
      </w:r>
      <w:r>
        <w:rPr>
          <w:i/>
          <w:iCs/>
        </w:rPr>
        <w:t>coordination</w:t>
      </w:r>
      <w:r>
        <w:t xml:space="preserve"> among them: a single musical present moment is rendered three ways, and the user can intervene in any of them. Figure 2 shows the system at startup, with the timeline, analysis pane, and OSMD-rendered score laid out together. The remainder of this section describes the three representations (§4.1), the color scheme (§4.2), the analysis data (§4.3), the listening affordances (§4.4), and one design choice that deserves particular attention — how the tool handles performer-elected exposition repea</w:t>
      </w:r>
      <w:r>
        <w:t>ts (§4.5).</w:t>
      </w:r>
    </w:p>
    <w:p w14:paraId="5505BB82" w14:textId="77777777" w:rsidR="00BB618D" w:rsidRDefault="001B07B8">
      <w:pPr>
        <w:pStyle w:val="CaptionedFigure"/>
      </w:pPr>
      <w:r>
        <w:rPr>
          <w:noProof/>
        </w:rPr>
        <w:drawing>
          <wp:inline distT="0" distB="0" distL="0" distR="0" wp14:anchorId="5505BC1D" wp14:editId="5505BC1E">
            <wp:extent cx="5334000" cy="2779810"/>
            <wp:effectExtent l="0" t="0" r="0" b="0"/>
            <wp:docPr id="32" name="Picture" descr="Figure 2. System overview at startup, showing the title banner, the section-level timeline (top: pastel-blue exposition, pastel-amber development, pastel-green recapitulation), the now-playing analysis pane (theme zone, key, current measure), and the OSMD-rendered MusicXML score below."/>
            <wp:cNvGraphicFramePr/>
            <a:graphic xmlns:a="http://schemas.openxmlformats.org/drawingml/2006/main">
              <a:graphicData uri="http://schemas.openxmlformats.org/drawingml/2006/picture">
                <pic:pic xmlns:pic="http://schemas.openxmlformats.org/drawingml/2006/picture">
                  <pic:nvPicPr>
                    <pic:cNvPr id="33" name="Picture" descr="figures/fig_a1_overview.png"/>
                    <pic:cNvPicPr>
                      <a:picLocks noChangeAspect="1" noChangeArrowheads="1"/>
                    </pic:cNvPicPr>
                  </pic:nvPicPr>
                  <pic:blipFill>
                    <a:blip r:embed="rId8"/>
                    <a:stretch>
                      <a:fillRect/>
                    </a:stretch>
                  </pic:blipFill>
                  <pic:spPr bwMode="auto">
                    <a:xfrm>
                      <a:off x="0" y="0"/>
                      <a:ext cx="5334000" cy="2779810"/>
                    </a:xfrm>
                    <a:prstGeom prst="rect">
                      <a:avLst/>
                    </a:prstGeom>
                    <a:noFill/>
                    <a:ln w="9525">
                      <a:noFill/>
                      <a:headEnd/>
                      <a:tailEnd/>
                    </a:ln>
                  </pic:spPr>
                </pic:pic>
              </a:graphicData>
            </a:graphic>
          </wp:inline>
        </w:drawing>
      </w:r>
    </w:p>
    <w:p w14:paraId="5505BB83" w14:textId="77777777" w:rsidR="00BB618D" w:rsidRDefault="001B07B8">
      <w:pPr>
        <w:pStyle w:val="ImageCaption"/>
      </w:pPr>
      <w:r>
        <w:rPr>
          <w:b/>
          <w:bCs/>
        </w:rPr>
        <w:t>Figure 2.</w:t>
      </w:r>
      <w:r>
        <w:t xml:space="preserve"> System overview at startup, showing the title banner, the section-level timeline (top: pastel-blue exposition, pastel-amber development, pastel-green recapitulation), the now-playing analysis pane (theme zone, key, current measure), and the OSMD-rendered MusicXML score below.</w:t>
      </w:r>
    </w:p>
    <w:p w14:paraId="5505BB84" w14:textId="77777777" w:rsidR="00BB618D" w:rsidRDefault="001B07B8">
      <w:pPr>
        <w:pStyle w:val="2"/>
      </w:pPr>
      <w:bookmarkStart w:id="20" w:name="the-three-representations"/>
      <w:r>
        <w:t>4.1 The Three Representations</w:t>
      </w:r>
    </w:p>
    <w:p w14:paraId="5505BB85" w14:textId="77777777" w:rsidR="00BB618D" w:rsidRDefault="001B07B8">
      <w:pPr>
        <w:pStyle w:val="FirstParagraph"/>
      </w:pPr>
      <w:r>
        <w:t xml:space="preserve">The three representations and their update behaviour on each </w:t>
      </w:r>
      <w:r>
        <w:rPr>
          <w:rStyle w:val="VerbatimChar"/>
        </w:rPr>
        <w:t>timeupdate</w:t>
      </w:r>
      <w:r>
        <w:t xml:space="preserve"> event are summarized in Table 3.</w:t>
      </w:r>
    </w:p>
    <w:p w14:paraId="5505BB86" w14:textId="77777777" w:rsidR="00BB618D" w:rsidRDefault="001B07B8">
      <w:pPr>
        <w:pStyle w:val="a0"/>
      </w:pPr>
      <w:r>
        <w:rPr>
          <w:b/>
          <w:bCs/>
        </w:rPr>
        <w:t>Table 3.</w:t>
      </w:r>
      <w:r>
        <w:t xml:space="preserve"> The three coordinated representations and their behaviour on each </w:t>
      </w:r>
      <w:r>
        <w:rPr>
          <w:rStyle w:val="VerbatimChar"/>
        </w:rPr>
        <w:t>timeupdate</w:t>
      </w:r>
      <w:r>
        <w:t xml:space="preserve"> event.</w:t>
      </w:r>
    </w:p>
    <w:tbl>
      <w:tblPr>
        <w:tblStyle w:val="Table"/>
        <w:tblW w:w="0" w:type="auto"/>
        <w:jc w:val="center"/>
        <w:tblLook w:val="0020" w:firstRow="1" w:lastRow="0" w:firstColumn="0" w:lastColumn="0" w:noHBand="0" w:noVBand="0"/>
      </w:tblPr>
      <w:tblGrid>
        <w:gridCol w:w="1684"/>
        <w:gridCol w:w="4943"/>
        <w:gridCol w:w="2616"/>
      </w:tblGrid>
      <w:tr w:rsidR="00BB618D" w:rsidRPr="00D12670" w14:paraId="5505BB8A" w14:textId="77777777" w:rsidTr="00D1267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5505BB87" w14:textId="77777777" w:rsidR="00BB618D" w:rsidRPr="00D12670" w:rsidRDefault="001B07B8" w:rsidP="00D12670">
            <w:pPr>
              <w:pStyle w:val="Compact"/>
              <w:spacing w:line="240" w:lineRule="auto"/>
              <w:rPr>
                <w:b/>
                <w:sz w:val="22"/>
              </w:rPr>
            </w:pPr>
            <w:r w:rsidRPr="00D12670">
              <w:rPr>
                <w:b/>
                <w:sz w:val="22"/>
              </w:rPr>
              <w:t>Representation</w:t>
            </w:r>
          </w:p>
        </w:tc>
        <w:tc>
          <w:tcPr>
            <w:tcW w:w="0" w:type="auto"/>
            <w:tcBorders>
              <w:bottom w:val="single" w:sz="2" w:space="0" w:color="auto"/>
            </w:tcBorders>
            <w:shd w:val="clear" w:color="auto" w:fill="EBEBEB"/>
          </w:tcPr>
          <w:p w14:paraId="5505BB88" w14:textId="77777777" w:rsidR="00BB618D" w:rsidRPr="00D12670" w:rsidRDefault="001B07B8" w:rsidP="00D12670">
            <w:pPr>
              <w:pStyle w:val="Compact"/>
              <w:spacing w:line="240" w:lineRule="auto"/>
              <w:rPr>
                <w:b/>
                <w:sz w:val="22"/>
              </w:rPr>
            </w:pPr>
            <w:r w:rsidRPr="00D12670">
              <w:rPr>
                <w:b/>
                <w:sz w:val="22"/>
              </w:rPr>
              <w:t>Encoding</w:t>
            </w:r>
          </w:p>
        </w:tc>
        <w:tc>
          <w:tcPr>
            <w:tcW w:w="0" w:type="auto"/>
            <w:tcBorders>
              <w:bottom w:val="single" w:sz="2" w:space="0" w:color="auto"/>
            </w:tcBorders>
            <w:shd w:val="clear" w:color="auto" w:fill="EBEBEB"/>
          </w:tcPr>
          <w:p w14:paraId="5505BB89" w14:textId="77777777" w:rsidR="00BB618D" w:rsidRPr="00D12670" w:rsidRDefault="001B07B8" w:rsidP="00D12670">
            <w:pPr>
              <w:pStyle w:val="Compact"/>
              <w:spacing w:line="240" w:lineRule="auto"/>
              <w:rPr>
                <w:b/>
                <w:sz w:val="22"/>
              </w:rPr>
            </w:pPr>
            <w:r w:rsidRPr="00D12670">
              <w:rPr>
                <w:b/>
                <w:sz w:val="22"/>
              </w:rPr>
              <w:t xml:space="preserve">Update on </w:t>
            </w:r>
            <w:r w:rsidRPr="00D12670">
              <w:rPr>
                <w:rStyle w:val="VerbatimChar"/>
                <w:rFonts w:ascii="Times New Roman" w:hAnsi="Times New Roman"/>
                <w:b/>
                <w:sz w:val="22"/>
              </w:rPr>
              <w:t>timeupdate</w:t>
            </w:r>
          </w:p>
        </w:tc>
      </w:tr>
      <w:tr w:rsidR="00BB618D" w:rsidRPr="00D12670" w14:paraId="5505BB8E" w14:textId="77777777" w:rsidTr="00D12670">
        <w:trPr>
          <w:jc w:val="center"/>
        </w:trPr>
        <w:tc>
          <w:tcPr>
            <w:tcW w:w="0" w:type="auto"/>
            <w:tcBorders>
              <w:top w:val="single" w:sz="2" w:space="0" w:color="auto"/>
            </w:tcBorders>
          </w:tcPr>
          <w:p w14:paraId="5505BB8B" w14:textId="77777777" w:rsidR="00BB618D" w:rsidRPr="00D12670" w:rsidRDefault="001B07B8" w:rsidP="00D12670">
            <w:pPr>
              <w:pStyle w:val="Compact"/>
              <w:spacing w:line="240" w:lineRule="auto"/>
              <w:rPr>
                <w:sz w:val="22"/>
              </w:rPr>
            </w:pPr>
            <w:r w:rsidRPr="00D12670">
              <w:rPr>
                <w:b/>
                <w:bCs/>
                <w:sz w:val="22"/>
              </w:rPr>
              <w:t>Color timeline</w:t>
            </w:r>
          </w:p>
        </w:tc>
        <w:tc>
          <w:tcPr>
            <w:tcW w:w="0" w:type="auto"/>
            <w:tcBorders>
              <w:top w:val="single" w:sz="2" w:space="0" w:color="auto"/>
            </w:tcBorders>
          </w:tcPr>
          <w:p w14:paraId="5505BB8C" w14:textId="77777777" w:rsidR="00BB618D" w:rsidRPr="00D12670" w:rsidRDefault="001B07B8" w:rsidP="00D12670">
            <w:pPr>
              <w:pStyle w:val="Compact"/>
              <w:spacing w:line="240" w:lineRule="auto"/>
              <w:rPr>
                <w:sz w:val="22"/>
              </w:rPr>
            </w:pPr>
            <w:r w:rsidRPr="00D12670">
              <w:rPr>
                <w:sz w:val="22"/>
              </w:rPr>
              <w:t>Horizontal bar, two-level color, proportional widths</w:t>
            </w:r>
          </w:p>
        </w:tc>
        <w:tc>
          <w:tcPr>
            <w:tcW w:w="0" w:type="auto"/>
            <w:tcBorders>
              <w:top w:val="single" w:sz="2" w:space="0" w:color="auto"/>
            </w:tcBorders>
          </w:tcPr>
          <w:p w14:paraId="5505BB8D" w14:textId="77777777" w:rsidR="00BB618D" w:rsidRPr="00D12670" w:rsidRDefault="001B07B8" w:rsidP="00D12670">
            <w:pPr>
              <w:pStyle w:val="Compact"/>
              <w:spacing w:line="240" w:lineRule="auto"/>
              <w:rPr>
                <w:sz w:val="22"/>
              </w:rPr>
            </w:pPr>
            <w:r w:rsidRPr="00D12670">
              <w:rPr>
                <w:sz w:val="22"/>
              </w:rPr>
              <w:t>Red playhead advances</w:t>
            </w:r>
          </w:p>
        </w:tc>
      </w:tr>
      <w:tr w:rsidR="00BB618D" w:rsidRPr="00D12670" w14:paraId="5505BB92" w14:textId="77777777" w:rsidTr="00D12670">
        <w:trPr>
          <w:jc w:val="center"/>
        </w:trPr>
        <w:tc>
          <w:tcPr>
            <w:tcW w:w="0" w:type="auto"/>
          </w:tcPr>
          <w:p w14:paraId="5505BB8F" w14:textId="77777777" w:rsidR="00BB618D" w:rsidRPr="00D12670" w:rsidRDefault="001B07B8" w:rsidP="00D12670">
            <w:pPr>
              <w:pStyle w:val="Compact"/>
              <w:spacing w:line="240" w:lineRule="auto"/>
              <w:rPr>
                <w:sz w:val="22"/>
              </w:rPr>
            </w:pPr>
            <w:r w:rsidRPr="00D12670">
              <w:rPr>
                <w:b/>
                <w:bCs/>
                <w:sz w:val="22"/>
              </w:rPr>
              <w:t>Score</w:t>
            </w:r>
          </w:p>
        </w:tc>
        <w:tc>
          <w:tcPr>
            <w:tcW w:w="0" w:type="auto"/>
          </w:tcPr>
          <w:p w14:paraId="5505BB90" w14:textId="77777777" w:rsidR="00BB618D" w:rsidRPr="00D12670" w:rsidRDefault="001B07B8" w:rsidP="00D12670">
            <w:pPr>
              <w:pStyle w:val="Compact"/>
              <w:spacing w:line="240" w:lineRule="auto"/>
              <w:rPr>
                <w:sz w:val="22"/>
              </w:rPr>
            </w:pPr>
            <w:r w:rsidRPr="00D12670">
              <w:rPr>
                <w:sz w:val="22"/>
              </w:rPr>
              <w:t>MusicXML rendered as SVG; current measure highlighted</w:t>
            </w:r>
          </w:p>
        </w:tc>
        <w:tc>
          <w:tcPr>
            <w:tcW w:w="0" w:type="auto"/>
          </w:tcPr>
          <w:p w14:paraId="5505BB91" w14:textId="77777777" w:rsidR="00BB618D" w:rsidRPr="00D12670" w:rsidRDefault="001B07B8" w:rsidP="00D12670">
            <w:pPr>
              <w:pStyle w:val="Compact"/>
              <w:spacing w:line="240" w:lineRule="auto"/>
              <w:rPr>
                <w:sz w:val="22"/>
              </w:rPr>
            </w:pPr>
            <w:r w:rsidRPr="00D12670">
              <w:rPr>
                <w:sz w:val="22"/>
              </w:rPr>
              <w:t>Cursor moves to current note</w:t>
            </w:r>
          </w:p>
        </w:tc>
      </w:tr>
      <w:tr w:rsidR="00BB618D" w:rsidRPr="00D12670" w14:paraId="5505BB96" w14:textId="77777777" w:rsidTr="00D12670">
        <w:trPr>
          <w:jc w:val="center"/>
        </w:trPr>
        <w:tc>
          <w:tcPr>
            <w:tcW w:w="0" w:type="auto"/>
          </w:tcPr>
          <w:p w14:paraId="5505BB93" w14:textId="77777777" w:rsidR="00BB618D" w:rsidRPr="00D12670" w:rsidRDefault="001B07B8" w:rsidP="00D12670">
            <w:pPr>
              <w:pStyle w:val="Compact"/>
              <w:spacing w:line="240" w:lineRule="auto"/>
              <w:rPr>
                <w:sz w:val="22"/>
              </w:rPr>
            </w:pPr>
            <w:r w:rsidRPr="00D12670">
              <w:rPr>
                <w:b/>
                <w:bCs/>
                <w:sz w:val="22"/>
              </w:rPr>
              <w:t>Analytical pane</w:t>
            </w:r>
          </w:p>
        </w:tc>
        <w:tc>
          <w:tcPr>
            <w:tcW w:w="0" w:type="auto"/>
          </w:tcPr>
          <w:p w14:paraId="5505BB94" w14:textId="77777777" w:rsidR="00BB618D" w:rsidRPr="00D12670" w:rsidRDefault="001B07B8" w:rsidP="00D12670">
            <w:pPr>
              <w:pStyle w:val="Compact"/>
              <w:spacing w:line="240" w:lineRule="auto"/>
              <w:rPr>
                <w:sz w:val="22"/>
              </w:rPr>
            </w:pPr>
            <w:r w:rsidRPr="00D12670">
              <w:rPr>
                <w:sz w:val="22"/>
              </w:rPr>
              <w:t>Section + theme labels, current key, auto-commentary</w:t>
            </w:r>
          </w:p>
        </w:tc>
        <w:tc>
          <w:tcPr>
            <w:tcW w:w="0" w:type="auto"/>
          </w:tcPr>
          <w:p w14:paraId="5505BB95" w14:textId="77777777" w:rsidR="00BB618D" w:rsidRPr="00D12670" w:rsidRDefault="001B07B8" w:rsidP="00D12670">
            <w:pPr>
              <w:pStyle w:val="Compact"/>
              <w:spacing w:line="240" w:lineRule="auto"/>
              <w:rPr>
                <w:sz w:val="22"/>
              </w:rPr>
            </w:pPr>
            <w:r w:rsidRPr="00D12670">
              <w:rPr>
                <w:sz w:val="22"/>
              </w:rPr>
              <w:t>Re-renders on label change</w:t>
            </w:r>
          </w:p>
        </w:tc>
      </w:tr>
    </w:tbl>
    <w:p w14:paraId="5505BB97" w14:textId="77777777" w:rsidR="00BB618D" w:rsidRDefault="001B07B8">
      <w:pPr>
        <w:pStyle w:val="a0"/>
      </w:pPr>
      <w:r>
        <w:t xml:space="preserve">A measure-to-time lookup (binary search, O(log n)) runs once per </w:t>
      </w:r>
      <w:r>
        <w:rPr>
          <w:rStyle w:val="VerbatimChar"/>
        </w:rPr>
        <w:t>timeupdate</w:t>
      </w:r>
      <w:r>
        <w:t xml:space="preserve"> event (≈ 250 ms). The current measure is then routed to all three representations, which update within a single render frame. A linear proportional scaling at </w:t>
      </w:r>
      <w:r>
        <w:rPr>
          <w:rStyle w:val="VerbatimChar"/>
        </w:rPr>
        <w:t>loadedmetadata</w:t>
      </w:r>
      <w:r>
        <w:t xml:space="preserve"> accommodates recordings of different total durations than the reference (Goto 2006); future work will integrate score-audio alignment (Nakamura, Yoshii, &amp; Katayose 2017) for tempo-flexible accuracy.</w:t>
      </w:r>
    </w:p>
    <w:p w14:paraId="5505BB98" w14:textId="77777777" w:rsidR="00BB618D" w:rsidRDefault="001B07B8">
      <w:pPr>
        <w:pStyle w:val="2"/>
      </w:pPr>
      <w:bookmarkStart w:id="21" w:name="the-two-level-color-scheme"/>
      <w:bookmarkEnd w:id="20"/>
      <w:r>
        <w:t>4.2 The Two-Level Color Scheme</w:t>
      </w:r>
    </w:p>
    <w:p w14:paraId="5505BB99" w14:textId="77777777" w:rsidR="00BB618D" w:rsidRDefault="001B07B8">
      <w:pPr>
        <w:pStyle w:val="FirstParagraph"/>
      </w:pPr>
      <w:r>
        <w:t>Color encoding follows two principles. First, WCAG 2.1 AA compliance: text contrast is maintained at ≥ 4.5:1. Second, color-blind accessibility: no information is conveyed by color alone, theme zones (P / S / codetta) are also distinguished by accent bars and text labels, following the kind of multi-channel encoding practice that Kuo and Chuang (2013) systematize at the pitch level for beginner notation. The mapping is summarized in Table 4.</w:t>
      </w:r>
    </w:p>
    <w:p w14:paraId="5505BB9A" w14:textId="77777777" w:rsidR="00BB618D" w:rsidRDefault="001B07B8">
      <w:pPr>
        <w:pStyle w:val="a0"/>
      </w:pPr>
      <w:r>
        <w:rPr>
          <w:b/>
          <w:bCs/>
        </w:rPr>
        <w:t>Table 4.</w:t>
      </w:r>
      <w:r>
        <w:t xml:space="preserve"> Color encoding scheme for section-level form labels and the now-position cursor.</w:t>
      </w:r>
    </w:p>
    <w:tbl>
      <w:tblPr>
        <w:tblStyle w:val="Table"/>
        <w:tblW w:w="0" w:type="auto"/>
        <w:jc w:val="center"/>
        <w:tblLook w:val="0020" w:firstRow="1" w:lastRow="0" w:firstColumn="0" w:lastColumn="0" w:noHBand="0" w:noVBand="0"/>
      </w:tblPr>
      <w:tblGrid>
        <w:gridCol w:w="1499"/>
        <w:gridCol w:w="1347"/>
        <w:gridCol w:w="2202"/>
      </w:tblGrid>
      <w:tr w:rsidR="00BB618D" w:rsidRPr="00D12670" w14:paraId="5505BB9E" w14:textId="77777777" w:rsidTr="00D1267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5505BB9B" w14:textId="77777777" w:rsidR="00BB618D" w:rsidRPr="00D12670" w:rsidRDefault="001B07B8" w:rsidP="00D12670">
            <w:pPr>
              <w:pStyle w:val="Compact"/>
              <w:spacing w:line="240" w:lineRule="auto"/>
              <w:rPr>
                <w:b/>
                <w:sz w:val="22"/>
              </w:rPr>
            </w:pPr>
            <w:r w:rsidRPr="00D12670">
              <w:rPr>
                <w:b/>
                <w:sz w:val="22"/>
              </w:rPr>
              <w:t>Element</w:t>
            </w:r>
          </w:p>
        </w:tc>
        <w:tc>
          <w:tcPr>
            <w:tcW w:w="0" w:type="auto"/>
            <w:tcBorders>
              <w:bottom w:val="single" w:sz="2" w:space="0" w:color="auto"/>
            </w:tcBorders>
            <w:shd w:val="clear" w:color="auto" w:fill="EBEBEB"/>
          </w:tcPr>
          <w:p w14:paraId="5505BB9C" w14:textId="77777777" w:rsidR="00BB618D" w:rsidRPr="00D12670" w:rsidRDefault="001B07B8" w:rsidP="00D12670">
            <w:pPr>
              <w:pStyle w:val="Compact"/>
              <w:spacing w:line="240" w:lineRule="auto"/>
              <w:rPr>
                <w:b/>
                <w:sz w:val="22"/>
              </w:rPr>
            </w:pPr>
            <w:r w:rsidRPr="00D12670">
              <w:rPr>
                <w:b/>
                <w:sz w:val="22"/>
              </w:rPr>
              <w:t>Color</w:t>
            </w:r>
          </w:p>
        </w:tc>
        <w:tc>
          <w:tcPr>
            <w:tcW w:w="0" w:type="auto"/>
            <w:tcBorders>
              <w:bottom w:val="single" w:sz="2" w:space="0" w:color="auto"/>
            </w:tcBorders>
            <w:shd w:val="clear" w:color="auto" w:fill="EBEBEB"/>
          </w:tcPr>
          <w:p w14:paraId="5505BB9D" w14:textId="77777777" w:rsidR="00BB618D" w:rsidRPr="00D12670" w:rsidRDefault="001B07B8" w:rsidP="00D12670">
            <w:pPr>
              <w:pStyle w:val="Compact"/>
              <w:spacing w:line="240" w:lineRule="auto"/>
              <w:rPr>
                <w:b/>
                <w:sz w:val="22"/>
              </w:rPr>
            </w:pPr>
            <w:r w:rsidRPr="00D12670">
              <w:rPr>
                <w:b/>
                <w:sz w:val="22"/>
              </w:rPr>
              <w:t>Role</w:t>
            </w:r>
          </w:p>
        </w:tc>
      </w:tr>
      <w:tr w:rsidR="00BB618D" w:rsidRPr="00D12670" w14:paraId="5505BBA2" w14:textId="77777777" w:rsidTr="00D12670">
        <w:trPr>
          <w:jc w:val="center"/>
        </w:trPr>
        <w:tc>
          <w:tcPr>
            <w:tcW w:w="0" w:type="auto"/>
            <w:tcBorders>
              <w:top w:val="single" w:sz="2" w:space="0" w:color="auto"/>
            </w:tcBorders>
          </w:tcPr>
          <w:p w14:paraId="5505BB9F" w14:textId="77777777" w:rsidR="00BB618D" w:rsidRPr="00D12670" w:rsidRDefault="001B07B8" w:rsidP="00D12670">
            <w:pPr>
              <w:pStyle w:val="Compact"/>
              <w:spacing w:line="240" w:lineRule="auto"/>
              <w:rPr>
                <w:sz w:val="22"/>
              </w:rPr>
            </w:pPr>
            <w:r w:rsidRPr="00D12670">
              <w:rPr>
                <w:sz w:val="22"/>
              </w:rPr>
              <w:t>Exposition</w:t>
            </w:r>
          </w:p>
        </w:tc>
        <w:tc>
          <w:tcPr>
            <w:tcW w:w="0" w:type="auto"/>
            <w:tcBorders>
              <w:top w:val="single" w:sz="2" w:space="0" w:color="auto"/>
            </w:tcBorders>
          </w:tcPr>
          <w:p w14:paraId="5505BBA0" w14:textId="77777777" w:rsidR="00BB618D" w:rsidRPr="00D12670" w:rsidRDefault="001B07B8" w:rsidP="00D12670">
            <w:pPr>
              <w:pStyle w:val="Compact"/>
              <w:spacing w:line="240" w:lineRule="auto"/>
              <w:rPr>
                <w:sz w:val="22"/>
              </w:rPr>
            </w:pPr>
            <w:r w:rsidRPr="00D12670">
              <w:rPr>
                <w:sz w:val="22"/>
              </w:rPr>
              <w:t>Pastel blue</w:t>
            </w:r>
          </w:p>
        </w:tc>
        <w:tc>
          <w:tcPr>
            <w:tcW w:w="0" w:type="auto"/>
            <w:tcBorders>
              <w:top w:val="single" w:sz="2" w:space="0" w:color="auto"/>
            </w:tcBorders>
          </w:tcPr>
          <w:p w14:paraId="5505BBA1" w14:textId="77777777" w:rsidR="00BB618D" w:rsidRPr="00D12670" w:rsidRDefault="001B07B8" w:rsidP="00D12670">
            <w:pPr>
              <w:pStyle w:val="Compact"/>
              <w:spacing w:line="240" w:lineRule="auto"/>
              <w:rPr>
                <w:sz w:val="22"/>
              </w:rPr>
            </w:pPr>
            <w:r w:rsidRPr="00D12670">
              <w:rPr>
                <w:sz w:val="22"/>
              </w:rPr>
              <w:t>Stable, presenting</w:t>
            </w:r>
          </w:p>
        </w:tc>
      </w:tr>
      <w:tr w:rsidR="00BB618D" w:rsidRPr="00D12670" w14:paraId="5505BBA6" w14:textId="77777777" w:rsidTr="00D12670">
        <w:trPr>
          <w:jc w:val="center"/>
        </w:trPr>
        <w:tc>
          <w:tcPr>
            <w:tcW w:w="0" w:type="auto"/>
          </w:tcPr>
          <w:p w14:paraId="5505BBA3" w14:textId="77777777" w:rsidR="00BB618D" w:rsidRPr="00D12670" w:rsidRDefault="001B07B8" w:rsidP="00D12670">
            <w:pPr>
              <w:pStyle w:val="Compact"/>
              <w:spacing w:line="240" w:lineRule="auto"/>
              <w:rPr>
                <w:sz w:val="22"/>
              </w:rPr>
            </w:pPr>
            <w:r w:rsidRPr="00D12670">
              <w:rPr>
                <w:sz w:val="22"/>
              </w:rPr>
              <w:t>Development</w:t>
            </w:r>
          </w:p>
        </w:tc>
        <w:tc>
          <w:tcPr>
            <w:tcW w:w="0" w:type="auto"/>
          </w:tcPr>
          <w:p w14:paraId="5505BBA4" w14:textId="77777777" w:rsidR="00BB618D" w:rsidRPr="00D12670" w:rsidRDefault="001B07B8" w:rsidP="00D12670">
            <w:pPr>
              <w:pStyle w:val="Compact"/>
              <w:spacing w:line="240" w:lineRule="auto"/>
              <w:rPr>
                <w:sz w:val="22"/>
              </w:rPr>
            </w:pPr>
            <w:r w:rsidRPr="00D12670">
              <w:rPr>
                <w:sz w:val="22"/>
              </w:rPr>
              <w:t>Pastel amber</w:t>
            </w:r>
          </w:p>
        </w:tc>
        <w:tc>
          <w:tcPr>
            <w:tcW w:w="0" w:type="auto"/>
          </w:tcPr>
          <w:p w14:paraId="5505BBA5" w14:textId="77777777" w:rsidR="00BB618D" w:rsidRPr="00D12670" w:rsidRDefault="001B07B8" w:rsidP="00D12670">
            <w:pPr>
              <w:pStyle w:val="Compact"/>
              <w:spacing w:line="240" w:lineRule="auto"/>
              <w:rPr>
                <w:sz w:val="22"/>
              </w:rPr>
            </w:pPr>
            <w:r w:rsidRPr="00D12670">
              <w:rPr>
                <w:sz w:val="22"/>
              </w:rPr>
              <w:t>Tonally exploratory</w:t>
            </w:r>
          </w:p>
        </w:tc>
      </w:tr>
      <w:tr w:rsidR="00BB618D" w:rsidRPr="00D12670" w14:paraId="5505BBAA" w14:textId="77777777" w:rsidTr="00D12670">
        <w:trPr>
          <w:jc w:val="center"/>
        </w:trPr>
        <w:tc>
          <w:tcPr>
            <w:tcW w:w="0" w:type="auto"/>
          </w:tcPr>
          <w:p w14:paraId="5505BBA7" w14:textId="77777777" w:rsidR="00BB618D" w:rsidRPr="00D12670" w:rsidRDefault="001B07B8" w:rsidP="00D12670">
            <w:pPr>
              <w:pStyle w:val="Compact"/>
              <w:spacing w:line="240" w:lineRule="auto"/>
              <w:rPr>
                <w:sz w:val="22"/>
              </w:rPr>
            </w:pPr>
            <w:r w:rsidRPr="00D12670">
              <w:rPr>
                <w:sz w:val="22"/>
              </w:rPr>
              <w:t>Recapitulation</w:t>
            </w:r>
          </w:p>
        </w:tc>
        <w:tc>
          <w:tcPr>
            <w:tcW w:w="0" w:type="auto"/>
          </w:tcPr>
          <w:p w14:paraId="5505BBA8" w14:textId="77777777" w:rsidR="00BB618D" w:rsidRPr="00D12670" w:rsidRDefault="001B07B8" w:rsidP="00D12670">
            <w:pPr>
              <w:pStyle w:val="Compact"/>
              <w:spacing w:line="240" w:lineRule="auto"/>
              <w:rPr>
                <w:sz w:val="22"/>
              </w:rPr>
            </w:pPr>
            <w:r w:rsidRPr="00D12670">
              <w:rPr>
                <w:sz w:val="22"/>
              </w:rPr>
              <w:t>Pastel green</w:t>
            </w:r>
          </w:p>
        </w:tc>
        <w:tc>
          <w:tcPr>
            <w:tcW w:w="0" w:type="auto"/>
          </w:tcPr>
          <w:p w14:paraId="5505BBA9" w14:textId="77777777" w:rsidR="00BB618D" w:rsidRPr="00D12670" w:rsidRDefault="001B07B8" w:rsidP="00D12670">
            <w:pPr>
              <w:pStyle w:val="Compact"/>
              <w:spacing w:line="240" w:lineRule="auto"/>
              <w:rPr>
                <w:sz w:val="22"/>
              </w:rPr>
            </w:pPr>
            <w:r w:rsidRPr="00D12670">
              <w:rPr>
                <w:sz w:val="22"/>
              </w:rPr>
              <w:t>Returning, resolving</w:t>
            </w:r>
          </w:p>
        </w:tc>
      </w:tr>
      <w:tr w:rsidR="00BB618D" w:rsidRPr="00D12670" w14:paraId="5505BBAE" w14:textId="77777777" w:rsidTr="00D12670">
        <w:trPr>
          <w:jc w:val="center"/>
        </w:trPr>
        <w:tc>
          <w:tcPr>
            <w:tcW w:w="0" w:type="auto"/>
          </w:tcPr>
          <w:p w14:paraId="5505BBAB" w14:textId="77777777" w:rsidR="00BB618D" w:rsidRPr="00D12670" w:rsidRDefault="001B07B8" w:rsidP="00D12670">
            <w:pPr>
              <w:pStyle w:val="Compact"/>
              <w:spacing w:line="240" w:lineRule="auto"/>
              <w:rPr>
                <w:sz w:val="22"/>
              </w:rPr>
            </w:pPr>
            <w:r w:rsidRPr="00D12670">
              <w:rPr>
                <w:sz w:val="22"/>
              </w:rPr>
              <w:t>Now-position</w:t>
            </w:r>
          </w:p>
        </w:tc>
        <w:tc>
          <w:tcPr>
            <w:tcW w:w="0" w:type="auto"/>
          </w:tcPr>
          <w:p w14:paraId="5505BBAC" w14:textId="77777777" w:rsidR="00BB618D" w:rsidRPr="00D12670" w:rsidRDefault="001B07B8" w:rsidP="00D12670">
            <w:pPr>
              <w:pStyle w:val="Compact"/>
              <w:spacing w:line="240" w:lineRule="auto"/>
              <w:rPr>
                <w:sz w:val="22"/>
              </w:rPr>
            </w:pPr>
            <w:r w:rsidRPr="00D12670">
              <w:rPr>
                <w:sz w:val="22"/>
              </w:rPr>
              <w:t>Red</w:t>
            </w:r>
          </w:p>
        </w:tc>
        <w:tc>
          <w:tcPr>
            <w:tcW w:w="0" w:type="auto"/>
          </w:tcPr>
          <w:p w14:paraId="5505BBAD" w14:textId="77777777" w:rsidR="00BB618D" w:rsidRPr="00D12670" w:rsidRDefault="001B07B8" w:rsidP="00D12670">
            <w:pPr>
              <w:pStyle w:val="Compact"/>
              <w:spacing w:line="240" w:lineRule="auto"/>
              <w:rPr>
                <w:sz w:val="22"/>
              </w:rPr>
            </w:pPr>
            <w:r w:rsidRPr="00D12670">
              <w:rPr>
                <w:sz w:val="22"/>
              </w:rPr>
              <w:t>Playhead, score cursor</w:t>
            </w:r>
          </w:p>
        </w:tc>
      </w:tr>
    </w:tbl>
    <w:p w14:paraId="5505BBAF" w14:textId="77777777" w:rsidR="00BB618D" w:rsidRDefault="001B07B8">
      <w:pPr>
        <w:pStyle w:val="2"/>
      </w:pPr>
      <w:bookmarkStart w:id="22" w:name="the-analysis-layer-as-data"/>
      <w:bookmarkEnd w:id="21"/>
      <w:r>
        <w:t>4.3 The Analysis Layer as Data</w:t>
      </w:r>
    </w:p>
    <w:p w14:paraId="5505BBB0" w14:textId="77777777" w:rsidR="00BB618D" w:rsidRDefault="001B07B8">
      <w:pPr>
        <w:pStyle w:val="FirstParagraph"/>
      </w:pPr>
      <w:r>
        <w:t xml:space="preserve">The formal analysis is a versioned JSON object (see </w:t>
      </w:r>
      <w:r>
        <w:rPr>
          <w:i/>
          <w:iCs/>
        </w:rPr>
        <w:t>Example 2</w:t>
      </w:r>
      <w:r>
        <w:t xml:space="preserve"> below). Treating the analysis itself as a peer-reviewable, machine- readable artefact, rather than as a hidden pedagogical commentary, opens it to community extension (other works, other forms) and to machine reuse by future MIR pipelines. For the present paper this matters because it lets us release </w:t>
      </w:r>
      <w:r>
        <w:rPr>
          <w:i/>
          <w:iCs/>
        </w:rPr>
        <w:t>both</w:t>
      </w:r>
      <w:r>
        <w:t xml:space="preserve"> the tool and the K. 545 analysis under separable open licenses (MIT and CC BY 4.0, respectively).</w:t>
      </w:r>
    </w:p>
    <w:p w14:paraId="5505BBB1" w14:textId="77777777" w:rsidR="00BB618D" w:rsidRDefault="001B07B8">
      <w:pPr>
        <w:pStyle w:val="3"/>
      </w:pPr>
      <w:bookmarkStart w:id="23" w:name="X7f77967c5d2b91ed5d9ed16504a5bf95ce0ace2"/>
      <w:r>
        <w:t>Interoperability with the Algomus annotation corpus</w:t>
      </w:r>
    </w:p>
    <w:p w14:paraId="5505BBB2" w14:textId="77777777" w:rsidR="00BB618D" w:rsidRDefault="001B07B8">
      <w:pPr>
        <w:pStyle w:val="FirstParagraph"/>
      </w:pPr>
      <w:r>
        <w:t>The schema’s structural categories — four section types (exposition, development, recapitulation, coda), six theme-zone types (P, T, S, K, codetta, retransition), and start/end measure ranges — deliberately mirror the analytic categories used in Allegraud et al. (2019) for the Mozart string-quartet sonata-form corpus. Because the field names map one-to-one and the measure-range conventions are shared, loading the 32-movement Algomus reference analyses into the tool requires only a thin ingestion adapter. We</w:t>
      </w:r>
      <w:r>
        <w:t xml:space="preserve"> provide the schema and a worked example for K. 545; the adapter for the full Algomus corpus remains an open community contribution opportunity. The architectural point is that our learner-facing tool </w:t>
      </w:r>
      <w:r>
        <w:rPr>
          <w:i/>
          <w:iCs/>
        </w:rPr>
        <w:t>amplifies</w:t>
      </w:r>
      <w:r>
        <w:t xml:space="preserve"> the classifier and annotation work of Allegraud et al. rather than competing with it: their corpus becomes loadable content for our visualization, and our visualization becomes a downstream evaluation surface for their classifier output.</w:t>
      </w:r>
    </w:p>
    <w:p w14:paraId="5505BBB3" w14:textId="77777777" w:rsidR="00BB618D" w:rsidRDefault="001B07B8">
      <w:pPr>
        <w:pStyle w:val="2"/>
      </w:pPr>
      <w:bookmarkStart w:id="24" w:name="affordances-for-active-listening"/>
      <w:bookmarkEnd w:id="22"/>
      <w:bookmarkEnd w:id="23"/>
      <w:r>
        <w:t>4.4 Affordances for Active Listening</w:t>
      </w:r>
    </w:p>
    <w:p w14:paraId="5505BBB4" w14:textId="77777777" w:rsidR="00BB618D" w:rsidRDefault="001B07B8">
      <w:pPr>
        <w:pStyle w:val="FirstParagraph"/>
      </w:pPr>
      <w:r>
        <w:t>Three interactive affordances are pedagogically central (Figure 3):</w:t>
      </w:r>
    </w:p>
    <w:p w14:paraId="5505BBB5" w14:textId="77777777" w:rsidR="00BB618D" w:rsidRDefault="001B07B8">
      <w:pPr>
        <w:pStyle w:val="Compact"/>
        <w:numPr>
          <w:ilvl w:val="0"/>
          <w:numId w:val="8"/>
        </w:numPr>
      </w:pPr>
      <w:r>
        <w:rPr>
          <w:b/>
          <w:bCs/>
        </w:rPr>
        <w:t>Section jump</w:t>
      </w:r>
      <w:r>
        <w:t>: clicking any colored timeline segment seeks the audio to that measure. A teacher can move directly from “exposition P” to “recapitulation P” without scrubbing.</w:t>
      </w:r>
    </w:p>
    <w:p w14:paraId="5505BBB6" w14:textId="77777777" w:rsidR="00BB618D" w:rsidRDefault="001B07B8">
      <w:pPr>
        <w:pStyle w:val="Compact"/>
        <w:numPr>
          <w:ilvl w:val="0"/>
          <w:numId w:val="8"/>
        </w:numPr>
      </w:pPr>
      <w:r>
        <w:rPr>
          <w:b/>
          <w:bCs/>
        </w:rPr>
        <w:t>Section loop</w:t>
      </w:r>
      <w:r>
        <w:t>: toggles playback to repeat the current section, enabling immediate A–B comparison.</w:t>
      </w:r>
    </w:p>
    <w:p w14:paraId="5505BBB7" w14:textId="77777777" w:rsidR="00BB618D" w:rsidRDefault="001B07B8">
      <w:pPr>
        <w:pStyle w:val="Compact"/>
        <w:numPr>
          <w:ilvl w:val="0"/>
          <w:numId w:val="8"/>
        </w:numPr>
      </w:pPr>
      <w:r>
        <w:rPr>
          <w:b/>
          <w:bCs/>
        </w:rPr>
        <w:t>Playback-speed control</w:t>
      </w:r>
      <w:r>
        <w:t>: slows passage to 0.5× without altering pitch, useful for very brief modulating moments.</w:t>
      </w:r>
    </w:p>
    <w:p w14:paraId="5505BBB8" w14:textId="77777777" w:rsidR="00BB618D" w:rsidRDefault="001B07B8">
      <w:pPr>
        <w:pStyle w:val="CaptionedFigure"/>
      </w:pPr>
      <w:r>
        <w:rPr>
          <w:noProof/>
        </w:rPr>
        <w:drawing>
          <wp:inline distT="0" distB="0" distL="0" distR="0" wp14:anchorId="5505BC1F" wp14:editId="5505BC20">
            <wp:extent cx="5334000" cy="1052419"/>
            <wp:effectExtent l="0" t="0" r="0" b="0"/>
            <wp:docPr id="39" name="Picture" descr="Figure 3. Active-listening control panel and demo-mode fallback. The yellow Demo mode bar is automatically shown when no audio file is available (e.g., when the copyrighted reference recording is not bundled). Below it: section-jump buttons (Exposition / Development / Recapitulation), playback-speed slider, color/cursor/loop toggles, calibration controls, and a keyboard-shortcut legend."/>
            <wp:cNvGraphicFramePr/>
            <a:graphic xmlns:a="http://schemas.openxmlformats.org/drawingml/2006/main">
              <a:graphicData uri="http://schemas.openxmlformats.org/drawingml/2006/picture">
                <pic:pic xmlns:pic="http://schemas.openxmlformats.org/drawingml/2006/picture">
                  <pic:nvPicPr>
                    <pic:cNvPr id="40" name="Picture" descr="figures/fig_a2_timeline.png"/>
                    <pic:cNvPicPr>
                      <a:picLocks noChangeAspect="1" noChangeArrowheads="1"/>
                    </pic:cNvPicPr>
                  </pic:nvPicPr>
                  <pic:blipFill>
                    <a:blip r:embed="rId9"/>
                    <a:stretch>
                      <a:fillRect/>
                    </a:stretch>
                  </pic:blipFill>
                  <pic:spPr bwMode="auto">
                    <a:xfrm>
                      <a:off x="0" y="0"/>
                      <a:ext cx="5334000" cy="1052419"/>
                    </a:xfrm>
                    <a:prstGeom prst="rect">
                      <a:avLst/>
                    </a:prstGeom>
                    <a:noFill/>
                    <a:ln w="9525">
                      <a:noFill/>
                      <a:headEnd/>
                      <a:tailEnd/>
                    </a:ln>
                  </pic:spPr>
                </pic:pic>
              </a:graphicData>
            </a:graphic>
          </wp:inline>
        </w:drawing>
      </w:r>
    </w:p>
    <w:p w14:paraId="5505BBB9" w14:textId="77777777" w:rsidR="00BB618D" w:rsidRDefault="001B07B8">
      <w:pPr>
        <w:pStyle w:val="ImageCaption"/>
      </w:pPr>
      <w:r>
        <w:rPr>
          <w:b/>
          <w:bCs/>
        </w:rPr>
        <w:t>Figure 3.</w:t>
      </w:r>
      <w:r>
        <w:t xml:space="preserve"> Active-listening control panel and demo-mode fallback. The yellow </w:t>
      </w:r>
      <w:r>
        <w:rPr>
          <w:iCs/>
        </w:rPr>
        <w:t>Demo mode</w:t>
      </w:r>
      <w:r>
        <w:t xml:space="preserve"> bar is automatically shown when no audio file is available (e.g., when the copyrighted reference recording is not bundled). Below it: section-jump buttons (Exposition / Development / Recapitulation), playback-speed slider, color/cursor/loop toggles, calibration controls, and a keyboard-shortcut legend.</w:t>
      </w:r>
    </w:p>
    <w:p w14:paraId="5505BBBA" w14:textId="77777777" w:rsidR="00BB618D" w:rsidRDefault="001B07B8">
      <w:pPr>
        <w:pStyle w:val="a0"/>
      </w:pPr>
      <w:r>
        <w:t>Keyboard shortcuts (Space, ←/→, L for loop, C for color toggle) make classroom demonstration responsive in a way mouse-only interaction cannot.</w:t>
      </w:r>
    </w:p>
    <w:p w14:paraId="5505BBBB" w14:textId="77777777" w:rsidR="00BB618D" w:rsidRDefault="001B07B8">
      <w:pPr>
        <w:pStyle w:val="2"/>
      </w:pPr>
      <w:bookmarkStart w:id="25" w:name="exposition-repeat-folding"/>
      <w:bookmarkEnd w:id="24"/>
      <w:r>
        <w:t>4.5 Exposition Repeat Folding</w:t>
      </w:r>
    </w:p>
    <w:p w14:paraId="5505BBBC" w14:textId="77777777" w:rsidR="00BB618D" w:rsidRDefault="001B07B8">
      <w:pPr>
        <w:pStyle w:val="FirstParagraph"/>
      </w:pPr>
      <w:r>
        <w:t xml:space="preserve">When a performer takes the exposition repeat — which most K. 545 recordings in the canonical discography do, including the Schiff Carnegie Hall (2015) recording used in our reference deployment — the audio visits the exposition </w:t>
      </w:r>
      <w:r>
        <w:rPr>
          <w:i/>
          <w:iCs/>
        </w:rPr>
        <w:t>twice</w:t>
      </w:r>
      <w:r>
        <w:t xml:space="preserve"> before reaching the development. The first pass runs roughly 0:00 – 0:55; the second pass runs roughly 0:55 – 1:48; only at audio second 1:48 onwards does the development begin. Two design responses are available. The naïve response is to ignore the repeat, in which case the cursor advances steadily through audio time and the analytical pane displays “development” while the listener is in fact still hearing the second exposition — pedagogically misleading. The response we adopt is to </w:t>
      </w:r>
      <w:r>
        <w:rPr>
          <w:i/>
          <w:iCs/>
        </w:rPr>
        <w:t>fold</w:t>
      </w:r>
      <w:r>
        <w:t xml:space="preserve"> the repeat: </w:t>
      </w:r>
      <w:r>
        <w:t>when the audio enters the second exposition, the cursor returns to bar 1 and walks forward to bar 28 again, in sync with the second hearing; only when the audio crosses the end of the second exposition does the cursor advance into the development. This keeps the cursor and the listener in agreement across the entire playback.</w:t>
      </w:r>
    </w:p>
    <w:p w14:paraId="5505BBBD" w14:textId="77777777" w:rsidR="00BB618D" w:rsidRDefault="001B07B8">
      <w:pPr>
        <w:pStyle w:val="a0"/>
      </w:pPr>
      <w:r>
        <w:t xml:space="preserve">The repeat boundaries (where the second exposition starts and ends, in audio time) can be tap-calibrated against any recording in under a minute through keyboard shortcuts (M, [, ]); the calibration is persisted in browser </w:t>
      </w:r>
      <w:r>
        <w:rPr>
          <w:rStyle w:val="VerbatimChar"/>
        </w:rPr>
        <w:t>localStorage</w:t>
      </w:r>
      <w:r>
        <w:t>. The same folding behaviour transfers, without modification, to any sonata-form work with a marked exposition repeat.</w:t>
      </w:r>
    </w:p>
    <w:p w14:paraId="5505BBBE" w14:textId="77777777" w:rsidR="00BB618D" w:rsidRDefault="001B07B8">
      <w:pPr>
        <w:pStyle w:val="a0"/>
      </w:pPr>
      <w:r>
        <w:t xml:space="preserve">To our knowledge, no prior open music-visualization tool treats performer-elected repeats with an explicit time-folding behaviour of this kind. Sonic Visualiser and Verovio Humdrum Viewer treat the score as static and the audio as a separate stream; Dezrann places annotation labels alongside the audio but does not fold them; the closest analogue in the MIR literature, Müller (2015, ch. 3), addresses repeats by inserting multiple parallel score branches, which preserves analytical correctness at the cost of </w:t>
      </w:r>
      <w:r>
        <w:t>multiple parallel score views. Our single-score-axis fold is consequently simpler both to implement and to visualize for a learner.</w:t>
      </w:r>
    </w:p>
    <w:p w14:paraId="5505BBBF" w14:textId="77777777" w:rsidR="00BB618D" w:rsidRDefault="001B07B8">
      <w:pPr>
        <w:pStyle w:val="1"/>
      </w:pPr>
      <w:bookmarkStart w:id="26" w:name="a-classroom-walk-through"/>
      <w:bookmarkEnd w:id="19"/>
      <w:bookmarkEnd w:id="25"/>
      <w:r>
        <w:t>5. A Classroom Walk-Through</w:t>
      </w:r>
    </w:p>
    <w:p w14:paraId="5505BBC0" w14:textId="77777777" w:rsidR="00BB618D" w:rsidRDefault="001B07B8">
      <w:pPr>
        <w:pStyle w:val="FirstParagraph"/>
      </w:pPr>
      <w:r>
        <w:t xml:space="preserve">The affordances of §4 are intended to support a teaching grammar of the form </w:t>
      </w:r>
      <w:r>
        <w:rPr>
          <w:i/>
          <w:iCs/>
        </w:rPr>
        <w:t>choose a passage, choose the representations to foreground, listen, look, and let students make the analytical observation themselves</w:t>
      </w:r>
      <w:r>
        <w:t xml:space="preserve">. A representative 30-minute lesson on the §3.3 analytical puzzle proceeds in five short stages: (1) a first hearing with color disabled to elicit informal section guesses; (2) a color reveal so students can verify section boundaries on both the timeline and the score; (3) section-jump playback of exposition P (C major) and S (G major), from which students deduce the I→V move </w:t>
      </w:r>
      <w:r>
        <w:t xml:space="preserve">rather than being told it; (4) the pedagogical pivot, jumping to recapitulation P (F major) and using section-loop and A/B comparison to make the recap audibly and visibly recognizable as the same theme </w:t>
      </w:r>
      <w:r>
        <w:rPr>
          <w:i/>
          <w:iCs/>
        </w:rPr>
        <w:t>transposed</w:t>
      </w:r>
      <w:r>
        <w:t xml:space="preserve"> rather than “wrong”; and (5) a synthesis stage in which the schematic </w:t>
      </w:r>
      <w:r>
        <w:rPr>
          <w:i/>
          <w:iCs/>
        </w:rPr>
        <w:t>exposition I→V vs. recapitulation IV→I</w:t>
      </w:r>
      <w:r>
        <w:t xml:space="preserve"> is now grounded in what the class has just heard and seen, allowing the synthesizing question “why did Mozart start the recap in the ‘wrong’ key?” to be answered from the materials rather t</w:t>
      </w:r>
      <w:r>
        <w:t>han from authority. This walk-through is not the only possible use of the tool, but it illustrates how the affordances of §4 combine into a complete teaching unit, and it forms the procedure that the expert reviewer in §6 was asked to enact.</w:t>
      </w:r>
    </w:p>
    <w:p w14:paraId="5505BBC1" w14:textId="77777777" w:rsidR="00BB618D" w:rsidRDefault="001B07B8">
      <w:pPr>
        <w:pStyle w:val="1"/>
      </w:pPr>
      <w:bookmarkStart w:id="27" w:name="preliminary-single-expert-pilot-review"/>
      <w:bookmarkEnd w:id="26"/>
      <w:r>
        <w:t>6. Preliminary Single-Expert Pilot Review</w:t>
      </w:r>
    </w:p>
    <w:p w14:paraId="5505BBC2" w14:textId="77777777" w:rsidR="00BB618D" w:rsidRDefault="001B07B8">
      <w:pPr>
        <w:pStyle w:val="FirstParagraph"/>
      </w:pPr>
      <w:r>
        <w:t xml:space="preserve">Empirical validation of the tool’s pedagogical claims through a full randomized controlled trial with undergraduate music-education learners is reserved for follow-up work (§7). As a </w:t>
      </w:r>
      <w:r>
        <w:rPr>
          <w:i/>
          <w:iCs/>
        </w:rPr>
        <w:t>preliminary</w:t>
      </w:r>
      <w:r>
        <w:t xml:space="preserve"> validation aimed at refining the planned RCT and identifying design risks before learner-facing deployment, we conducted a single-expert pilot review with one domain reviewer holding more than 15 years of music-education field experience. We report this as a single-expert pilot — not as a generalizable expert panel — and the limitations of an n=1 design are discussed in §6.5.</w:t>
      </w:r>
    </w:p>
    <w:p w14:paraId="5505BBC3" w14:textId="77777777" w:rsidR="00BB618D" w:rsidRDefault="001B07B8">
      <w:pPr>
        <w:pStyle w:val="2"/>
      </w:pPr>
      <w:bookmarkStart w:id="28" w:name="method"/>
      <w:r>
        <w:t>6.1 Method</w:t>
      </w:r>
    </w:p>
    <w:p w14:paraId="5505BBC4" w14:textId="77777777" w:rsidR="00BB618D" w:rsidRDefault="001B07B8">
      <w:pPr>
        <w:pStyle w:val="FirstParagraph"/>
      </w:pPr>
      <w:r>
        <w:t xml:space="preserve">The expert completed an asynchronous self-administered review using a Word-format survey instrument that combined (a) a 40-minute guided walk-through of the §5 classroom lesson plan with the expert acting as the teacher, (b) the 10-item System Usability Scale (Brooke, 1996), and (c) six open-ended questions covering pedagogical fidelity, affordance value, perceived risks of learner misconception, missing affordances, single-work depth versus multi-piece breadth, and recommendations for the planned RCT. The </w:t>
      </w:r>
      <w:r>
        <w:t>SUS items were administered following Brooke’s (1996) original wording. The survey was self-administered, with the expert working through the live deployment at https://rosyrosys.github.io/sonata-form-viz/ in their own environment. Written responses were analysed by the author following the thematic-analysis approach of Braun and Clarke (2006), and the expert gave written informed consent for anonymous reporting.</w:t>
      </w:r>
    </w:p>
    <w:p w14:paraId="5505BBC5" w14:textId="77777777" w:rsidR="00BB618D" w:rsidRDefault="001B07B8">
      <w:pPr>
        <w:pStyle w:val="a0"/>
      </w:pPr>
      <w:r>
        <w:t>The study was treated as expert evaluation rather than human- subjects research; consequently no formal IRB approval was required by the host institution.</w:t>
      </w:r>
    </w:p>
    <w:p w14:paraId="5505BBC6" w14:textId="77777777" w:rsidR="00BB618D" w:rsidRDefault="001B07B8">
      <w:pPr>
        <w:pStyle w:val="2"/>
      </w:pPr>
      <w:bookmarkStart w:id="29" w:name="sus-result"/>
      <w:bookmarkEnd w:id="28"/>
      <w:r>
        <w:t>6.2 SUS result</w:t>
      </w:r>
    </w:p>
    <w:p w14:paraId="5505BBC7" w14:textId="77777777" w:rsidR="00BB618D" w:rsidRDefault="001B07B8">
      <w:pPr>
        <w:pStyle w:val="FirstParagraph"/>
      </w:pPr>
      <w:r>
        <w:rPr>
          <w:b/>
          <w:bCs/>
        </w:rPr>
        <w:t>Table 5.</w:t>
      </w:r>
      <w:r>
        <w:t xml:space="preserve"> SUS response from the single-expert reviewer.</w:t>
      </w:r>
    </w:p>
    <w:tbl>
      <w:tblPr>
        <w:tblStyle w:val="Table"/>
        <w:tblW w:w="0" w:type="auto"/>
        <w:jc w:val="center"/>
        <w:tblLook w:val="0020" w:firstRow="1" w:lastRow="0" w:firstColumn="0" w:lastColumn="0" w:noHBand="0" w:noVBand="0"/>
      </w:tblPr>
      <w:tblGrid>
        <w:gridCol w:w="3247"/>
        <w:gridCol w:w="1451"/>
      </w:tblGrid>
      <w:tr w:rsidR="00BB618D" w:rsidRPr="00D12670" w14:paraId="5505BBCA" w14:textId="77777777" w:rsidTr="00D1267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5505BBC8" w14:textId="77777777" w:rsidR="00BB618D" w:rsidRPr="00D12670" w:rsidRDefault="00BB618D" w:rsidP="00D12670">
            <w:pPr>
              <w:pStyle w:val="Compact"/>
              <w:spacing w:line="240" w:lineRule="auto"/>
              <w:rPr>
                <w:b/>
                <w:sz w:val="22"/>
              </w:rPr>
            </w:pPr>
          </w:p>
        </w:tc>
        <w:tc>
          <w:tcPr>
            <w:tcW w:w="0" w:type="auto"/>
            <w:tcBorders>
              <w:bottom w:val="single" w:sz="2" w:space="0" w:color="auto"/>
            </w:tcBorders>
            <w:shd w:val="clear" w:color="auto" w:fill="EBEBEB"/>
          </w:tcPr>
          <w:p w14:paraId="5505BBC9" w14:textId="77777777" w:rsidR="00BB618D" w:rsidRPr="00D12670" w:rsidRDefault="001B07B8" w:rsidP="00D12670">
            <w:pPr>
              <w:pStyle w:val="Compact"/>
              <w:spacing w:line="240" w:lineRule="auto"/>
              <w:rPr>
                <w:b/>
                <w:sz w:val="22"/>
              </w:rPr>
            </w:pPr>
            <w:r w:rsidRPr="00D12670">
              <w:rPr>
                <w:b/>
                <w:sz w:val="22"/>
              </w:rPr>
              <w:t>Expert</w:t>
            </w:r>
          </w:p>
        </w:tc>
      </w:tr>
      <w:tr w:rsidR="00BB618D" w:rsidRPr="00D12670" w14:paraId="5505BBCD" w14:textId="77777777" w:rsidTr="00D12670">
        <w:trPr>
          <w:jc w:val="center"/>
        </w:trPr>
        <w:tc>
          <w:tcPr>
            <w:tcW w:w="0" w:type="auto"/>
            <w:tcBorders>
              <w:top w:val="single" w:sz="2" w:space="0" w:color="auto"/>
            </w:tcBorders>
          </w:tcPr>
          <w:p w14:paraId="5505BBCB" w14:textId="77777777" w:rsidR="00BB618D" w:rsidRPr="00D12670" w:rsidRDefault="001B07B8" w:rsidP="00D12670">
            <w:pPr>
              <w:pStyle w:val="Compact"/>
              <w:spacing w:line="240" w:lineRule="auto"/>
              <w:rPr>
                <w:sz w:val="22"/>
              </w:rPr>
            </w:pPr>
            <w:r w:rsidRPr="00D12670">
              <w:rPr>
                <w:sz w:val="22"/>
              </w:rPr>
              <w:t>Items 1, 3, 5, 7, 9 (positive, raw)</w:t>
            </w:r>
          </w:p>
        </w:tc>
        <w:tc>
          <w:tcPr>
            <w:tcW w:w="0" w:type="auto"/>
            <w:tcBorders>
              <w:top w:val="single" w:sz="2" w:space="0" w:color="auto"/>
            </w:tcBorders>
          </w:tcPr>
          <w:p w14:paraId="5505BBCC" w14:textId="77777777" w:rsidR="00BB618D" w:rsidRPr="00D12670" w:rsidRDefault="001B07B8" w:rsidP="00D12670">
            <w:pPr>
              <w:pStyle w:val="Compact"/>
              <w:spacing w:line="240" w:lineRule="auto"/>
              <w:rPr>
                <w:sz w:val="22"/>
              </w:rPr>
            </w:pPr>
            <w:r w:rsidRPr="00D12670">
              <w:rPr>
                <w:sz w:val="22"/>
              </w:rPr>
              <w:t>5 / 5 / 5 / 5 / 5</w:t>
            </w:r>
          </w:p>
        </w:tc>
      </w:tr>
      <w:tr w:rsidR="00BB618D" w:rsidRPr="00D12670" w14:paraId="5505BBD0" w14:textId="77777777" w:rsidTr="00D12670">
        <w:trPr>
          <w:jc w:val="center"/>
        </w:trPr>
        <w:tc>
          <w:tcPr>
            <w:tcW w:w="0" w:type="auto"/>
          </w:tcPr>
          <w:p w14:paraId="5505BBCE" w14:textId="77777777" w:rsidR="00BB618D" w:rsidRPr="00D12670" w:rsidRDefault="001B07B8" w:rsidP="00D12670">
            <w:pPr>
              <w:pStyle w:val="Compact"/>
              <w:spacing w:line="240" w:lineRule="auto"/>
              <w:rPr>
                <w:sz w:val="22"/>
              </w:rPr>
            </w:pPr>
            <w:r w:rsidRPr="00D12670">
              <w:rPr>
                <w:sz w:val="22"/>
              </w:rPr>
              <w:t>Items 2, 4, 6, 8, 10 (negative, raw)</w:t>
            </w:r>
          </w:p>
        </w:tc>
        <w:tc>
          <w:tcPr>
            <w:tcW w:w="0" w:type="auto"/>
          </w:tcPr>
          <w:p w14:paraId="5505BBCF" w14:textId="77777777" w:rsidR="00BB618D" w:rsidRPr="00D12670" w:rsidRDefault="001B07B8" w:rsidP="00D12670">
            <w:pPr>
              <w:pStyle w:val="Compact"/>
              <w:spacing w:line="240" w:lineRule="auto"/>
              <w:rPr>
                <w:sz w:val="22"/>
              </w:rPr>
            </w:pPr>
            <w:r w:rsidRPr="00D12670">
              <w:rPr>
                <w:sz w:val="22"/>
              </w:rPr>
              <w:t>1 / 1 / 1 / 1 / 1</w:t>
            </w:r>
          </w:p>
        </w:tc>
      </w:tr>
      <w:tr w:rsidR="00BB618D" w:rsidRPr="00D12670" w14:paraId="5505BBD3" w14:textId="77777777" w:rsidTr="00D12670">
        <w:trPr>
          <w:jc w:val="center"/>
        </w:trPr>
        <w:tc>
          <w:tcPr>
            <w:tcW w:w="0" w:type="auto"/>
          </w:tcPr>
          <w:p w14:paraId="5505BBD1" w14:textId="77777777" w:rsidR="00BB618D" w:rsidRPr="00D12670" w:rsidRDefault="001B07B8" w:rsidP="00D12670">
            <w:pPr>
              <w:pStyle w:val="Compact"/>
              <w:spacing w:line="240" w:lineRule="auto"/>
              <w:rPr>
                <w:sz w:val="22"/>
              </w:rPr>
            </w:pPr>
            <w:r w:rsidRPr="00D12670">
              <w:rPr>
                <w:sz w:val="22"/>
              </w:rPr>
              <w:t>Σ converted (each item = 4)</w:t>
            </w:r>
          </w:p>
        </w:tc>
        <w:tc>
          <w:tcPr>
            <w:tcW w:w="0" w:type="auto"/>
          </w:tcPr>
          <w:p w14:paraId="5505BBD2" w14:textId="77777777" w:rsidR="00BB618D" w:rsidRPr="00D12670" w:rsidRDefault="001B07B8" w:rsidP="00D12670">
            <w:pPr>
              <w:pStyle w:val="Compact"/>
              <w:spacing w:line="240" w:lineRule="auto"/>
              <w:rPr>
                <w:sz w:val="22"/>
              </w:rPr>
            </w:pPr>
            <w:r w:rsidRPr="00D12670">
              <w:rPr>
                <w:sz w:val="22"/>
              </w:rPr>
              <w:t>40</w:t>
            </w:r>
          </w:p>
        </w:tc>
      </w:tr>
      <w:tr w:rsidR="00BB618D" w:rsidRPr="00D12670" w14:paraId="5505BBD6" w14:textId="77777777" w:rsidTr="00D12670">
        <w:trPr>
          <w:jc w:val="center"/>
        </w:trPr>
        <w:tc>
          <w:tcPr>
            <w:tcW w:w="0" w:type="auto"/>
          </w:tcPr>
          <w:p w14:paraId="5505BBD4" w14:textId="77777777" w:rsidR="00BB618D" w:rsidRPr="00D12670" w:rsidRDefault="001B07B8" w:rsidP="00D12670">
            <w:pPr>
              <w:pStyle w:val="Compact"/>
              <w:spacing w:line="240" w:lineRule="auto"/>
              <w:rPr>
                <w:sz w:val="22"/>
              </w:rPr>
            </w:pPr>
            <w:r w:rsidRPr="00D12670">
              <w:rPr>
                <w:b/>
                <w:bCs/>
                <w:sz w:val="22"/>
              </w:rPr>
              <w:t>SUS score (Σ × 2.5)</w:t>
            </w:r>
          </w:p>
        </w:tc>
        <w:tc>
          <w:tcPr>
            <w:tcW w:w="0" w:type="auto"/>
          </w:tcPr>
          <w:p w14:paraId="5505BBD5" w14:textId="77777777" w:rsidR="00BB618D" w:rsidRPr="00D12670" w:rsidRDefault="001B07B8" w:rsidP="00D12670">
            <w:pPr>
              <w:pStyle w:val="Compact"/>
              <w:spacing w:line="240" w:lineRule="auto"/>
              <w:rPr>
                <w:sz w:val="22"/>
              </w:rPr>
            </w:pPr>
            <w:r w:rsidRPr="00D12670">
              <w:rPr>
                <w:b/>
                <w:bCs/>
                <w:sz w:val="22"/>
              </w:rPr>
              <w:t>100 / 100</w:t>
            </w:r>
          </w:p>
        </w:tc>
      </w:tr>
    </w:tbl>
    <w:p w14:paraId="5505BBD7" w14:textId="77777777" w:rsidR="00BB618D" w:rsidRDefault="001B07B8">
      <w:pPr>
        <w:pStyle w:val="a0"/>
      </w:pPr>
      <w:r>
        <w:t xml:space="preserve">The expert returned the maximum SUS score, with all positive items </w:t>
      </w:r>
      <w:r>
        <w:t xml:space="preserve">rated 5 and all negatively-worded (reverse-coded) items rated 1. We note two things about this pattern. First, the </w:t>
      </w:r>
      <w:r>
        <w:rPr>
          <w:i/>
          <w:iCs/>
        </w:rPr>
        <w:t>consistency</w:t>
      </w:r>
      <w:r>
        <w:t xml:space="preserve"> of the response (5 on every positive item, 1 on every negative item) is strong evidence that the expert correctly understood the bipolar scale; random responding would yield occasional 5s on negative items. Second, a single-expert SUS of 100 is informative but should not be over-interpreted: an n=1 sample of an expert evaluator predisposed to engage with classroom-tool design is not</w:t>
      </w:r>
      <w:r>
        <w:t xml:space="preserve"> equivalent to a sampled learner population, and SUS norms drawn from learner data do not transfer to this case. We therefore report the raw score and limit our claims accordingly.</w:t>
      </w:r>
    </w:p>
    <w:p w14:paraId="5505BBD8" w14:textId="77777777" w:rsidR="00BB618D" w:rsidRDefault="001B07B8">
      <w:pPr>
        <w:pStyle w:val="2"/>
      </w:pPr>
      <w:bookmarkStart w:id="30" w:name="themes-from-the-qualitative-responses"/>
      <w:bookmarkEnd w:id="29"/>
      <w:r>
        <w:t>6.3 Themes from the qualitative responses</w:t>
      </w:r>
    </w:p>
    <w:p w14:paraId="5505BBD9" w14:textId="77777777" w:rsidR="00BB618D" w:rsidRDefault="001B07B8">
      <w:pPr>
        <w:pStyle w:val="FirstParagraph"/>
      </w:pPr>
      <w:r>
        <w:t>Inductive coding of the six open-ended responses surfaced four themes.</w:t>
      </w:r>
    </w:p>
    <w:p w14:paraId="5505BBDA" w14:textId="77777777" w:rsidR="00BB618D" w:rsidRDefault="001B07B8">
      <w:pPr>
        <w:pStyle w:val="3"/>
      </w:pPr>
      <w:bookmarkStart w:id="31" w:name="X5ff88f55d17f2712fcf3617c81bd35d58ae4440"/>
      <w:r>
        <w:t>6.3.1 Three-channel synchronization is the named source of value</w:t>
      </w:r>
    </w:p>
    <w:p w14:paraId="5505BBDB" w14:textId="77777777" w:rsidR="00BB618D" w:rsidRDefault="001B07B8">
      <w:pPr>
        <w:pStyle w:val="FirstParagraph"/>
      </w:pPr>
      <w:r>
        <w:t xml:space="preserve">Both the </w:t>
      </w:r>
      <w:r>
        <w:rPr>
          <w:i/>
          <w:iCs/>
        </w:rPr>
        <w:t>pedagogical fidelity</w:t>
      </w:r>
      <w:r>
        <w:t xml:space="preserve"> question (C1) and the </w:t>
      </w:r>
      <w:r>
        <w:rPr>
          <w:i/>
          <w:iCs/>
        </w:rPr>
        <w:t>most valuable affordance</w:t>
      </w:r>
      <w:r>
        <w:t xml:space="preserve"> question (C2) drew the same answer pattern. To the fidelity question the expert responded “</w:t>
      </w:r>
      <w:r>
        <w:rPr>
          <w:i/>
          <w:iCs/>
        </w:rPr>
        <w:t>Yes, because color is shown, music is played, and they are displayed together with the score.</w:t>
      </w:r>
      <w:r>
        <w:t>” (C1); to the affordance question, “</w:t>
      </w:r>
      <w:r>
        <w:rPr>
          <w:i/>
          <w:iCs/>
        </w:rPr>
        <w:t>The function of being able to check sections via the score while hearing color and music in real time.</w:t>
      </w:r>
      <w:r>
        <w:t>” (C2). The expert did not single out any individual affordance from the list provided (color encoding, section jump, loo</w:t>
      </w:r>
      <w:r>
        <w:t xml:space="preserve">p, playback-speed control, keyboard shortcuts, demo mode, analysis pane); the </w:t>
      </w:r>
      <w:r>
        <w:rPr>
          <w:i/>
          <w:iCs/>
        </w:rPr>
        <w:t>integration</w:t>
      </w:r>
      <w:r>
        <w:t xml:space="preserve"> of color, audio, and score was itself identified as the locus of value. This converges with the design claim of §4.1 that the tool’s principal pedagogical contribution is the </w:t>
      </w:r>
      <w:r>
        <w:rPr>
          <w:i/>
          <w:iCs/>
        </w:rPr>
        <w:t>coordinated update</w:t>
      </w:r>
      <w:r>
        <w:t xml:space="preserve"> of three representations rather than any single one.</w:t>
      </w:r>
    </w:p>
    <w:p w14:paraId="5505BBDC" w14:textId="77777777" w:rsidR="00BB618D" w:rsidRDefault="001B07B8">
      <w:pPr>
        <w:pStyle w:val="3"/>
      </w:pPr>
      <w:bookmarkStart w:id="32" w:name="X8a9c53c9b4a72d12d6d05550b44e32ff2ca7e79"/>
      <w:bookmarkEnd w:id="31"/>
      <w:r>
        <w:t>6.3.2 No learner-misconception risks identified by the expert</w:t>
      </w:r>
    </w:p>
    <w:p w14:paraId="5505BBDD" w14:textId="77777777" w:rsidR="00BB618D" w:rsidRDefault="001B07B8">
      <w:pPr>
        <w:pStyle w:val="FirstParagraph"/>
      </w:pPr>
      <w:r>
        <w:t>In response to the misconception-risk question (C3) the expert indicated they did not perceive any (</w:t>
      </w:r>
      <w:r>
        <w:rPr>
          <w:i/>
          <w:iCs/>
        </w:rPr>
        <w:t>“There seem to be none.”</w:t>
      </w:r>
      <w:r>
        <w:t xml:space="preserve">). We read this both as a positive indication that the expert, with fifteen years of field experience, did not identify any obvious visualization-induced misunderstanding pathway, and as a hypothesis to be tested in the planned RCT rather than a confirmed null. An expert’s </w:t>
      </w:r>
      <w:r>
        <w:rPr>
          <w:i/>
          <w:iCs/>
        </w:rPr>
        <w:t>prediction</w:t>
      </w:r>
      <w:r>
        <w:t xml:space="preserve"> of no risk is not equivalent to a learner study failing to detect risk.</w:t>
      </w:r>
    </w:p>
    <w:p w14:paraId="5505BBDE" w14:textId="77777777" w:rsidR="00BB618D" w:rsidRDefault="001B07B8">
      <w:pPr>
        <w:pStyle w:val="3"/>
      </w:pPr>
      <w:bookmarkStart w:id="33" w:name="two-concrete-design-recommendations"/>
      <w:bookmarkEnd w:id="32"/>
      <w:r>
        <w:t>6.3.3 Two concrete design recommendations</w:t>
      </w:r>
    </w:p>
    <w:p w14:paraId="5505BBDF" w14:textId="77777777" w:rsidR="00BB618D" w:rsidRDefault="001B07B8">
      <w:pPr>
        <w:pStyle w:val="FirstParagraph"/>
      </w:pPr>
      <w:r>
        <w:t>The expert proposed two specific extensions:</w:t>
      </w:r>
    </w:p>
    <w:p w14:paraId="5505BBE0" w14:textId="77777777" w:rsidR="00BB618D" w:rsidRDefault="001B07B8">
      <w:pPr>
        <w:pStyle w:val="Compact"/>
        <w:numPr>
          <w:ilvl w:val="0"/>
          <w:numId w:val="9"/>
        </w:numPr>
      </w:pPr>
      <w:r>
        <w:rPr>
          <w:b/>
          <w:bCs/>
        </w:rPr>
        <w:t>Within-section harmonic detail.</w:t>
      </w:r>
      <w:r>
        <w:t xml:space="preserve"> “</w:t>
      </w:r>
      <w:r>
        <w:rPr>
          <w:i/>
          <w:iCs/>
        </w:rPr>
        <w:t>It would be better if the chord movements were shown in detail.</w:t>
      </w:r>
      <w:r>
        <w:t>” (C4). The current tool displays section- and theme-zone-level key labels (e.g., “C major” / “G major” / “F major”) but does not surface internal chord-by-chord progressions. The expert’s recommendation is that chord-level harmonic motion be added as a finer visualization layer in a future revision.</w:t>
      </w:r>
    </w:p>
    <w:p w14:paraId="5505BBE1" w14:textId="77777777" w:rsidR="00BB618D" w:rsidRDefault="001B07B8">
      <w:pPr>
        <w:pStyle w:val="Compact"/>
        <w:numPr>
          <w:ilvl w:val="0"/>
          <w:numId w:val="9"/>
        </w:numPr>
      </w:pPr>
      <w:r>
        <w:rPr>
          <w:b/>
          <w:bCs/>
        </w:rPr>
        <w:t>Whole-piece interface affordance.</w:t>
      </w:r>
      <w:r>
        <w:t xml:space="preserve"> In response to the RCT-methodology question (C6) the expert returned a design suggestion rather than a methodology suggestion: “</w:t>
      </w:r>
      <w:r>
        <w:rPr>
          <w:i/>
          <w:iCs/>
        </w:rPr>
        <w:t>It would be good if one piece and the interface screen could be viewed as a whole.</w:t>
      </w:r>
      <w:r>
        <w:t>” We read this as a request for a more whole-piece visual summary affordance — for instance an always-visible mini-map of the form alongside the (currently scrollable) score.</w:t>
      </w:r>
    </w:p>
    <w:p w14:paraId="5505BBE2" w14:textId="77777777" w:rsidR="00BB618D" w:rsidRDefault="001B07B8">
      <w:pPr>
        <w:pStyle w:val="FirstParagraph"/>
      </w:pPr>
      <w:r>
        <w:t xml:space="preserve">That a methodology question was answered with a design recommendation is itself a finding: an experienced field expert’s instinct, on encountering a teaching tool, is to think about </w:t>
      </w:r>
      <w:r>
        <w:rPr>
          <w:i/>
          <w:iCs/>
        </w:rPr>
        <w:t>how to extend the tool</w:t>
      </w:r>
      <w:r>
        <w:t xml:space="preserve"> rather than </w:t>
      </w:r>
      <w:r>
        <w:rPr>
          <w:i/>
          <w:iCs/>
        </w:rPr>
        <w:t>how to instrument a study around it</w:t>
      </w:r>
      <w:r>
        <w:t>.</w:t>
      </w:r>
    </w:p>
    <w:p w14:paraId="5505BBE3" w14:textId="77777777" w:rsidR="00BB618D" w:rsidRDefault="001B07B8">
      <w:pPr>
        <w:pStyle w:val="3"/>
      </w:pPr>
      <w:bookmarkStart w:id="34" w:name="X4b3be466686d378388712ff3ac02bda7cc4d1c3"/>
      <w:bookmarkEnd w:id="33"/>
      <w:r>
        <w:t>6.3.4 Multi-piece extension and real-world deployment endorsed</w:t>
      </w:r>
    </w:p>
    <w:p w14:paraId="5505BBE4" w14:textId="77777777" w:rsidR="00BB618D" w:rsidRDefault="001B07B8">
      <w:pPr>
        <w:pStyle w:val="FirstParagraph"/>
      </w:pPr>
      <w:r>
        <w:t>To the question of single-work depth versus multi-piece breadth (C5) the expert responded “</w:t>
      </w:r>
      <w:r>
        <w:rPr>
          <w:i/>
          <w:iCs/>
        </w:rPr>
        <w:t>If there were diverse works, I would actively use them.</w:t>
      </w:r>
      <w:r>
        <w:t>” The verb is significant: not “could use” but “actively use.” In an optional open-comment field at the end of the survey the expert added, unprompted, “</w:t>
      </w:r>
      <w:r>
        <w:rPr>
          <w:i/>
          <w:iCs/>
        </w:rPr>
        <w:t>Personally, I hope this program is expanded and turned into a real, deployable tool.</w:t>
      </w:r>
      <w:r>
        <w:t xml:space="preserve">” The two statements together signal a single underlying judgement: that the tool’s current single-work form is a </w:t>
      </w:r>
      <w:r>
        <w:rPr>
          <w:i/>
          <w:iCs/>
        </w:rPr>
        <w:t>demonstration artefact</w:t>
      </w:r>
      <w:r>
        <w:t>, and that the expert’s field practice would benefit from its maturation into a mult</w:t>
      </w:r>
      <w:r>
        <w:t>i-work, deployment-grade resource. This converges with — and elevates the priority of — the multi-piece dataset already listed as future work in §7 (Beethoven Op. 49 No. 2 mvt. I and Clementi Op. 36 No. 1 mvt. I, encoded against the same JSON schema), and motivates a parallel commitment to production-readiness (documentation, classroom packaging, teacher- facing materials) beyond the research prototype reported here.</w:t>
      </w:r>
    </w:p>
    <w:p w14:paraId="5505BBE5" w14:textId="77777777" w:rsidR="00BB618D" w:rsidRDefault="001B07B8">
      <w:pPr>
        <w:pStyle w:val="2"/>
      </w:pPr>
      <w:bookmarkStart w:id="35" w:name="Xa84ed316009f2bbb6f4ec2e84d740889d5d5e81"/>
      <w:bookmarkEnd w:id="30"/>
      <w:bookmarkEnd w:id="34"/>
      <w:r>
        <w:t>6.4 Implications for the planned RCT and the tool roadmap</w:t>
      </w:r>
    </w:p>
    <w:p w14:paraId="5505BBE6" w14:textId="77777777" w:rsidR="00BB618D" w:rsidRDefault="001B07B8">
      <w:pPr>
        <w:pStyle w:val="FirstParagraph"/>
      </w:pPr>
      <w:r>
        <w:t>Three concrete revisions follow from the pilot.</w:t>
      </w:r>
    </w:p>
    <w:p w14:paraId="5505BBE7" w14:textId="77777777" w:rsidR="00BB618D" w:rsidRDefault="001B07B8">
      <w:pPr>
        <w:pStyle w:val="Compact"/>
        <w:numPr>
          <w:ilvl w:val="0"/>
          <w:numId w:val="10"/>
        </w:numPr>
      </w:pPr>
      <w:r>
        <w:rPr>
          <w:b/>
          <w:bCs/>
        </w:rPr>
        <w:t>RCT primary measure to include “perceived integration”</w:t>
      </w:r>
      <w:r>
        <w:t xml:space="preserve"> — a confidence/integration rating in addition to formal-identification accuracy and SUS. The single-expert response suggests that the </w:t>
      </w:r>
      <w:r>
        <w:rPr>
          <w:i/>
          <w:iCs/>
        </w:rPr>
        <w:t>experience of three-channel synchronization</w:t>
      </w:r>
      <w:r>
        <w:t xml:space="preserve"> may be a distinct construct that learners can rate independently of accuracy and usability. This will be added to the RCT protocol.</w:t>
      </w:r>
    </w:p>
    <w:p w14:paraId="5505BBE8" w14:textId="77777777" w:rsidR="00BB618D" w:rsidRDefault="001B07B8">
      <w:pPr>
        <w:pStyle w:val="Compact"/>
        <w:numPr>
          <w:ilvl w:val="0"/>
          <w:numId w:val="10"/>
        </w:numPr>
      </w:pPr>
      <w:r>
        <w:rPr>
          <w:b/>
          <w:bCs/>
        </w:rPr>
        <w:t>Pre-RCT tool extension: chord-level harmonic layer.</w:t>
      </w:r>
      <w:r>
        <w:t xml:space="preserve"> The expert’s C4 recommendation will be incorporated into a v0.2.0 release before the RCT, so that the RCT evaluates the version the expert thought </w:t>
      </w:r>
      <w:r>
        <w:rPr>
          <w:i/>
          <w:iCs/>
        </w:rPr>
        <w:t>should exist</w:t>
      </w:r>
      <w:r>
        <w:t>, not the more limited v0.1.0.</w:t>
      </w:r>
    </w:p>
    <w:p w14:paraId="5505BBE9" w14:textId="77777777" w:rsidR="00BB618D" w:rsidRDefault="001B07B8">
      <w:pPr>
        <w:pStyle w:val="Compact"/>
        <w:numPr>
          <w:ilvl w:val="0"/>
          <w:numId w:val="10"/>
        </w:numPr>
      </w:pPr>
      <w:r>
        <w:rPr>
          <w:b/>
          <w:bCs/>
        </w:rPr>
        <w:t>Multi-piece corpus prioritised.</w:t>
      </w:r>
      <w:r>
        <w:t xml:space="preserve"> Per the C5 endorsement, Beethoven Op. 49 No. 2 mvt. I and Clementi Op. 36 No. 1 mvt. I will be added to the corpus </w:t>
      </w:r>
      <w:r>
        <w:rPr>
          <w:i/>
          <w:iCs/>
        </w:rPr>
        <w:t>before</w:t>
      </w:r>
      <w:r>
        <w:t xml:space="preserve"> the RCT rather than as post-RCT future work, so the trial can also assess single-work-deep versus multi-piece-comparative conditions.</w:t>
      </w:r>
    </w:p>
    <w:p w14:paraId="5505BBEA" w14:textId="77777777" w:rsidR="00BB618D" w:rsidRDefault="001B07B8">
      <w:pPr>
        <w:pStyle w:val="Compact"/>
        <w:numPr>
          <w:ilvl w:val="0"/>
          <w:numId w:val="10"/>
        </w:numPr>
      </w:pPr>
      <w:r>
        <w:rPr>
          <w:b/>
          <w:bCs/>
        </w:rPr>
        <w:t>Production-readiness track in parallel.</w:t>
      </w:r>
      <w:r>
        <w:t xml:space="preserve"> The expert’s unprompted comment that the tool should “</w:t>
      </w:r>
      <w:r>
        <w:rPr>
          <w:i/>
          <w:iCs/>
        </w:rPr>
        <w:t>become a real, deployable tool</w:t>
      </w:r>
      <w:r>
        <w:t>” frames a separate engineering track alongside the research RCT: documentation for non-author teachers, classroom packaging (offline-installable bundle, printable reference card), and a teacher-facing v1.0 release that does not depend on the live deployment URL.</w:t>
      </w:r>
    </w:p>
    <w:p w14:paraId="5505BBEB" w14:textId="77777777" w:rsidR="00BB618D" w:rsidRDefault="001B07B8">
      <w:pPr>
        <w:pStyle w:val="2"/>
      </w:pPr>
      <w:bookmarkStart w:id="36" w:name="limitations-of-this-pilot"/>
      <w:bookmarkEnd w:id="35"/>
      <w:r>
        <w:t>6.5 Limitations of this pilot</w:t>
      </w:r>
    </w:p>
    <w:p w14:paraId="5505BBEC" w14:textId="77777777" w:rsidR="00BB618D" w:rsidRDefault="001B07B8">
      <w:pPr>
        <w:pStyle w:val="FirstParagraph"/>
      </w:pPr>
      <w:r>
        <w:t xml:space="preserve">This is a single-expert pilot review, not a generalizable empirical study. Its findings function as </w:t>
      </w:r>
      <w:r>
        <w:rPr>
          <w:i/>
          <w:iCs/>
        </w:rPr>
        <w:t>design-stage validation</w:t>
      </w:r>
      <w:r>
        <w:t xml:space="preserve"> and as </w:t>
      </w:r>
      <w:r>
        <w:t>input to refining the planned RCT, not as evidence of learner outcomes. We list the limitations explicitly:</w:t>
      </w:r>
    </w:p>
    <w:p w14:paraId="5505BBED" w14:textId="77777777" w:rsidR="00BB618D" w:rsidRDefault="001B07B8">
      <w:pPr>
        <w:pStyle w:val="Compact"/>
        <w:numPr>
          <w:ilvl w:val="0"/>
          <w:numId w:val="11"/>
        </w:numPr>
      </w:pPr>
      <w:r>
        <w:rPr>
          <w:b/>
          <w:bCs/>
        </w:rPr>
        <w:t>n = 1.</w:t>
      </w:r>
      <w:r>
        <w:t xml:space="preserve"> A single expert cannot characterize the distribution of expert opinion on this tool. The four themes reported in §6.3 should be read as </w:t>
      </w:r>
      <w:r>
        <w:rPr>
          <w:i/>
          <w:iCs/>
        </w:rPr>
        <w:t>hypotheses generated by one informed observer</w:t>
      </w:r>
      <w:r>
        <w:t>, not as patterns across a community of experts.</w:t>
      </w:r>
    </w:p>
    <w:p w14:paraId="5505BBEE" w14:textId="77777777" w:rsidR="00BB618D" w:rsidRDefault="001B07B8">
      <w:pPr>
        <w:pStyle w:val="Compact"/>
        <w:numPr>
          <w:ilvl w:val="0"/>
          <w:numId w:val="11"/>
        </w:numPr>
      </w:pPr>
      <w:r>
        <w:rPr>
          <w:b/>
          <w:bCs/>
        </w:rPr>
        <w:t>Maximum SUS score.</w:t>
      </w:r>
      <w:r>
        <w:t xml:space="preserve"> The SUS of 100 is consistent across the ten items but indicates that this individual expert was strongly positively disposed toward the tool. We do not claim that learner SUS distributions will resemble this.</w:t>
      </w:r>
    </w:p>
    <w:p w14:paraId="5505BBEF" w14:textId="77777777" w:rsidR="00BB618D" w:rsidRDefault="001B07B8">
      <w:pPr>
        <w:pStyle w:val="Compact"/>
        <w:numPr>
          <w:ilvl w:val="0"/>
          <w:numId w:val="11"/>
        </w:numPr>
      </w:pPr>
      <w:r>
        <w:rPr>
          <w:b/>
          <w:bCs/>
        </w:rPr>
        <w:t>Brief responses.</w:t>
      </w:r>
      <w:r>
        <w:t xml:space="preserve"> All six open-ended responses are short. This prevents the deeper thematic-analytic moves (cross-question triangulation, contradiction-spotting) that a richer interview protocol would have enabled. The responses still function as signal, but signal at lower bandwidth than a fully interviewed expert panel would supply.</w:t>
      </w:r>
    </w:p>
    <w:p w14:paraId="5505BBF0" w14:textId="77777777" w:rsidR="00BB618D" w:rsidRDefault="001B07B8">
      <w:pPr>
        <w:pStyle w:val="Compact"/>
        <w:numPr>
          <w:ilvl w:val="0"/>
          <w:numId w:val="11"/>
        </w:numPr>
      </w:pPr>
      <w:r>
        <w:rPr>
          <w:b/>
          <w:bCs/>
        </w:rPr>
        <w:t>Expert orientation toward design, not methodology.</w:t>
      </w:r>
      <w:r>
        <w:t xml:space="preserve"> As noted in §6.3.3, the methodology question (C6) was answered with a design suggestion. We treat this as data about the expert’s professional orientation rather than as a deficit in the response, but it does mean the pilot yielded fewer methodological refinements for the RCT than initially hoped.</w:t>
      </w:r>
    </w:p>
    <w:p w14:paraId="5505BBF1" w14:textId="77777777" w:rsidR="00BB618D" w:rsidRDefault="001B07B8">
      <w:pPr>
        <w:pStyle w:val="Compact"/>
        <w:numPr>
          <w:ilvl w:val="0"/>
          <w:numId w:val="11"/>
        </w:numPr>
      </w:pPr>
      <w:r>
        <w:rPr>
          <w:b/>
          <w:bCs/>
        </w:rPr>
        <w:t>Pilot was self-administered.</w:t>
      </w:r>
      <w:r>
        <w:t xml:space="preserve"> The expert worked through the Word survey instrument in their own environment rather than in a researcher-moderated session. This permits the expert greater reflection but loses the live observation of confusions or workarounds that a moderated cognitive walkthrough would have captured.</w:t>
      </w:r>
    </w:p>
    <w:p w14:paraId="5505BBF2" w14:textId="77777777" w:rsidR="00BB618D" w:rsidRDefault="001B07B8">
      <w:pPr>
        <w:pStyle w:val="FirstParagraph"/>
      </w:pPr>
      <w:r>
        <w:t xml:space="preserve">These limitations are precisely why this pilot is reported as </w:t>
      </w:r>
      <w:r>
        <w:rPr>
          <w:i/>
          <w:iCs/>
        </w:rPr>
        <w:t>preliminary expert pilot review</w:t>
      </w:r>
      <w:r>
        <w:t xml:space="preserve"> rather than as expert validation. The RCT planned in §7 is the empirical study against which the tool’s pedagogical claims will properly be tested.</w:t>
      </w:r>
    </w:p>
    <w:p w14:paraId="5505BBF3" w14:textId="77777777" w:rsidR="00BB618D" w:rsidRDefault="001B07B8">
      <w:pPr>
        <w:pStyle w:val="1"/>
      </w:pPr>
      <w:bookmarkStart w:id="37" w:name="discussion"/>
      <w:bookmarkEnd w:id="27"/>
      <w:bookmarkEnd w:id="36"/>
      <w:r>
        <w:t>7. Discussion</w:t>
      </w:r>
    </w:p>
    <w:p w14:paraId="5505BBF4" w14:textId="77777777" w:rsidR="00BB618D" w:rsidRDefault="001B07B8">
      <w:pPr>
        <w:pStyle w:val="FirstParagraph"/>
      </w:pPr>
      <w:r>
        <w:t xml:space="preserve">The synchronized color-coded view makes K. 545’s subdominant recapitulation visually self-evident as a </w:t>
      </w:r>
      <w:r>
        <w:rPr>
          <w:i/>
          <w:iCs/>
        </w:rPr>
        <w:t>function-preserving</w:t>
      </w:r>
      <w:r>
        <w:t xml:space="preserve"> deformation rather than a rule-breaking exception, the central educational claim of this work and one that aligns with current form-functional approaches to musical analysis (Caplin, 1998, 2009). Methodologically, the contribution rests on three choices: treating formal analysis as a versioned JSON object suitable for peer review and machine reuse rather than ephemeral commentary; folding the exposition repeat so analytical time remains monotonic under performer-elected repeats; and a si</w:t>
      </w:r>
      <w:r>
        <w:t>ngle-dependency architecture that ages gracefully across the lifespan of a syllabus. The paper limits itself to system design, implementation, and pedagogical positioning; empirical validation of learning effects is deferred to a planned randomized controlled trial comparing the synchronized condition against audio + score and audio-only baselines, with subsequent work extending the schema to additional sonata-form works (Beethoven Op. 49 No. 2 mvt. I, Clementi Op. 36 No. 1 mvt. I), to other formal types (r</w:t>
      </w:r>
      <w:r>
        <w:t>ondo, theme-and-variations, fugue), to automatic score-audio alignment (Nakamura et al., 2017), to a learner-driven authoring mode, and to mobile form factors.</w:t>
      </w:r>
    </w:p>
    <w:p w14:paraId="5505BBF5" w14:textId="77777777" w:rsidR="00BB618D" w:rsidRDefault="001B07B8">
      <w:pPr>
        <w:pStyle w:val="1"/>
      </w:pPr>
      <w:bookmarkStart w:id="38" w:name="conclusion"/>
      <w:bookmarkEnd w:id="37"/>
      <w:r>
        <w:t>8. Conclusion</w:t>
      </w:r>
    </w:p>
    <w:p w14:paraId="5505BBF6" w14:textId="77777777" w:rsidR="00BB618D" w:rsidRDefault="001B07B8">
      <w:pPr>
        <w:pStyle w:val="FirstParagraph"/>
      </w:pPr>
      <w:r>
        <w:t xml:space="preserve">This paper has presented an open-source, web-based tool that synchronizes score, audio, and a hierarchical formal-analysis layer to teach the structure of sonata form, with Mozart’s K. 545 mvt. I as the case piece. The central pedagogical claim, that synchronized multi-representation makes the </w:t>
      </w:r>
      <w:r>
        <w:rPr>
          <w:i/>
          <w:iCs/>
        </w:rPr>
        <w:t>function-preserving</w:t>
      </w:r>
      <w:r>
        <w:t xml:space="preserve"> nature of non-tonic recapitulations visually self-evident, is grounded in form-functional theory and instantiated as a runnable, openly licensed system. Empirical validation of the learning gains this design predicts is the subject of a planned randomized controlled trial; the system, schema, and pedagogical framing presented here provide the foundation for that work.</w:t>
      </w:r>
    </w:p>
    <w:p w14:paraId="5505BBF7" w14:textId="77777777" w:rsidR="00BB618D" w:rsidRDefault="001B07B8">
      <w:pPr>
        <w:pStyle w:val="a0"/>
      </w:pPr>
      <w:r>
        <w:t>The tool is released under the MIT License; the formal-analysis data under CC BY 4.0. Both invite reuse, extension, and peer scrutiny in the spirit of open digital musicology.</w:t>
      </w:r>
    </w:p>
    <w:p w14:paraId="5505BBF8" w14:textId="77777777" w:rsidR="00BB618D" w:rsidRDefault="001B07B8">
      <w:pPr>
        <w:pStyle w:val="1"/>
      </w:pPr>
      <w:bookmarkStart w:id="39" w:name="reproducibility"/>
      <w:bookmarkEnd w:id="38"/>
      <w:r>
        <w:t>9. Reproducibility</w:t>
      </w:r>
    </w:p>
    <w:p w14:paraId="5505BBF9" w14:textId="77777777" w:rsidR="00BB618D" w:rsidRDefault="001B07B8">
      <w:pPr>
        <w:pStyle w:val="FirstParagraph"/>
      </w:pPr>
      <w:r>
        <w:t xml:space="preserve">All artifacts are released with persistent identifiers. The source code is available at https://github.com/rosyrosys/sonata-form-viz under the MIT License, and the v0.1.0 release is archived at </w:t>
      </w:r>
      <w:hyperlink r:id="rId10">
        <w:r>
          <w:rPr>
            <w:rStyle w:val="ac"/>
          </w:rPr>
          <w:t>https://doi.org/10.5281/zenodo.20108497</w:t>
        </w:r>
      </w:hyperlink>
      <w:r>
        <w:t>. The analysis schema (</w:t>
      </w:r>
      <w:r>
        <w:rPr>
          <w:rStyle w:val="VerbatimChar"/>
        </w:rPr>
        <w:t>sonata_structure.json</w:t>
      </w:r>
      <w:r>
        <w:t>), the measure-to-time mapping (</w:t>
      </w:r>
      <w:r>
        <w:rPr>
          <w:rStyle w:val="VerbatimChar"/>
        </w:rPr>
        <w:t>measure_times.json</w:t>
      </w:r>
      <w:r>
        <w:t>), and the manuscript itself are licensed CC BY 4.0; the bundled reference recording is a Public Domain performance distributed via Musopen and Wikimedia Commons. The tool has a single external runtime dependency, OpenSheetMusicDisplay v1.8.7, and runs from any static-file server. A live deployment that bundles the reference recording is available at https://rosyrosys.github.io/sonata-form-viz/ for reviewer use. De</w:t>
      </w:r>
      <w:r>
        <w:t xml:space="preserve">tailed reproducibility notes covering the recording-substitution procedure, the tap-calibration flow, browser-version compatibility, and the release schedule for the forthcoming randomized controlled trial response dataset are provided in the supplementary </w:t>
      </w:r>
      <w:r>
        <w:rPr>
          <w:rStyle w:val="VerbatimChar"/>
        </w:rPr>
        <w:t>REPRODUCIBILITY.md</w:t>
      </w:r>
      <w:r>
        <w:t xml:space="preserve"> and on the Zenodo record.</w:t>
      </w:r>
    </w:p>
    <w:p w14:paraId="5505BBFA" w14:textId="77777777" w:rsidR="00BB618D" w:rsidRDefault="001B07B8">
      <w:pPr>
        <w:pStyle w:val="1"/>
      </w:pPr>
      <w:bookmarkStart w:id="40" w:name="acknowledgments"/>
      <w:bookmarkEnd w:id="39"/>
      <w:r>
        <w:t>Acknowledgments</w:t>
      </w:r>
    </w:p>
    <w:p w14:paraId="5505BBFB" w14:textId="77777777" w:rsidR="00BB618D" w:rsidRDefault="001B07B8">
      <w:pPr>
        <w:pStyle w:val="FirstParagraph"/>
      </w:pPr>
      <w:r>
        <w:rPr>
          <w:i/>
          <w:iCs/>
        </w:rPr>
        <w:t>[To be added after blinding requirements are met. The author(s) gratefully acknowledge the open-source contributors of OpenSheetMusicDisplay, the curators of the Musopen / Wikimedia Commons Public Domain recording of K. 545 used in the bundled deployment, and the Algomus research group whose annotation conventions inspired the schema interoperability discussed in §4.3.]</w:t>
      </w:r>
    </w:p>
    <w:p w14:paraId="5505BBFC" w14:textId="77777777" w:rsidR="00BB618D" w:rsidRDefault="001B07B8">
      <w:pPr>
        <w:pStyle w:val="1"/>
      </w:pPr>
      <w:bookmarkStart w:id="41" w:name="ethics-and-consent"/>
      <w:bookmarkEnd w:id="40"/>
      <w:r>
        <w:t>Ethics and Consent</w:t>
      </w:r>
    </w:p>
    <w:p w14:paraId="5505BBFD" w14:textId="77777777" w:rsidR="00BB618D" w:rsidRDefault="001B07B8">
      <w:pPr>
        <w:pStyle w:val="FirstParagraph"/>
      </w:pPr>
      <w:r>
        <w:t>The present manuscript reports the design, implementation, and analytical case study of an open-source software tool, supplemented by a single-expert pilot review (§6) treated under standard expert-evaluation methodology. It does not include learner-subjects evaluation, animal subjects, or human-derived data beyond the single expert pilot reviewer who provided written informed consent for anonymous reporting. The planned randomized controlled trial outlined in §7, which will involve undergraduate music-educ</w:t>
      </w:r>
      <w:r>
        <w:t>ation majors as participants and the System Usability Scale (Brooke, 1996) as a primary measure, will be conducted under the appropriate institutional review board approval and reported in a separate follow-up publication.</w:t>
      </w:r>
    </w:p>
    <w:p w14:paraId="5505BBFE" w14:textId="77777777" w:rsidR="00BB618D" w:rsidRDefault="001B07B8">
      <w:pPr>
        <w:pStyle w:val="1"/>
      </w:pPr>
      <w:bookmarkStart w:id="42" w:name="competing-interests"/>
      <w:bookmarkEnd w:id="41"/>
      <w:r>
        <w:t>Competing Interests</w:t>
      </w:r>
    </w:p>
    <w:p w14:paraId="5505BBFF" w14:textId="77777777" w:rsidR="00BB618D" w:rsidRDefault="001B07B8">
      <w:pPr>
        <w:pStyle w:val="FirstParagraph"/>
      </w:pPr>
      <w:r>
        <w:t>The author(s) has/have no competing interests to declare.</w:t>
      </w:r>
    </w:p>
    <w:p w14:paraId="5505BC00" w14:textId="77777777" w:rsidR="00BB618D" w:rsidRDefault="001B07B8">
      <w:pPr>
        <w:pStyle w:val="1"/>
      </w:pPr>
      <w:bookmarkStart w:id="43" w:name="funding-information"/>
      <w:bookmarkEnd w:id="42"/>
      <w:r>
        <w:t>Funding Information</w:t>
      </w:r>
    </w:p>
    <w:p w14:paraId="5505BC01" w14:textId="77777777" w:rsidR="00BB618D" w:rsidRDefault="001B07B8">
      <w:pPr>
        <w:pStyle w:val="FirstParagraph"/>
      </w:pPr>
      <w:r>
        <w:rPr>
          <w:i/>
          <w:iCs/>
        </w:rPr>
        <w:t>[To be filled at final submission: list any funding sources with grant numbers, or state “No funding was received for this work.” The development of the tool, the bundled assets, and the manuscript were prepared by the author(s) without external grant support unless otherwise specified at the online submission stage.]</w:t>
      </w:r>
    </w:p>
    <w:p w14:paraId="5505BC02" w14:textId="77777777" w:rsidR="00BB618D" w:rsidRDefault="001B07B8">
      <w:pPr>
        <w:pStyle w:val="1"/>
      </w:pPr>
      <w:bookmarkStart w:id="44" w:name="authors-contributions"/>
      <w:bookmarkEnd w:id="43"/>
      <w:r>
        <w:t>Authors’ Contributions</w:t>
      </w:r>
    </w:p>
    <w:p w14:paraId="5505BC03" w14:textId="77777777" w:rsidR="00BB618D" w:rsidRDefault="001B07B8">
      <w:pPr>
        <w:pStyle w:val="FirstParagraph"/>
      </w:pPr>
      <w:r>
        <w:rPr>
          <w:i/>
          <w:iCs/>
        </w:rPr>
        <w:t>[To be filled at final submission. For single authorship: “The sole author conceived the study, designed and implemented the software, prepared the analysis schema and case study, drafted the manuscript, and approved the final version.” For multi-authored submissions, please supply a CRediT-style contribution statement.]</w:t>
      </w:r>
    </w:p>
    <w:p w14:paraId="5505BC04" w14:textId="77777777" w:rsidR="00BB618D" w:rsidRDefault="001B07B8">
      <w:pPr>
        <w:pStyle w:val="1"/>
      </w:pPr>
      <w:bookmarkStart w:id="45" w:name="references"/>
      <w:bookmarkEnd w:id="44"/>
      <w:r>
        <w:t>References</w:t>
      </w:r>
    </w:p>
    <w:p w14:paraId="5505BC05" w14:textId="77777777" w:rsidR="00BB618D" w:rsidRDefault="001B07B8">
      <w:pPr>
        <w:pStyle w:val="Compact"/>
        <w:numPr>
          <w:ilvl w:val="0"/>
          <w:numId w:val="12"/>
        </w:numPr>
      </w:pPr>
      <w:r>
        <w:t xml:space="preserve">Allegraud, P., Bigo, L., Feisthauer, L., Giraud, M., Groult, R., Leguy, E., &amp; Levé, F. (2019). Learning sonata form structure on Mozart’s string quartets. </w:t>
      </w:r>
      <w:r>
        <w:rPr>
          <w:i/>
          <w:iCs/>
        </w:rPr>
        <w:t>Transactions of the International Society for Music Information Retrieval, 2</w:t>
      </w:r>
      <w:r>
        <w:t>(1), 82–96. DOI: https://doi.org/10.5334/tismir.27</w:t>
      </w:r>
    </w:p>
    <w:p w14:paraId="5505BC06" w14:textId="77777777" w:rsidR="00BB618D" w:rsidRDefault="001B07B8">
      <w:pPr>
        <w:pStyle w:val="Compact"/>
        <w:numPr>
          <w:ilvl w:val="0"/>
          <w:numId w:val="12"/>
        </w:numPr>
      </w:pPr>
      <w:r>
        <w:t xml:space="preserve">Ballester, C., Bacot, B., Bigo, L., Borsan, V. N., Couturier, L., Déguernel, K., et al. (2025). Interacting with annotated and synchronized music corpora on the Dezrann web platform. </w:t>
      </w:r>
      <w:r>
        <w:rPr>
          <w:i/>
          <w:iCs/>
        </w:rPr>
        <w:t>Transactions of the International Society for Music Information Retrieval, 8</w:t>
      </w:r>
      <w:r>
        <w:t>(1), 121–139. DOI: https://doi.org/10.5334/tismir.212</w:t>
      </w:r>
    </w:p>
    <w:p w14:paraId="5505BC07" w14:textId="77777777" w:rsidR="00BB618D" w:rsidRDefault="001B07B8">
      <w:pPr>
        <w:pStyle w:val="Compact"/>
        <w:numPr>
          <w:ilvl w:val="0"/>
          <w:numId w:val="12"/>
        </w:numPr>
      </w:pPr>
      <w:r>
        <w:t xml:space="preserve">Braun, V., &amp; Clarke, V. (2006). Using thematic analysis in psychology. </w:t>
      </w:r>
      <w:r>
        <w:rPr>
          <w:i/>
          <w:iCs/>
        </w:rPr>
        <w:t>Qualitative Research in Psychology, 3</w:t>
      </w:r>
      <w:r>
        <w:t>(2), 77–101. DOI: https://doi.org/10.1191/1478088706qp063oa</w:t>
      </w:r>
    </w:p>
    <w:p w14:paraId="5505BC08" w14:textId="77777777" w:rsidR="00BB618D" w:rsidRDefault="001B07B8">
      <w:pPr>
        <w:pStyle w:val="Compact"/>
        <w:numPr>
          <w:ilvl w:val="0"/>
          <w:numId w:val="12"/>
        </w:numPr>
      </w:pPr>
      <w:r>
        <w:t xml:space="preserve">Brooke, J. (1996). SUS: A “quick and dirty” usability scale. In P. W. Jordan, B. Thomas, B. A. Weerdmeester, &amp; I. L. McClelland (Eds.), </w:t>
      </w:r>
      <w:r>
        <w:rPr>
          <w:i/>
          <w:iCs/>
        </w:rPr>
        <w:t>Usability Evaluation in Industry</w:t>
      </w:r>
      <w:r>
        <w:t>, pages 189–194. Taylor &amp; Francis.</w:t>
      </w:r>
    </w:p>
    <w:p w14:paraId="5505BC09" w14:textId="77777777" w:rsidR="00BB618D" w:rsidRDefault="001B07B8">
      <w:pPr>
        <w:pStyle w:val="Compact"/>
        <w:numPr>
          <w:ilvl w:val="0"/>
          <w:numId w:val="12"/>
        </w:numPr>
      </w:pPr>
      <w:r>
        <w:t xml:space="preserve">Cannam, C., Landone, C., &amp; Sandler, M. (2010). Sonic Visualiser: An </w:t>
      </w:r>
      <w:r>
        <w:t xml:space="preserve">open source application for viewing, analysing, and annotating music audio files. In </w:t>
      </w:r>
      <w:r>
        <w:rPr>
          <w:i/>
          <w:iCs/>
        </w:rPr>
        <w:t>Proceedings of the ACM Multimedia 2010 International Conference</w:t>
      </w:r>
      <w:r>
        <w:t>, pages 1467–1468.</w:t>
      </w:r>
    </w:p>
    <w:p w14:paraId="5505BC0A" w14:textId="77777777" w:rsidR="00BB618D" w:rsidRDefault="001B07B8">
      <w:pPr>
        <w:pStyle w:val="Compact"/>
        <w:numPr>
          <w:ilvl w:val="0"/>
          <w:numId w:val="12"/>
        </w:numPr>
      </w:pPr>
      <w:r>
        <w:t xml:space="preserve">Caplin, W. E. (1998). </w:t>
      </w:r>
      <w:r>
        <w:rPr>
          <w:i/>
          <w:iCs/>
        </w:rPr>
        <w:t>Classical form: A theory of formal functions for the instrumental music of Haydn, Mozart, and Beethoven.</w:t>
      </w:r>
      <w:r>
        <w:t xml:space="preserve"> Oxford University Press.</w:t>
      </w:r>
    </w:p>
    <w:p w14:paraId="5505BC0B" w14:textId="77777777" w:rsidR="00BB618D" w:rsidRDefault="001B07B8">
      <w:pPr>
        <w:pStyle w:val="Compact"/>
        <w:numPr>
          <w:ilvl w:val="0"/>
          <w:numId w:val="12"/>
        </w:numPr>
      </w:pPr>
      <w:r>
        <w:t xml:space="preserve">Caplin, W. E. (2009). What are formal functions? In P. Bergé (Ed.), </w:t>
      </w:r>
      <w:r>
        <w:rPr>
          <w:i/>
          <w:iCs/>
        </w:rPr>
        <w:t>Musical form, forms, &amp; formenlehre</w:t>
      </w:r>
      <w:r>
        <w:t>, pages 21–40. Leuven University Press.</w:t>
      </w:r>
    </w:p>
    <w:p w14:paraId="5505BC0C" w14:textId="77777777" w:rsidR="00BB618D" w:rsidRDefault="001B07B8">
      <w:pPr>
        <w:pStyle w:val="Compact"/>
        <w:numPr>
          <w:ilvl w:val="0"/>
          <w:numId w:val="12"/>
        </w:numPr>
      </w:pPr>
      <w:r>
        <w:t xml:space="preserve">Cook, N. (1990). </w:t>
      </w:r>
      <w:r>
        <w:rPr>
          <w:i/>
          <w:iCs/>
        </w:rPr>
        <w:t>Music, imagination, and culture.</w:t>
      </w:r>
      <w:r>
        <w:t xml:space="preserve"> Oxford University Press.</w:t>
      </w:r>
    </w:p>
    <w:p w14:paraId="5505BC0D" w14:textId="77777777" w:rsidR="00BB618D" w:rsidRDefault="001B07B8">
      <w:pPr>
        <w:pStyle w:val="Compact"/>
        <w:numPr>
          <w:ilvl w:val="0"/>
          <w:numId w:val="12"/>
        </w:numPr>
      </w:pPr>
      <w:r>
        <w:t xml:space="preserve">Couprie, P. (2008). iAnalyse: un logiciel d’aide à l’analyse musicale. In </w:t>
      </w:r>
      <w:r>
        <w:rPr>
          <w:i/>
          <w:iCs/>
        </w:rPr>
        <w:t>Journées d’Informatique Musicale (JIM)</w:t>
      </w:r>
      <w:r>
        <w:t>, pages 115–121. Albi, France. HAL: hal-00823867.</w:t>
      </w:r>
    </w:p>
    <w:p w14:paraId="5505BC0E" w14:textId="77777777" w:rsidR="00BB618D" w:rsidRDefault="001B07B8">
      <w:pPr>
        <w:pStyle w:val="Compact"/>
        <w:numPr>
          <w:ilvl w:val="0"/>
          <w:numId w:val="12"/>
        </w:numPr>
      </w:pPr>
      <w:r>
        <w:t xml:space="preserve">Goto, M. (2006). AIST annotation for the RWC music database. In </w:t>
      </w:r>
      <w:r>
        <w:rPr>
          <w:i/>
          <w:iCs/>
        </w:rPr>
        <w:t>Proceedings of ISMIR 2006</w:t>
      </w:r>
      <w:r>
        <w:t>.</w:t>
      </w:r>
    </w:p>
    <w:p w14:paraId="5505BC0F" w14:textId="77777777" w:rsidR="00BB618D" w:rsidRDefault="001B07B8">
      <w:pPr>
        <w:pStyle w:val="Compact"/>
        <w:numPr>
          <w:ilvl w:val="0"/>
          <w:numId w:val="12"/>
        </w:numPr>
      </w:pPr>
      <w:r>
        <w:t xml:space="preserve">Hargreaves, D. J. (1986). </w:t>
      </w:r>
      <w:r>
        <w:rPr>
          <w:i/>
          <w:iCs/>
        </w:rPr>
        <w:t>The developmental psychology of music.</w:t>
      </w:r>
      <w:r>
        <w:t xml:space="preserve"> Cambridge University Press.</w:t>
      </w:r>
    </w:p>
    <w:p w14:paraId="5505BC10" w14:textId="77777777" w:rsidR="00BB618D" w:rsidRDefault="001B07B8">
      <w:pPr>
        <w:pStyle w:val="Compact"/>
        <w:numPr>
          <w:ilvl w:val="0"/>
          <w:numId w:val="12"/>
        </w:numPr>
      </w:pPr>
      <w:r>
        <w:t xml:space="preserve">Hepokoski, J., &amp; Darcy, W. (2006). </w:t>
      </w:r>
      <w:r>
        <w:rPr>
          <w:i/>
          <w:iCs/>
        </w:rPr>
        <w:t>Elements of sonata theory: Norms, types, and deformations in the late-eighteenth-century sonata.</w:t>
      </w:r>
      <w:r>
        <w:t xml:space="preserve"> Oxford University Press.</w:t>
      </w:r>
    </w:p>
    <w:p w14:paraId="5505BC11" w14:textId="77777777" w:rsidR="00BB618D" w:rsidRDefault="001B07B8">
      <w:pPr>
        <w:pStyle w:val="Compact"/>
        <w:numPr>
          <w:ilvl w:val="0"/>
          <w:numId w:val="12"/>
        </w:numPr>
      </w:pPr>
      <w:r>
        <w:t xml:space="preserve">Kuo, Y.-T., &amp; Chuang, M.-C. (2013). A proposal of a color music notation system on a single melody for music beginners. </w:t>
      </w:r>
      <w:r>
        <w:rPr>
          <w:i/>
          <w:iCs/>
        </w:rPr>
        <w:t>International Journal of Music Education, 31</w:t>
      </w:r>
      <w:r>
        <w:t>(4), 394–412. DOI: https://doi.org/10.1177/0255761413489082</w:t>
      </w:r>
    </w:p>
    <w:p w14:paraId="5505BC12" w14:textId="77777777" w:rsidR="00BB618D" w:rsidRDefault="001B07B8">
      <w:pPr>
        <w:pStyle w:val="Compact"/>
        <w:numPr>
          <w:ilvl w:val="0"/>
          <w:numId w:val="12"/>
        </w:numPr>
      </w:pPr>
      <w:r>
        <w:t xml:space="preserve">LaRue, J. (1970). </w:t>
      </w:r>
      <w:r>
        <w:rPr>
          <w:i/>
          <w:iCs/>
        </w:rPr>
        <w:t>Guidelines for style analysis.</w:t>
      </w:r>
      <w:r>
        <w:t xml:space="preserve"> Norton.</w:t>
      </w:r>
    </w:p>
    <w:p w14:paraId="5505BC13" w14:textId="77777777" w:rsidR="00BB618D" w:rsidRDefault="001B07B8">
      <w:pPr>
        <w:pStyle w:val="Compact"/>
        <w:numPr>
          <w:ilvl w:val="0"/>
          <w:numId w:val="12"/>
        </w:numPr>
      </w:pPr>
      <w:r>
        <w:t xml:space="preserve">Margulis, E. H. (2014). </w:t>
      </w:r>
      <w:r>
        <w:rPr>
          <w:i/>
          <w:iCs/>
        </w:rPr>
        <w:t>On repeat: How music plays the mind.</w:t>
      </w:r>
      <w:r>
        <w:t xml:space="preserve"> Oxford University Press.</w:t>
      </w:r>
    </w:p>
    <w:p w14:paraId="5505BC14" w14:textId="77777777" w:rsidR="00BB618D" w:rsidRDefault="001B07B8">
      <w:pPr>
        <w:pStyle w:val="Compact"/>
        <w:numPr>
          <w:ilvl w:val="0"/>
          <w:numId w:val="12"/>
        </w:numPr>
      </w:pPr>
      <w:r>
        <w:t xml:space="preserve">Mayer, R. E. (2009). </w:t>
      </w:r>
      <w:r>
        <w:rPr>
          <w:i/>
          <w:iCs/>
        </w:rPr>
        <w:t>Multimedia learning</w:t>
      </w:r>
      <w:r>
        <w:t xml:space="preserve"> (2nd ed.). Cambridge University Press.</w:t>
      </w:r>
    </w:p>
    <w:p w14:paraId="5505BC15" w14:textId="77777777" w:rsidR="00BB618D" w:rsidRDefault="001B07B8">
      <w:pPr>
        <w:pStyle w:val="Compact"/>
        <w:numPr>
          <w:ilvl w:val="0"/>
          <w:numId w:val="12"/>
        </w:numPr>
      </w:pPr>
      <w:r>
        <w:t xml:space="preserve">Mozart, W. A. (1986). </w:t>
      </w:r>
      <w:r>
        <w:rPr>
          <w:i/>
          <w:iCs/>
        </w:rPr>
        <w:t>Neue Mozart-Ausgabe IX/25: Klaviersonaten Bd. 2.</w:t>
      </w:r>
      <w:r>
        <w:t xml:space="preserve"> Bärenreiter.</w:t>
      </w:r>
    </w:p>
    <w:p w14:paraId="5505BC16" w14:textId="77777777" w:rsidR="00BB618D" w:rsidRDefault="001B07B8">
      <w:pPr>
        <w:pStyle w:val="Compact"/>
        <w:numPr>
          <w:ilvl w:val="0"/>
          <w:numId w:val="12"/>
        </w:numPr>
      </w:pPr>
      <w:r>
        <w:t xml:space="preserve">Müller, M. (2015). </w:t>
      </w:r>
      <w:r>
        <w:rPr>
          <w:i/>
          <w:iCs/>
        </w:rPr>
        <w:t>Fundamentals of music processing: Audio, analysis, algorithms, applications.</w:t>
      </w:r>
      <w:r>
        <w:t xml:space="preserve"> Springer. DOI: https://doi.org/10.1007/978-3-319-21945-5</w:t>
      </w:r>
    </w:p>
    <w:p w14:paraId="5505BC17" w14:textId="77777777" w:rsidR="00BB618D" w:rsidRDefault="001B07B8">
      <w:pPr>
        <w:pStyle w:val="Compact"/>
        <w:numPr>
          <w:ilvl w:val="0"/>
          <w:numId w:val="12"/>
        </w:numPr>
      </w:pPr>
      <w:r>
        <w:t xml:space="preserve">Nakamura, E., Yoshii, K., &amp; Katayose, H. (2017). Performance error detection and post-processing for fast and accurate symbolic music alignment. In </w:t>
      </w:r>
      <w:r>
        <w:rPr>
          <w:i/>
          <w:iCs/>
        </w:rPr>
        <w:t>Proceedings of the 18th International Society for Music Information Retrieval Conference (ISMIR)</w:t>
      </w:r>
      <w:r>
        <w:t>, pages 347–353.</w:t>
      </w:r>
    </w:p>
    <w:p w14:paraId="5505BC18" w14:textId="77777777" w:rsidR="00BB618D" w:rsidRDefault="001B07B8">
      <w:pPr>
        <w:pStyle w:val="Compact"/>
        <w:numPr>
          <w:ilvl w:val="0"/>
          <w:numId w:val="12"/>
        </w:numPr>
      </w:pPr>
      <w:r>
        <w:t xml:space="preserve">North, A. C., &amp; Hargreaves, D. J. (2008). </w:t>
      </w:r>
      <w:r>
        <w:rPr>
          <w:i/>
          <w:iCs/>
        </w:rPr>
        <w:t>The social and applied psychology of music.</w:t>
      </w:r>
      <w:r>
        <w:t xml:space="preserve"> Oxford University Press.</w:t>
      </w:r>
    </w:p>
    <w:p w14:paraId="5505BC19" w14:textId="77777777" w:rsidR="00BB618D" w:rsidRDefault="001B07B8">
      <w:pPr>
        <w:pStyle w:val="Compact"/>
        <w:numPr>
          <w:ilvl w:val="0"/>
          <w:numId w:val="12"/>
        </w:numPr>
      </w:pPr>
      <w:r>
        <w:t xml:space="preserve">Paivio, A. (1991). Dual coding theory: Retrospect and current status. </w:t>
      </w:r>
      <w:r>
        <w:rPr>
          <w:i/>
          <w:iCs/>
        </w:rPr>
        <w:t>Canadian Journal of Psychology, 45</w:t>
      </w:r>
      <w:r>
        <w:t>(3), 255–287.</w:t>
      </w:r>
    </w:p>
    <w:p w14:paraId="5505BC1A" w14:textId="77777777" w:rsidR="00BB618D" w:rsidRDefault="001B07B8">
      <w:pPr>
        <w:pStyle w:val="Compact"/>
        <w:numPr>
          <w:ilvl w:val="0"/>
          <w:numId w:val="12"/>
        </w:numPr>
      </w:pPr>
      <w:r>
        <w:t xml:space="preserve">Sapp, C. S. (2017). Verovio Humdrum Viewer. In </w:t>
      </w:r>
      <w:r>
        <w:rPr>
          <w:i/>
          <w:iCs/>
        </w:rPr>
        <w:t>Music Encoding Conference 2017</w:t>
      </w:r>
      <w:r>
        <w:t>.</w:t>
      </w:r>
      <w:bookmarkEnd w:id="45"/>
    </w:p>
    <w:sectPr w:rsidR="00BB618D" w:rsidSect="00D12670">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39"/>
      <w:pgMar w:top="1440" w:right="1440" w:bottom="1440" w:left="1440"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EE66" w14:textId="77777777" w:rsidR="001B07B8" w:rsidRDefault="001B07B8" w:rsidP="00D12670">
      <w:pPr>
        <w:spacing w:line="240" w:lineRule="auto"/>
      </w:pPr>
      <w:r>
        <w:separator/>
      </w:r>
    </w:p>
  </w:endnote>
  <w:endnote w:type="continuationSeparator" w:id="0">
    <w:p w14:paraId="4D591889" w14:textId="77777777" w:rsidR="001B07B8" w:rsidRDefault="001B07B8" w:rsidP="00D126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0054" w14:textId="77777777" w:rsidR="00D12670" w:rsidRDefault="00D12670" w:rsidP="00341481">
    <w:pPr>
      <w:pStyle w:val="ae"/>
      <w:framePr w:wrap="around"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rPr>
      <w:fldChar w:fldCharType="end"/>
    </w:r>
  </w:p>
  <w:p w14:paraId="73E4D06F" w14:textId="77777777" w:rsidR="00D12670" w:rsidRDefault="00D12670" w:rsidP="00D12670">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6F01" w14:textId="648A670E" w:rsidR="00D12670" w:rsidRDefault="00D12670" w:rsidP="00341481">
    <w:pPr>
      <w:pStyle w:val="ae"/>
      <w:framePr w:wrap="around"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7841EA1D" w14:textId="77777777" w:rsidR="00D12670" w:rsidRDefault="00D12670" w:rsidP="00D12670">
    <w:pPr>
      <w:pStyle w:val="a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5430" w14:textId="77777777" w:rsidR="00D12670" w:rsidRDefault="00D1267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3EA07" w14:textId="77777777" w:rsidR="001B07B8" w:rsidRDefault="001B07B8" w:rsidP="00D12670">
      <w:pPr>
        <w:spacing w:line="240" w:lineRule="auto"/>
      </w:pPr>
      <w:r>
        <w:separator/>
      </w:r>
    </w:p>
  </w:footnote>
  <w:footnote w:type="continuationSeparator" w:id="0">
    <w:p w14:paraId="1C35393D" w14:textId="77777777" w:rsidR="001B07B8" w:rsidRDefault="001B07B8" w:rsidP="00D126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4DCA1" w14:textId="77777777" w:rsidR="00D12670" w:rsidRDefault="00D12670">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B7CEA" w14:textId="77777777" w:rsidR="00D12670" w:rsidRDefault="00D12670">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ACE00" w14:textId="77777777" w:rsidR="00D12670" w:rsidRDefault="00D12670">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D4E7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622E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CFCF7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34536729">
    <w:abstractNumId w:val="0"/>
  </w:num>
  <w:num w:numId="2" w16cid:durableId="1276133718">
    <w:abstractNumId w:val="1"/>
  </w:num>
  <w:num w:numId="3" w16cid:durableId="455877988">
    <w:abstractNumId w:val="1"/>
  </w:num>
  <w:num w:numId="4" w16cid:durableId="1373962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7446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6587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6205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1609502">
    <w:abstractNumId w:val="1"/>
  </w:num>
  <w:num w:numId="9" w16cid:durableId="801702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9268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7575195">
    <w:abstractNumId w:val="1"/>
  </w:num>
  <w:num w:numId="12" w16cid:durableId="117382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B618D"/>
    <w:rsid w:val="001B07B8"/>
    <w:rsid w:val="00BB618D"/>
    <w:rsid w:val="00D12670"/>
    <w:rsid w:val="00D320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5BAF0"/>
  <w15:docId w15:val="{21D2D539-02C3-46B4-8D96-20752ABE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480" w:lineRule="auto"/>
    </w:pPr>
    <w:rPr>
      <w:rFonts w:ascii="Times New Roman" w:hAnsi="Times New Roman" w:cs="Times New Roman"/>
    </w:rPr>
  </w:style>
  <w:style w:type="paragraph" w:styleId="1">
    <w:name w:val="heading 1"/>
    <w:basedOn w:val="a"/>
    <w:next w:val="a0"/>
    <w:link w:val="1Char"/>
    <w:uiPriority w:val="9"/>
    <w:qFormat/>
    <w:rsid w:val="00A10FD9"/>
    <w:pPr>
      <w:keepNext/>
      <w:keepLines/>
      <w:spacing w:before="360" w:after="120"/>
      <w:outlineLvl w:val="0"/>
    </w:pPr>
    <w:rPr>
      <w:rFonts w:eastAsiaTheme="majorEastAsia"/>
      <w:b/>
      <w:color w:val="000000"/>
      <w:sz w:val="28"/>
      <w:szCs w:val="40"/>
    </w:rPr>
  </w:style>
  <w:style w:type="paragraph" w:styleId="2">
    <w:name w:val="heading 2"/>
    <w:basedOn w:val="a"/>
    <w:next w:val="a0"/>
    <w:link w:val="2Char"/>
    <w:uiPriority w:val="9"/>
    <w:semiHidden/>
    <w:unhideWhenUsed/>
    <w:qFormat/>
    <w:rsid w:val="00A10FD9"/>
    <w:pPr>
      <w:keepNext/>
      <w:keepLines/>
      <w:spacing w:before="360" w:after="120"/>
      <w:outlineLvl w:val="1"/>
    </w:pPr>
    <w:rPr>
      <w:rFonts w:eastAsiaTheme="majorEastAsia"/>
      <w:b/>
      <w:color w:val="000000"/>
      <w:szCs w:val="32"/>
    </w:rPr>
  </w:style>
  <w:style w:type="paragraph" w:styleId="3">
    <w:name w:val="heading 3"/>
    <w:basedOn w:val="a"/>
    <w:next w:val="a0"/>
    <w:link w:val="3Char"/>
    <w:uiPriority w:val="9"/>
    <w:semiHidden/>
    <w:unhideWhenUsed/>
    <w:qFormat/>
    <w:rsid w:val="00A10FD9"/>
    <w:pPr>
      <w:keepNext/>
      <w:keepLines/>
      <w:spacing w:before="360" w:after="120"/>
      <w:outlineLvl w:val="2"/>
    </w:pPr>
    <w:rPr>
      <w:rFonts w:eastAsiaTheme="majorEastAsia"/>
      <w:b/>
      <w:color w:val="000000"/>
      <w:szCs w:val="28"/>
    </w:rPr>
  </w:style>
  <w:style w:type="paragraph" w:styleId="4">
    <w:name w:val="heading 4"/>
    <w:basedOn w:val="a"/>
    <w:next w:val="a0"/>
    <w:link w:val="4Char"/>
    <w:uiPriority w:val="9"/>
    <w:semiHidden/>
    <w:unhideWhenUsed/>
    <w:qFormat/>
    <w:rsid w:val="00A10FD9"/>
    <w:pPr>
      <w:keepNext/>
      <w:keepLines/>
      <w:spacing w:before="360" w:after="120"/>
      <w:outlineLvl w:val="3"/>
    </w:pPr>
    <w:rPr>
      <w:rFonts w:eastAsiaTheme="majorEastAsia"/>
      <w:b/>
      <w:i/>
      <w:iCs/>
      <w:color w:val="000000"/>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keepNext/>
      <w:spacing w:before="360" w:after="120"/>
      <w:contextualSpacing/>
      <w:jc w:val="center"/>
    </w:pPr>
    <w:rPr>
      <w:rFonts w:eastAsiaTheme="majorEastAsia"/>
      <w:b/>
      <w:color w:val="000000"/>
      <w:sz w:val="36"/>
      <w:szCs w:val="56"/>
    </w:rPr>
  </w:style>
  <w:style w:type="character" w:customStyle="1" w:styleId="Char">
    <w:name w:val="제목 Char"/>
    <w:basedOn w:val="a1"/>
    <w:link w:val="a4"/>
    <w:uiPriority w:val="10"/>
    <w:rsid w:val="00A10FD9"/>
    <w:rPr>
      <w:rFonts w:ascii="Times New Roman" w:eastAsiaTheme="majorEastAsia" w:hAnsi="Times New Roman" w:cs="Times New Roman"/>
      <w:b/>
      <w:color w:val="000000"/>
      <w:sz w:val="36"/>
      <w:szCs w:val="56"/>
    </w:rPr>
  </w:style>
  <w:style w:type="paragraph" w:styleId="a5">
    <w:name w:val="Subtitle"/>
    <w:basedOn w:val="a4"/>
    <w:next w:val="a0"/>
    <w:link w:val="Char0"/>
    <w:uiPriority w:val="11"/>
    <w:qFormat/>
    <w:rsid w:val="00A10FD9"/>
    <w:pPr>
      <w:numPr>
        <w:ilvl w:val="1"/>
      </w:numPr>
    </w:pPr>
    <w:rPr>
      <w:rFonts w:cstheme="majorBidi"/>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Lines/>
    </w:pPr>
    <w:rPr>
      <w:sz w:val="24"/>
      <w:szCs w:val="24"/>
    </w:rPr>
  </w:style>
  <w:style w:type="paragraph" w:styleId="a6">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imes New Roman" w:eastAsiaTheme="majorEastAsia" w:hAnsi="Times New Roman" w:cs="Times New Roman"/>
      <w:b/>
      <w:color w:val="000000"/>
      <w:sz w:val="28"/>
      <w:szCs w:val="40"/>
    </w:rPr>
  </w:style>
  <w:style w:type="character" w:customStyle="1" w:styleId="2Char">
    <w:name w:val="제목 2 Char"/>
    <w:basedOn w:val="a1"/>
    <w:link w:val="2"/>
    <w:uiPriority w:val="9"/>
    <w:semiHidden/>
    <w:rsid w:val="00A10FD9"/>
    <w:rPr>
      <w:rFonts w:ascii="Times New Roman" w:eastAsiaTheme="majorEastAsia" w:hAnsi="Times New Roman" w:cs="Times New Roman"/>
      <w:b/>
      <w:color w:val="000000"/>
      <w:szCs w:val="32"/>
    </w:rPr>
  </w:style>
  <w:style w:type="character" w:customStyle="1" w:styleId="3Char">
    <w:name w:val="제목 3 Char"/>
    <w:basedOn w:val="a1"/>
    <w:link w:val="3"/>
    <w:uiPriority w:val="9"/>
    <w:semiHidden/>
    <w:rsid w:val="00A10FD9"/>
    <w:rPr>
      <w:rFonts w:ascii="Times New Roman" w:eastAsiaTheme="majorEastAsia" w:hAnsi="Times New Roman" w:cs="Times New Roman"/>
      <w:b/>
      <w:color w:val="000000"/>
      <w:szCs w:val="28"/>
    </w:rPr>
  </w:style>
  <w:style w:type="character" w:customStyle="1" w:styleId="4Char">
    <w:name w:val="제목 4 Char"/>
    <w:basedOn w:val="a1"/>
    <w:link w:val="4"/>
    <w:uiPriority w:val="9"/>
    <w:semiHidden/>
    <w:rsid w:val="00A10FD9"/>
    <w:rPr>
      <w:rFonts w:ascii="Times New Roman" w:eastAsiaTheme="majorEastAsia" w:hAnsi="Times New Roman" w:cs="Times New Roman"/>
      <w:b/>
      <w:i/>
      <w:iCs/>
      <w:color w:val="000000"/>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sid w:val="00D12670"/>
    <w:rPr>
      <w:rFonts w:ascii="Consolas" w:hAnsi="Consolas" w:cs="Times New Roman"/>
      <w:sz w:val="20"/>
      <w:shd w:val="clear" w:color="auto" w:fill="FFF5F0"/>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a"/>
    <w:link w:val="VerbatimChar"/>
    <w:rsid w:val="00D12670"/>
    <w:pPr>
      <w:shd w:val="clear" w:color="auto" w:fill="FFF5F0"/>
      <w:wordWrap w:val="0"/>
      <w:spacing w:before="120" w:after="120" w:line="240" w:lineRule="auto"/>
      <w:ind w:left="283"/>
    </w:pPr>
    <w:rPr>
      <w:rFonts w:ascii="Consolas" w:hAnsi="Consolas"/>
      <w:sz w:val="20"/>
    </w:rPr>
  </w:style>
  <w:style w:type="character" w:customStyle="1" w:styleId="KeywordTok">
    <w:name w:val="KeywordTok"/>
    <w:basedOn w:val="VerbatimChar"/>
    <w:rPr>
      <w:rFonts w:ascii="Consolas" w:hAnsi="Consolas" w:cs="Times New Roman"/>
      <w:b/>
      <w:color w:val="007020"/>
      <w:sz w:val="20"/>
      <w:shd w:val="clear" w:color="auto" w:fill="FFF5F0"/>
    </w:rPr>
  </w:style>
  <w:style w:type="character" w:customStyle="1" w:styleId="DataTypeTok">
    <w:name w:val="DataTypeTok"/>
    <w:basedOn w:val="VerbatimChar"/>
    <w:rPr>
      <w:rFonts w:ascii="Consolas" w:hAnsi="Consolas" w:cs="Times New Roman"/>
      <w:color w:val="902000"/>
      <w:sz w:val="20"/>
      <w:shd w:val="clear" w:color="auto" w:fill="FFF5F0"/>
    </w:rPr>
  </w:style>
  <w:style w:type="character" w:customStyle="1" w:styleId="DecValTok">
    <w:name w:val="DecValTok"/>
    <w:basedOn w:val="VerbatimChar"/>
    <w:rPr>
      <w:rFonts w:ascii="Consolas" w:hAnsi="Consolas" w:cs="Times New Roman"/>
      <w:color w:val="40A070"/>
      <w:sz w:val="20"/>
      <w:shd w:val="clear" w:color="auto" w:fill="FFF5F0"/>
    </w:rPr>
  </w:style>
  <w:style w:type="character" w:customStyle="1" w:styleId="BaseNTok">
    <w:name w:val="BaseNTok"/>
    <w:basedOn w:val="VerbatimChar"/>
    <w:rPr>
      <w:rFonts w:ascii="Consolas" w:hAnsi="Consolas" w:cs="Times New Roman"/>
      <w:color w:val="40A070"/>
      <w:sz w:val="20"/>
      <w:shd w:val="clear" w:color="auto" w:fill="FFF5F0"/>
    </w:rPr>
  </w:style>
  <w:style w:type="character" w:customStyle="1" w:styleId="FloatTok">
    <w:name w:val="FloatTok"/>
    <w:basedOn w:val="VerbatimChar"/>
    <w:rPr>
      <w:rFonts w:ascii="Consolas" w:hAnsi="Consolas" w:cs="Times New Roman"/>
      <w:color w:val="40A070"/>
      <w:sz w:val="20"/>
      <w:shd w:val="clear" w:color="auto" w:fill="FFF5F0"/>
    </w:rPr>
  </w:style>
  <w:style w:type="character" w:customStyle="1" w:styleId="ConstantTok">
    <w:name w:val="ConstantTok"/>
    <w:basedOn w:val="VerbatimChar"/>
    <w:rPr>
      <w:rFonts w:ascii="Consolas" w:hAnsi="Consolas" w:cs="Times New Roman"/>
      <w:color w:val="880000"/>
      <w:sz w:val="20"/>
      <w:shd w:val="clear" w:color="auto" w:fill="FFF5F0"/>
    </w:rPr>
  </w:style>
  <w:style w:type="character" w:customStyle="1" w:styleId="CharTok">
    <w:name w:val="CharTok"/>
    <w:basedOn w:val="VerbatimChar"/>
    <w:rPr>
      <w:rFonts w:ascii="Consolas" w:hAnsi="Consolas" w:cs="Times New Roman"/>
      <w:color w:val="4070A0"/>
      <w:sz w:val="20"/>
      <w:shd w:val="clear" w:color="auto" w:fill="FFF5F0"/>
    </w:rPr>
  </w:style>
  <w:style w:type="character" w:customStyle="1" w:styleId="SpecialCharTok">
    <w:name w:val="SpecialCharTok"/>
    <w:basedOn w:val="VerbatimChar"/>
    <w:rPr>
      <w:rFonts w:ascii="Consolas" w:hAnsi="Consolas" w:cs="Times New Roman"/>
      <w:color w:val="4070A0"/>
      <w:sz w:val="20"/>
      <w:shd w:val="clear" w:color="auto" w:fill="FFF5F0"/>
    </w:rPr>
  </w:style>
  <w:style w:type="character" w:customStyle="1" w:styleId="StringTok">
    <w:name w:val="StringTok"/>
    <w:basedOn w:val="VerbatimChar"/>
    <w:rPr>
      <w:rFonts w:ascii="Consolas" w:hAnsi="Consolas" w:cs="Times New Roman"/>
      <w:color w:val="4070A0"/>
      <w:sz w:val="20"/>
      <w:shd w:val="clear" w:color="auto" w:fill="FFF5F0"/>
    </w:rPr>
  </w:style>
  <w:style w:type="character" w:customStyle="1" w:styleId="VerbatimStringTok">
    <w:name w:val="VerbatimStringTok"/>
    <w:basedOn w:val="VerbatimChar"/>
    <w:rPr>
      <w:rFonts w:ascii="Consolas" w:hAnsi="Consolas" w:cs="Times New Roman"/>
      <w:color w:val="4070A0"/>
      <w:sz w:val="20"/>
      <w:shd w:val="clear" w:color="auto" w:fill="FFF5F0"/>
    </w:rPr>
  </w:style>
  <w:style w:type="character" w:customStyle="1" w:styleId="SpecialStringTok">
    <w:name w:val="SpecialStringTok"/>
    <w:basedOn w:val="VerbatimChar"/>
    <w:rPr>
      <w:rFonts w:ascii="Consolas" w:hAnsi="Consolas" w:cs="Times New Roman"/>
      <w:color w:val="BB6688"/>
      <w:sz w:val="20"/>
      <w:shd w:val="clear" w:color="auto" w:fill="FFF5F0"/>
    </w:rPr>
  </w:style>
  <w:style w:type="character" w:customStyle="1" w:styleId="ImportTok">
    <w:name w:val="ImportTok"/>
    <w:basedOn w:val="VerbatimChar"/>
    <w:rPr>
      <w:rFonts w:ascii="Consolas" w:hAnsi="Consolas" w:cs="Times New Roman"/>
      <w:b/>
      <w:color w:val="008000"/>
      <w:sz w:val="20"/>
      <w:shd w:val="clear" w:color="auto" w:fill="FFF5F0"/>
    </w:rPr>
  </w:style>
  <w:style w:type="character" w:customStyle="1" w:styleId="CommentTok">
    <w:name w:val="CommentTok"/>
    <w:basedOn w:val="VerbatimChar"/>
    <w:rPr>
      <w:rFonts w:ascii="Consolas" w:hAnsi="Consolas" w:cs="Times New Roman"/>
      <w:i/>
      <w:color w:val="60A0B0"/>
      <w:sz w:val="20"/>
      <w:shd w:val="clear" w:color="auto" w:fill="FFF5F0"/>
    </w:rPr>
  </w:style>
  <w:style w:type="character" w:customStyle="1" w:styleId="DocumentationTok">
    <w:name w:val="DocumentationTok"/>
    <w:basedOn w:val="VerbatimChar"/>
    <w:rPr>
      <w:rFonts w:ascii="Consolas" w:hAnsi="Consolas" w:cs="Times New Roman"/>
      <w:i/>
      <w:color w:val="BA2121"/>
      <w:sz w:val="20"/>
      <w:shd w:val="clear" w:color="auto" w:fill="FFF5F0"/>
    </w:rPr>
  </w:style>
  <w:style w:type="character" w:customStyle="1" w:styleId="AnnotationTok">
    <w:name w:val="AnnotationTok"/>
    <w:basedOn w:val="VerbatimChar"/>
    <w:rPr>
      <w:rFonts w:ascii="Consolas" w:hAnsi="Consolas" w:cs="Times New Roman"/>
      <w:b/>
      <w:i/>
      <w:color w:val="60A0B0"/>
      <w:sz w:val="20"/>
      <w:shd w:val="clear" w:color="auto" w:fill="FFF5F0"/>
    </w:rPr>
  </w:style>
  <w:style w:type="character" w:customStyle="1" w:styleId="CommentVarTok">
    <w:name w:val="CommentVarTok"/>
    <w:basedOn w:val="VerbatimChar"/>
    <w:rPr>
      <w:rFonts w:ascii="Consolas" w:hAnsi="Consolas" w:cs="Times New Roman"/>
      <w:b/>
      <w:i/>
      <w:color w:val="60A0B0"/>
      <w:sz w:val="20"/>
      <w:shd w:val="clear" w:color="auto" w:fill="FFF5F0"/>
    </w:rPr>
  </w:style>
  <w:style w:type="character" w:customStyle="1" w:styleId="OtherTok">
    <w:name w:val="OtherTok"/>
    <w:basedOn w:val="VerbatimChar"/>
    <w:rPr>
      <w:rFonts w:ascii="Consolas" w:hAnsi="Consolas" w:cs="Times New Roman"/>
      <w:color w:val="007020"/>
      <w:sz w:val="20"/>
      <w:shd w:val="clear" w:color="auto" w:fill="FFF5F0"/>
    </w:rPr>
  </w:style>
  <w:style w:type="character" w:customStyle="1" w:styleId="FunctionTok">
    <w:name w:val="FunctionTok"/>
    <w:basedOn w:val="VerbatimChar"/>
    <w:rPr>
      <w:rFonts w:ascii="Consolas" w:hAnsi="Consolas" w:cs="Times New Roman"/>
      <w:color w:val="06287E"/>
      <w:sz w:val="20"/>
      <w:shd w:val="clear" w:color="auto" w:fill="FFF5F0"/>
    </w:rPr>
  </w:style>
  <w:style w:type="character" w:customStyle="1" w:styleId="VariableTok">
    <w:name w:val="VariableTok"/>
    <w:basedOn w:val="VerbatimChar"/>
    <w:rPr>
      <w:rFonts w:ascii="Consolas" w:hAnsi="Consolas" w:cs="Times New Roman"/>
      <w:color w:val="19177C"/>
      <w:sz w:val="20"/>
      <w:shd w:val="clear" w:color="auto" w:fill="FFF5F0"/>
    </w:rPr>
  </w:style>
  <w:style w:type="character" w:customStyle="1" w:styleId="ControlFlowTok">
    <w:name w:val="ControlFlowTok"/>
    <w:basedOn w:val="VerbatimChar"/>
    <w:rPr>
      <w:rFonts w:ascii="Consolas" w:hAnsi="Consolas" w:cs="Times New Roman"/>
      <w:b/>
      <w:color w:val="007020"/>
      <w:sz w:val="20"/>
      <w:shd w:val="clear" w:color="auto" w:fill="FFF5F0"/>
    </w:rPr>
  </w:style>
  <w:style w:type="character" w:customStyle="1" w:styleId="OperatorTok">
    <w:name w:val="OperatorTok"/>
    <w:basedOn w:val="VerbatimChar"/>
    <w:rPr>
      <w:rFonts w:ascii="Consolas" w:hAnsi="Consolas" w:cs="Times New Roman"/>
      <w:color w:val="666666"/>
      <w:sz w:val="20"/>
      <w:shd w:val="clear" w:color="auto" w:fill="FFF5F0"/>
    </w:rPr>
  </w:style>
  <w:style w:type="character" w:customStyle="1" w:styleId="BuiltInTok">
    <w:name w:val="BuiltInTok"/>
    <w:basedOn w:val="VerbatimChar"/>
    <w:rPr>
      <w:rFonts w:ascii="Consolas" w:hAnsi="Consolas" w:cs="Times New Roman"/>
      <w:color w:val="008000"/>
      <w:sz w:val="20"/>
      <w:shd w:val="clear" w:color="auto" w:fill="FFF5F0"/>
    </w:rPr>
  </w:style>
  <w:style w:type="character" w:customStyle="1" w:styleId="ExtensionTok">
    <w:name w:val="ExtensionTok"/>
    <w:basedOn w:val="VerbatimChar"/>
    <w:rPr>
      <w:rFonts w:ascii="Consolas" w:hAnsi="Consolas" w:cs="Times New Roman"/>
      <w:sz w:val="20"/>
      <w:shd w:val="clear" w:color="auto" w:fill="FFF5F0"/>
    </w:rPr>
  </w:style>
  <w:style w:type="character" w:customStyle="1" w:styleId="PreprocessorTok">
    <w:name w:val="PreprocessorTok"/>
    <w:basedOn w:val="VerbatimChar"/>
    <w:rPr>
      <w:rFonts w:ascii="Consolas" w:hAnsi="Consolas" w:cs="Times New Roman"/>
      <w:color w:val="BC7A00"/>
      <w:sz w:val="20"/>
      <w:shd w:val="clear" w:color="auto" w:fill="FFF5F0"/>
    </w:rPr>
  </w:style>
  <w:style w:type="character" w:customStyle="1" w:styleId="AttributeTok">
    <w:name w:val="AttributeTok"/>
    <w:basedOn w:val="VerbatimChar"/>
    <w:rPr>
      <w:rFonts w:ascii="Consolas" w:hAnsi="Consolas" w:cs="Times New Roman"/>
      <w:color w:val="7D9029"/>
      <w:sz w:val="20"/>
      <w:shd w:val="clear" w:color="auto" w:fill="FFF5F0"/>
    </w:rPr>
  </w:style>
  <w:style w:type="character" w:customStyle="1" w:styleId="RegionMarkerTok">
    <w:name w:val="RegionMarkerTok"/>
    <w:basedOn w:val="VerbatimChar"/>
    <w:rPr>
      <w:rFonts w:ascii="Consolas" w:hAnsi="Consolas" w:cs="Times New Roman"/>
      <w:sz w:val="20"/>
      <w:shd w:val="clear" w:color="auto" w:fill="FFF5F0"/>
    </w:rPr>
  </w:style>
  <w:style w:type="character" w:customStyle="1" w:styleId="InformationTok">
    <w:name w:val="InformationTok"/>
    <w:basedOn w:val="VerbatimChar"/>
    <w:rPr>
      <w:rFonts w:ascii="Consolas" w:hAnsi="Consolas" w:cs="Times New Roman"/>
      <w:b/>
      <w:i/>
      <w:color w:val="60A0B0"/>
      <w:sz w:val="20"/>
      <w:shd w:val="clear" w:color="auto" w:fill="FFF5F0"/>
    </w:rPr>
  </w:style>
  <w:style w:type="character" w:customStyle="1" w:styleId="WarningTok">
    <w:name w:val="WarningTok"/>
    <w:basedOn w:val="VerbatimChar"/>
    <w:rPr>
      <w:rFonts w:ascii="Consolas" w:hAnsi="Consolas" w:cs="Times New Roman"/>
      <w:b/>
      <w:i/>
      <w:color w:val="60A0B0"/>
      <w:sz w:val="20"/>
      <w:shd w:val="clear" w:color="auto" w:fill="FFF5F0"/>
    </w:rPr>
  </w:style>
  <w:style w:type="character" w:customStyle="1" w:styleId="AlertTok">
    <w:name w:val="AlertTok"/>
    <w:basedOn w:val="VerbatimChar"/>
    <w:rPr>
      <w:rFonts w:ascii="Consolas" w:hAnsi="Consolas" w:cs="Times New Roman"/>
      <w:b/>
      <w:color w:val="FF0000"/>
      <w:sz w:val="20"/>
      <w:shd w:val="clear" w:color="auto" w:fill="FFF5F0"/>
    </w:rPr>
  </w:style>
  <w:style w:type="character" w:customStyle="1" w:styleId="ErrorTok">
    <w:name w:val="ErrorTok"/>
    <w:basedOn w:val="VerbatimChar"/>
    <w:rPr>
      <w:rFonts w:ascii="Consolas" w:hAnsi="Consolas" w:cs="Times New Roman"/>
      <w:b/>
      <w:color w:val="FF0000"/>
      <w:sz w:val="20"/>
      <w:shd w:val="clear" w:color="auto" w:fill="FFF5F0"/>
    </w:rPr>
  </w:style>
  <w:style w:type="character" w:customStyle="1" w:styleId="NormalTok">
    <w:name w:val="NormalTok"/>
    <w:basedOn w:val="VerbatimChar"/>
    <w:rPr>
      <w:rFonts w:ascii="Consolas" w:hAnsi="Consolas" w:cs="Times New Roman"/>
      <w:sz w:val="20"/>
      <w:shd w:val="clear" w:color="auto" w:fill="FFF5F0"/>
    </w:rPr>
  </w:style>
  <w:style w:type="paragraph" w:styleId="ad">
    <w:name w:val="header"/>
    <w:basedOn w:val="a"/>
    <w:link w:val="Char2"/>
    <w:rsid w:val="00D12670"/>
    <w:pPr>
      <w:tabs>
        <w:tab w:val="center" w:pos="4513"/>
        <w:tab w:val="right" w:pos="9026"/>
      </w:tabs>
      <w:snapToGrid w:val="0"/>
    </w:pPr>
  </w:style>
  <w:style w:type="character" w:customStyle="1" w:styleId="Char2">
    <w:name w:val="머리글 Char"/>
    <w:basedOn w:val="a1"/>
    <w:link w:val="ad"/>
    <w:rsid w:val="00D12670"/>
  </w:style>
  <w:style w:type="paragraph" w:styleId="ae">
    <w:name w:val="footer"/>
    <w:basedOn w:val="a"/>
    <w:link w:val="Char3"/>
    <w:rsid w:val="00D12670"/>
    <w:pPr>
      <w:tabs>
        <w:tab w:val="center" w:pos="4513"/>
        <w:tab w:val="right" w:pos="9026"/>
      </w:tabs>
      <w:snapToGrid w:val="0"/>
    </w:pPr>
  </w:style>
  <w:style w:type="character" w:customStyle="1" w:styleId="Char3">
    <w:name w:val="바닥글 Char"/>
    <w:basedOn w:val="a1"/>
    <w:link w:val="ae"/>
    <w:rsid w:val="00D12670"/>
  </w:style>
  <w:style w:type="character" w:styleId="af">
    <w:name w:val="page number"/>
    <w:basedOn w:val="a1"/>
    <w:rsid w:val="00D12670"/>
  </w:style>
  <w:style w:type="character" w:styleId="af0">
    <w:name w:val="line number"/>
    <w:basedOn w:val="a1"/>
    <w:rsid w:val="00D12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doi.org/10.5281/zenodo.2010849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7022</Words>
  <Characters>40030</Characters>
  <Application>Microsoft Office Word</Application>
  <DocSecurity>0</DocSecurity>
  <Lines>333</Lines>
  <Paragraphs>93</Paragraphs>
  <ScaleCrop>false</ScaleCrop>
  <Company/>
  <LinksUpToDate>false</LinksUpToDate>
  <CharactersWithSpaces>46959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Eun Ji Park</cp:lastModifiedBy>
  <cp:revision>2</cp:revision>
  <dcterms:created xsi:type="dcterms:W3CDTF">2026-05-18T09:59:00Z</dcterms:created>
  <dcterms:modified xsi:type="dcterms:W3CDTF">2026-05-18T09:59:00Z</dcterms:modified>
</cp:coreProperties>
</file>