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847DA" w14:textId="77777777" w:rsidR="0007716E" w:rsidRDefault="008F6710">
      <w:pPr>
        <w:pStyle w:val="FirstParagraph"/>
      </w:pPr>
      <w:r>
        <w:t>[ARTICLE TYPE: Tools and Datasets Article]</w:t>
      </w:r>
    </w:p>
    <w:p w14:paraId="111847DB" w14:textId="77777777" w:rsidR="0007716E" w:rsidRDefault="008F6710">
      <w:pPr>
        <w:pStyle w:val="1"/>
      </w:pPr>
      <w:bookmarkStart w:id="0" w:name="X5b7559a007737195566a3f5027e0e7e5b5576eb"/>
      <w:r>
        <w:t>Teaching Sonata Form Through Synchronized Multi-Representational Visualization: Design, Implementation, and Evaluation of an Open-Source Web Tool Using Mozart’s K. 545</w:t>
      </w:r>
    </w:p>
    <w:p w14:paraId="111847DC" w14:textId="77777777" w:rsidR="0007716E" w:rsidRDefault="008F6710">
      <w:pPr>
        <w:pStyle w:val="FirstParagraph"/>
      </w:pPr>
      <w:r>
        <w:rPr>
          <w:i/>
          <w:iCs/>
        </w:rPr>
        <w:t>[Author details are not included in this manuscript file as the peer review process is blinded. Author names, affiliations, contact details and ORCIDs are provided via the online submission system.]</w:t>
      </w:r>
    </w:p>
    <w:p w14:paraId="111847DD" w14:textId="77777777" w:rsidR="0007716E" w:rsidRDefault="008F6710">
      <w:pPr>
        <w:pStyle w:val="1"/>
      </w:pPr>
      <w:bookmarkStart w:id="1" w:name="abstract"/>
      <w:bookmarkEnd w:id="0"/>
      <w:r>
        <w:t>Abstract</w:t>
      </w:r>
    </w:p>
    <w:p w14:paraId="111847DE" w14:textId="77777777" w:rsidR="0007716E" w:rsidRDefault="008F6710">
      <w:pPr>
        <w:pStyle w:val="FirstParagraph"/>
      </w:pPr>
      <w:r>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w:t>
      </w:r>
      <w:r>
        <w:t xml:space="preserve">tion repeats through an explicit exposition-repeat folding map. Together, the tool and the released analysis schema provide an </w:t>
      </w:r>
      <w:r>
        <w:lastRenderedPageBreak/>
        <w:t>open infrastructure for both classroom teaching of formal hierarchy and downstream computational reuse on other works in the sonata-form repertoire.</w:t>
      </w:r>
    </w:p>
    <w:p w14:paraId="111847DF" w14:textId="77777777" w:rsidR="0007716E" w:rsidRDefault="008F6710">
      <w:pPr>
        <w:pStyle w:val="a0"/>
      </w:pPr>
      <w:r>
        <w:rPr>
          <w:b/>
          <w:bCs/>
        </w:rPr>
        <w:t>Word Count:</w:t>
      </w:r>
      <w:r>
        <w:t xml:space="preserve"> </w:t>
      </w:r>
      <w:r>
        <w:rPr>
          <w:i/>
          <w:iCs/>
        </w:rPr>
        <w:t>[to be inserted at final submission, current draft ≈ 6,100 words including references and appendix]</w:t>
      </w:r>
    </w:p>
    <w:p w14:paraId="111847E0" w14:textId="77777777" w:rsidR="0007716E" w:rsidRDefault="008F6710">
      <w:pPr>
        <w:pStyle w:val="a0"/>
      </w:pPr>
      <w:r>
        <w:rPr>
          <w:b/>
          <w:bCs/>
        </w:rPr>
        <w:t>Keywords:</w:t>
      </w:r>
      <w:r>
        <w:t xml:space="preserve"> sonata form; score-audio synchronization; MusicXML visualization; exposition-repeat folding; music education technology; Mozart K. 545</w:t>
      </w:r>
    </w:p>
    <w:p w14:paraId="111847E1" w14:textId="77777777" w:rsidR="0007716E" w:rsidRDefault="008F6710">
      <w:pPr>
        <w:pStyle w:val="1"/>
      </w:pPr>
      <w:bookmarkStart w:id="2" w:name="introduction"/>
      <w:bookmarkEnd w:id="1"/>
      <w:r>
        <w:t>1. Introduction</w:t>
      </w:r>
    </w:p>
    <w:p w14:paraId="111847E2" w14:textId="77777777" w:rsidR="0007716E" w:rsidRDefault="008F6710">
      <w:pPr>
        <w:pStyle w:val="2"/>
      </w:pPr>
      <w:bookmarkStart w:id="3" w:name="motivation"/>
      <w:r>
        <w:t>1.1 Motivation</w:t>
      </w:r>
    </w:p>
    <w:p w14:paraId="111847E3" w14:textId="77777777" w:rsidR="0007716E" w:rsidRDefault="008F6710">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t>sentational gaps:</w:t>
      </w:r>
    </w:p>
    <w:p w14:paraId="111847E4" w14:textId="77777777" w:rsidR="0007716E" w:rsidRDefault="008F6710">
      <w:pPr>
        <w:pStyle w:val="Compact"/>
        <w:numPr>
          <w:ilvl w:val="0"/>
          <w:numId w:val="2"/>
        </w:numPr>
      </w:pPr>
      <w:r>
        <w:rPr>
          <w:b/>
          <w:bCs/>
        </w:rPr>
        <w:t>The temporal–spatial gap.</w:t>
      </w:r>
      <w:r>
        <w:t xml:space="preserve"> Music unfolds in time, but notation is fixed in space. The learner must mentally bind the two.</w:t>
      </w:r>
    </w:p>
    <w:p w14:paraId="111847E5" w14:textId="77777777" w:rsidR="0007716E" w:rsidRDefault="008F6710">
      <w:pPr>
        <w:pStyle w:val="Compact"/>
        <w:numPr>
          <w:ilvl w:val="0"/>
          <w:numId w:val="2"/>
        </w:numPr>
      </w:pPr>
      <w:r>
        <w:rPr>
          <w:b/>
          <w:bCs/>
        </w:rPr>
        <w:t>Absence of “you-are-here” cues.</w:t>
      </w:r>
      <w:r>
        <w:t xml:space="preserve"> Listeners typically receive no visual indication of their current position within the formal scheme.</w:t>
      </w:r>
    </w:p>
    <w:p w14:paraId="111847E6" w14:textId="77777777" w:rsidR="0007716E" w:rsidRDefault="008F6710">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111847E7" w14:textId="77777777" w:rsidR="0007716E" w:rsidRDefault="008F6710">
      <w:pPr>
        <w:pStyle w:val="FirstParagraph"/>
      </w:pPr>
      <w:r>
        <w:lastRenderedPageBreak/>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111847E8" w14:textId="77777777" w:rsidR="0007716E" w:rsidRDefault="008F6710">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111847E9" w14:textId="77777777" w:rsidR="0007716E" w:rsidRDefault="008F6710">
      <w:pPr>
        <w:pStyle w:val="2"/>
      </w:pPr>
      <w:bookmarkStart w:id="4" w:name="research-questions"/>
      <w:bookmarkEnd w:id="3"/>
      <w:r>
        <w:t>1.2 Research Questions</w:t>
      </w:r>
    </w:p>
    <w:p w14:paraId="111847EA" w14:textId="77777777" w:rsidR="0007716E" w:rsidRDefault="008F6710">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111847EB" w14:textId="77777777" w:rsidR="0007716E" w:rsidRDefault="008F6710">
      <w:pPr>
        <w:pStyle w:val="Compact"/>
        <w:numPr>
          <w:ilvl w:val="0"/>
          <w:numId w:val="3"/>
        </w:numPr>
      </w:pPr>
      <w:r>
        <w:rPr>
          <w:b/>
          <w:bCs/>
        </w:rPr>
        <w:t>RQ2.</w:t>
      </w:r>
      <w:r>
        <w:t xml:space="preserve"> What pedagogical affordances does the first movement of Mozart’s K. 545 offer as a case piece, particularly its subdominant-recapitulation deformation?</w:t>
      </w:r>
    </w:p>
    <w:p w14:paraId="111847EC" w14:textId="77777777" w:rsidR="0007716E" w:rsidRDefault="008F6710">
      <w:pPr>
        <w:pStyle w:val="Compact"/>
        <w:numPr>
          <w:ilvl w:val="0"/>
          <w:numId w:val="3"/>
        </w:numPr>
      </w:pPr>
      <w:r>
        <w:rPr>
          <w:b/>
          <w:bCs/>
        </w:rPr>
        <w:t>RQ3.</w:t>
      </w:r>
      <w:r>
        <w:t xml:space="preserve"> How does the implemented system perform with respect to (a) formal-identification accuracy and (b) system usability?</w:t>
      </w:r>
    </w:p>
    <w:p w14:paraId="111847ED" w14:textId="77777777" w:rsidR="0007716E" w:rsidRDefault="008F6710">
      <w:pPr>
        <w:pStyle w:val="2"/>
      </w:pPr>
      <w:bookmarkStart w:id="5" w:name="contributions"/>
      <w:bookmarkEnd w:id="4"/>
      <w:r>
        <w:t>1.3 Contributions</w:t>
      </w:r>
    </w:p>
    <w:p w14:paraId="111847EE" w14:textId="77777777" w:rsidR="0007716E" w:rsidRDefault="008F6710">
      <w:pPr>
        <w:pStyle w:val="FirstParagraph"/>
      </w:pPr>
      <w:r>
        <w:t>We make four contributions:</w:t>
      </w:r>
    </w:p>
    <w:p w14:paraId="111847EF" w14:textId="77777777" w:rsidR="0007716E" w:rsidRDefault="008F6710">
      <w:pPr>
        <w:pStyle w:val="Compact"/>
        <w:numPr>
          <w:ilvl w:val="0"/>
          <w:numId w:val="4"/>
        </w:numPr>
      </w:pPr>
      <w:r>
        <w:rPr>
          <w:b/>
          <w:bCs/>
        </w:rPr>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111847F0" w14:textId="77777777" w:rsidR="0007716E" w:rsidRDefault="008F6710">
      <w:pPr>
        <w:pStyle w:val="Compact"/>
        <w:numPr>
          <w:ilvl w:val="0"/>
          <w:numId w:val="4"/>
        </w:numPr>
      </w:pPr>
      <w:r>
        <w:rPr>
          <w:b/>
          <w:bCs/>
        </w:rPr>
        <w:lastRenderedPageBreak/>
        <w:t>An open analysis schema and dataset</w:t>
      </w:r>
      <w:r>
        <w:t xml:space="preserve"> (CC BY 4.0),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111847F1" w14:textId="77777777" w:rsidR="0007716E" w:rsidRDefault="008F6710">
      <w:pPr>
        <w:pStyle w:val="Compact"/>
        <w:numPr>
          <w:ilvl w:val="0"/>
          <w:numId w:val="4"/>
        </w:numPr>
      </w:pPr>
      <w:r>
        <w:rPr>
          <w:b/>
          <w:bCs/>
        </w:rPr>
        <w:t>An exposition-repeat folding map</w:t>
      </w:r>
      <w:r>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111847F2" w14:textId="77777777" w:rsidR="0007716E" w:rsidRDefault="008F6710">
      <w:pPr>
        <w:pStyle w:val="Compact"/>
        <w:numPr>
          <w:ilvl w:val="0"/>
          <w:numId w:val="4"/>
        </w:numPr>
      </w:pPr>
      <w:r>
        <w:rPr>
          <w:b/>
          <w:bCs/>
        </w:rPr>
        <w:t>A pedagogical scenario for the atypical-recapitulation case</w:t>
      </w:r>
      <w:r>
        <w:t>, a 30-minute classroom walk-through (§5) demonstrating how the tool’s three coordinated representations surface K. 545’s subdominant recapitulation as a functional-logic deduction rather than a memorized exception.</w:t>
      </w:r>
    </w:p>
    <w:p w14:paraId="111847F3" w14:textId="77777777" w:rsidR="0007716E" w:rsidRDefault="008F6710">
      <w:pPr>
        <w:pStyle w:val="FirstParagraph"/>
      </w:pPr>
      <w:r>
        <w:t>Empirical validation of learning effects is reserved for a planned randomized controlled trial; the present submission provides the open infrastructure on which such evaluation can be built.</w:t>
      </w:r>
    </w:p>
    <w:p w14:paraId="111847F4" w14:textId="77777777" w:rsidR="0007716E" w:rsidRDefault="008F6710">
      <w:pPr>
        <w:pStyle w:val="1"/>
      </w:pPr>
      <w:bookmarkStart w:id="6" w:name="background"/>
      <w:bookmarkEnd w:id="2"/>
      <w:bookmarkEnd w:id="5"/>
      <w:r>
        <w:t>2. Background</w:t>
      </w:r>
    </w:p>
    <w:p w14:paraId="111847F5" w14:textId="77777777" w:rsidR="0007716E" w:rsidRDefault="008F6710">
      <w:pPr>
        <w:pStyle w:val="2"/>
      </w:pPr>
      <w:bookmarkStart w:id="7" w:name="hierarchical-analysis-of-sonata-form"/>
      <w:r>
        <w:t>2.1 Hierarchical Analysis of Sonata Form</w:t>
      </w:r>
    </w:p>
    <w:p w14:paraId="111847F6" w14:textId="77777777" w:rsidR="0007716E" w:rsidRDefault="008F6710">
      <w:pPr>
        <w:pStyle w:val="FirstParagraph"/>
      </w:pPr>
      <w:r>
        <w:t>We adopt a two-level hierarchy that combines the rotational perspective of Sonata Theory (Hepokoski &amp; Darcy, 2006) with the formal-function account of Caplin (1998).</w:t>
      </w:r>
    </w:p>
    <w:p w14:paraId="111847F7" w14:textId="77777777" w:rsidR="0007716E" w:rsidRDefault="008F6710">
      <w:pPr>
        <w:pStyle w:val="a0"/>
      </w:pPr>
      <w:r>
        <w:rPr>
          <w:b/>
          <w:bCs/>
        </w:rPr>
        <w:t>Large sections.</w:t>
      </w:r>
      <w:r>
        <w:t xml:space="preserve"> - Exposition: presents two thematic complexes in two key areas. - Development: recasts and modulates the exposition’s material. - Recapitulation: restates both thematic complexes in the tonic. - Coda: optional closing section (absent in K. 545 mvt. I).</w:t>
      </w:r>
    </w:p>
    <w:p w14:paraId="111847F8" w14:textId="77777777" w:rsidR="0007716E" w:rsidRDefault="008F6710">
      <w:pPr>
        <w:pStyle w:val="a0"/>
      </w:pPr>
      <w:r>
        <w:rPr>
          <w:b/>
          <w:bCs/>
        </w:rPr>
        <w:lastRenderedPageBreak/>
        <w:t>Theme zones.</w:t>
      </w:r>
      <w:r>
        <w:t xml:space="preserve"> - P (Primary theme zone) - T (Transition) - S (Secondary theme zone) - K (Closing theme / codetta)</w:t>
      </w:r>
    </w:p>
    <w:p w14:paraId="111847F9" w14:textId="77777777" w:rsidR="0007716E" w:rsidRDefault="008F6710">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111847FA" w14:textId="77777777" w:rsidR="0007716E" w:rsidRDefault="008F6710">
      <w:pPr>
        <w:pStyle w:val="2"/>
      </w:pPr>
      <w:bookmarkStart w:id="8" w:name="X18707b59c1ca39adfb55a5b81cf33a0ad6570c2"/>
      <w:bookmarkEnd w:id="7"/>
      <w:r>
        <w:t>2.2 Dual Coding and the Cognitive Theory of Multimedia Learning</w:t>
      </w:r>
    </w:p>
    <w:p w14:paraId="111847FB" w14:textId="77777777" w:rsidR="0007716E" w:rsidRDefault="008F6710">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07716E" w:rsidRPr="00F220FF" w14:paraId="111847FE" w14:textId="77777777" w:rsidTr="00F220F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11847FC" w14:textId="77777777" w:rsidR="0007716E" w:rsidRPr="00F220FF" w:rsidRDefault="008F6710" w:rsidP="00F220FF">
            <w:pPr>
              <w:pStyle w:val="Compact"/>
              <w:spacing w:line="240" w:lineRule="auto"/>
              <w:rPr>
                <w:b/>
                <w:sz w:val="22"/>
              </w:rPr>
            </w:pPr>
            <w:r w:rsidRPr="00F220FF">
              <w:rPr>
                <w:b/>
                <w:sz w:val="22"/>
              </w:rPr>
              <w:t>Mayer’s Principle</w:t>
            </w:r>
          </w:p>
        </w:tc>
        <w:tc>
          <w:tcPr>
            <w:tcW w:w="0" w:type="auto"/>
            <w:tcBorders>
              <w:bottom w:val="single" w:sz="2" w:space="0" w:color="auto"/>
            </w:tcBorders>
            <w:shd w:val="clear" w:color="auto" w:fill="EBEBEB"/>
          </w:tcPr>
          <w:p w14:paraId="111847FD" w14:textId="77777777" w:rsidR="0007716E" w:rsidRPr="00F220FF" w:rsidRDefault="008F6710" w:rsidP="00F220FF">
            <w:pPr>
              <w:pStyle w:val="Compact"/>
              <w:spacing w:line="240" w:lineRule="auto"/>
              <w:rPr>
                <w:b/>
                <w:sz w:val="22"/>
              </w:rPr>
            </w:pPr>
            <w:r w:rsidRPr="00F220FF">
              <w:rPr>
                <w:b/>
                <w:sz w:val="22"/>
              </w:rPr>
              <w:t>Implementation in This Tool</w:t>
            </w:r>
          </w:p>
        </w:tc>
      </w:tr>
      <w:tr w:rsidR="0007716E" w:rsidRPr="00F220FF" w14:paraId="11184801" w14:textId="77777777" w:rsidTr="00F220FF">
        <w:trPr>
          <w:jc w:val="center"/>
        </w:trPr>
        <w:tc>
          <w:tcPr>
            <w:tcW w:w="0" w:type="auto"/>
            <w:tcBorders>
              <w:top w:val="single" w:sz="2" w:space="0" w:color="auto"/>
            </w:tcBorders>
          </w:tcPr>
          <w:p w14:paraId="111847FF" w14:textId="77777777" w:rsidR="0007716E" w:rsidRPr="00F220FF" w:rsidRDefault="008F6710" w:rsidP="00F220FF">
            <w:pPr>
              <w:pStyle w:val="Compact"/>
              <w:spacing w:line="240" w:lineRule="auto"/>
              <w:rPr>
                <w:sz w:val="22"/>
              </w:rPr>
            </w:pPr>
            <w:r w:rsidRPr="00F220FF">
              <w:rPr>
                <w:sz w:val="22"/>
              </w:rPr>
              <w:t>Modality</w:t>
            </w:r>
          </w:p>
        </w:tc>
        <w:tc>
          <w:tcPr>
            <w:tcW w:w="0" w:type="auto"/>
            <w:tcBorders>
              <w:top w:val="single" w:sz="2" w:space="0" w:color="auto"/>
            </w:tcBorders>
          </w:tcPr>
          <w:p w14:paraId="11184800" w14:textId="77777777" w:rsidR="0007716E" w:rsidRPr="00F220FF" w:rsidRDefault="008F6710" w:rsidP="00F220FF">
            <w:pPr>
              <w:pStyle w:val="Compact"/>
              <w:spacing w:line="240" w:lineRule="auto"/>
              <w:rPr>
                <w:sz w:val="22"/>
              </w:rPr>
            </w:pPr>
            <w:r w:rsidRPr="00F220FF">
              <w:rPr>
                <w:sz w:val="22"/>
              </w:rPr>
              <w:t>Audio (auditory) + score (visual) + label (verbal) co-presented</w:t>
            </w:r>
          </w:p>
        </w:tc>
      </w:tr>
      <w:tr w:rsidR="0007716E" w:rsidRPr="00F220FF" w14:paraId="11184804" w14:textId="77777777" w:rsidTr="00F220FF">
        <w:trPr>
          <w:jc w:val="center"/>
        </w:trPr>
        <w:tc>
          <w:tcPr>
            <w:tcW w:w="0" w:type="auto"/>
          </w:tcPr>
          <w:p w14:paraId="11184802" w14:textId="77777777" w:rsidR="0007716E" w:rsidRPr="00F220FF" w:rsidRDefault="008F6710" w:rsidP="00F220FF">
            <w:pPr>
              <w:pStyle w:val="Compact"/>
              <w:spacing w:line="240" w:lineRule="auto"/>
              <w:rPr>
                <w:sz w:val="22"/>
              </w:rPr>
            </w:pPr>
            <w:r w:rsidRPr="00F220FF">
              <w:rPr>
                <w:sz w:val="22"/>
              </w:rPr>
              <w:t>Temporal contiguity</w:t>
            </w:r>
          </w:p>
        </w:tc>
        <w:tc>
          <w:tcPr>
            <w:tcW w:w="0" w:type="auto"/>
          </w:tcPr>
          <w:p w14:paraId="11184803" w14:textId="77777777" w:rsidR="0007716E" w:rsidRPr="00F220FF" w:rsidRDefault="008F6710" w:rsidP="00F220FF">
            <w:pPr>
              <w:pStyle w:val="Compact"/>
              <w:spacing w:line="240" w:lineRule="auto"/>
              <w:rPr>
                <w:sz w:val="22"/>
              </w:rPr>
            </w:pPr>
            <w:r w:rsidRPr="00F220FF">
              <w:rPr>
                <w:sz w:val="22"/>
              </w:rPr>
              <w:t xml:space="preserve">All representations updated within a single render frame on </w:t>
            </w:r>
            <w:r w:rsidRPr="00F220FF">
              <w:rPr>
                <w:rStyle w:val="VerbatimChar"/>
                <w:rFonts w:ascii="Times New Roman" w:hAnsi="Times New Roman"/>
              </w:rPr>
              <w:t>timeupdate</w:t>
            </w:r>
          </w:p>
        </w:tc>
      </w:tr>
      <w:tr w:rsidR="0007716E" w:rsidRPr="00F220FF" w14:paraId="11184807" w14:textId="77777777" w:rsidTr="00F220FF">
        <w:trPr>
          <w:jc w:val="center"/>
        </w:trPr>
        <w:tc>
          <w:tcPr>
            <w:tcW w:w="0" w:type="auto"/>
          </w:tcPr>
          <w:p w14:paraId="11184805" w14:textId="77777777" w:rsidR="0007716E" w:rsidRPr="00F220FF" w:rsidRDefault="008F6710" w:rsidP="00F220FF">
            <w:pPr>
              <w:pStyle w:val="Compact"/>
              <w:spacing w:line="240" w:lineRule="auto"/>
              <w:rPr>
                <w:sz w:val="22"/>
              </w:rPr>
            </w:pPr>
            <w:r w:rsidRPr="00F220FF">
              <w:rPr>
                <w:sz w:val="22"/>
              </w:rPr>
              <w:t>Spatial contiguity</w:t>
            </w:r>
          </w:p>
        </w:tc>
        <w:tc>
          <w:tcPr>
            <w:tcW w:w="0" w:type="auto"/>
          </w:tcPr>
          <w:p w14:paraId="11184806" w14:textId="77777777" w:rsidR="0007716E" w:rsidRPr="00F220FF" w:rsidRDefault="008F6710" w:rsidP="00F220FF">
            <w:pPr>
              <w:pStyle w:val="Compact"/>
              <w:spacing w:line="240" w:lineRule="auto"/>
              <w:rPr>
                <w:sz w:val="22"/>
              </w:rPr>
            </w:pPr>
            <w:r w:rsidRPr="00F220FF">
              <w:rPr>
                <w:sz w:val="22"/>
              </w:rPr>
              <w:t xml:space="preserve">Color overlay drawn </w:t>
            </w:r>
            <w:r w:rsidRPr="00F220FF">
              <w:rPr>
                <w:i/>
                <w:iCs/>
                <w:sz w:val="22"/>
              </w:rPr>
              <w:t>directly on the score itself</w:t>
            </w:r>
            <w:r w:rsidRPr="00F220FF">
              <w:rPr>
                <w:sz w:val="22"/>
              </w:rPr>
              <w:t>, not in a separate panel</w:t>
            </w:r>
          </w:p>
        </w:tc>
      </w:tr>
    </w:tbl>
    <w:p w14:paraId="11184808" w14:textId="77777777" w:rsidR="0007716E" w:rsidRDefault="008F6710">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w:t>
      </w:r>
      <w:r>
        <w:lastRenderedPageBreak/>
        <w:t xml:space="preserve">zones, with WCAG-2.1 contrast and non-color redundancy) applies the same color–music representational principle, but at the </w:t>
      </w:r>
      <w:r>
        <w:rPr>
          <w:i/>
          <w:iCs/>
        </w:rPr>
        <w:t>formal hierarchy</w:t>
      </w:r>
      <w:r>
        <w:t xml:space="preserve"> dimension rather than the pitch dimension.</w:t>
      </w:r>
    </w:p>
    <w:p w14:paraId="11184809" w14:textId="77777777" w:rsidR="0007716E" w:rsidRDefault="008F6710">
      <w:pPr>
        <w:pStyle w:val="2"/>
      </w:pPr>
      <w:bookmarkStart w:id="9" w:name="Xa0e3c68e90591503e6220a9976f79d4f2e14830"/>
      <w:bookmarkEnd w:id="8"/>
      <w:r>
        <w:t>2.3 Active Learning and Comparative Listening</w:t>
      </w:r>
    </w:p>
    <w:p w14:paraId="1118480A" w14:textId="77777777" w:rsidR="0007716E" w:rsidRDefault="008F6710">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a comparison that is precisely what reveals the K. 545 subdominant recapitulation as such.</w:t>
      </w:r>
    </w:p>
    <w:p w14:paraId="1118480B" w14:textId="77777777" w:rsidR="0007716E" w:rsidRDefault="008F6710">
      <w:pPr>
        <w:pStyle w:val="2"/>
      </w:pPr>
      <w:bookmarkStart w:id="10" w:name="related-tools"/>
      <w:bookmarkEnd w:id="9"/>
      <w:r>
        <w:t>2.4 Related Tools</w:t>
      </w:r>
    </w:p>
    <w:p w14:paraId="1118480C" w14:textId="77777777" w:rsidR="0007716E" w:rsidRDefault="008F6710">
      <w:pPr>
        <w:pStyle w:val="FirstParagraph"/>
      </w:pPr>
      <w:r>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follows that line and contributes three differences:</w:t>
      </w:r>
    </w:p>
    <w:p w14:paraId="1118480D" w14:textId="77777777" w:rsidR="0007716E" w:rsidRDefault="008F6710">
      <w:pPr>
        <w:pStyle w:val="Compact"/>
        <w:numPr>
          <w:ilvl w:val="0"/>
          <w:numId w:val="5"/>
        </w:numPr>
      </w:pPr>
      <w:r>
        <w:rPr>
          <w:b/>
          <w:bCs/>
        </w:rPr>
        <w:t>Two-level color encoding native to the score.</w:t>
      </w:r>
      <w:r>
        <w:t xml:space="preserve"> Where Dezrann places annotation labels as discrete markers on a waveform-and- score view, our tool paints </w:t>
      </w:r>
      <w:r>
        <w:rPr>
          <w:i/>
          <w:iCs/>
        </w:rPr>
        <w:t>the score itself</w:t>
      </w:r>
      <w:r>
        <w:t xml:space="preserve"> with section colors at the measure level (computed via SVG </w:t>
      </w:r>
      <w:r>
        <w:rPr>
          <w:rStyle w:val="VerbatimChar"/>
        </w:rPr>
        <w:t>getBBox</w:t>
      </w:r>
      <w:r>
        <w:t xml:space="preserve"> on the OSMD render). Section and theme-zone colors coexist on the same surface the learner is already reading.</w:t>
      </w:r>
    </w:p>
    <w:p w14:paraId="1118480E" w14:textId="77777777" w:rsidR="0007716E" w:rsidRDefault="008F6710">
      <w:pPr>
        <w:pStyle w:val="Compact"/>
        <w:numPr>
          <w:ilvl w:val="0"/>
          <w:numId w:val="5"/>
        </w:numPr>
      </w:pPr>
      <w:r>
        <w:rPr>
          <w:b/>
          <w:bCs/>
        </w:rPr>
        <w:t>A two-level analytical schema treated as primary data.</w:t>
      </w:r>
      <w:r>
        <w:t xml:space="preserve"> Our </w:t>
      </w:r>
      <w:r>
        <w:rPr>
          <w:rStyle w:val="VerbatimChar"/>
        </w:rPr>
        <w:t>sonata_structure.json</w:t>
      </w:r>
      <w:r>
        <w:t xml:space="preserve"> is not metadata attached to a Dezrann annotation but a </w:t>
      </w:r>
      <w:r>
        <w:lastRenderedPageBreak/>
        <w:t>stand-alone, peer-reviewable, versioned object licensed CC BY 4.0. This makes it directly reusable in MIR pipelines and in derivative analyses of other works, in the same sense that the Allegraud et al. (2019) sonata-form corpus has been reused.</w:t>
      </w:r>
    </w:p>
    <w:p w14:paraId="1118480F" w14:textId="77777777" w:rsidR="0007716E" w:rsidRDefault="008F6710">
      <w:pPr>
        <w:pStyle w:val="Compact"/>
        <w:numPr>
          <w:ilvl w:val="0"/>
          <w:numId w:val="5"/>
        </w:numPr>
      </w:pPr>
      <w:r>
        <w:rPr>
          <w:b/>
          <w:bCs/>
        </w:rPr>
        <w:t>A learner-facing, single-work focus.</w:t>
      </w:r>
      <w:r>
        <w:t xml:space="preserve"> Allegraud et al. (2019) address the </w:t>
      </w:r>
      <w:r>
        <w:rPr>
          <w:i/>
          <w:iCs/>
        </w:rPr>
        <w:t>automatic detection</w:t>
      </w:r>
      <w:r>
        <w:t xml:space="preserve"> problem on a 32-quartet corpus for the music-information-retrieval community; the present tool addresses the </w:t>
      </w:r>
      <w:r>
        <w:rPr>
          <w:i/>
          <w:iCs/>
        </w:rPr>
        <w:t>teaching</w:t>
      </w:r>
      <w:r>
        <w:t xml:space="preserve"> problem on a single canonical work for the music-education community. The two are complementary: a robust classifier (Allegraud) and a precise pedagogical instrument (this work) need not target the same evaluation metric.</w:t>
      </w:r>
    </w:p>
    <w:p w14:paraId="11184810" w14:textId="77777777" w:rsidR="0007716E" w:rsidRDefault="008F6710">
      <w:pPr>
        <w:pStyle w:val="FirstParagraph"/>
      </w:pPr>
      <w:r>
        <w:t>Table 1 positions the present work against several adjacent systems.</w:t>
      </w:r>
    </w:p>
    <w:p w14:paraId="11184811" w14:textId="77777777" w:rsidR="0007716E" w:rsidRDefault="008F6710">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07716E" w:rsidRPr="00F220FF" w14:paraId="11184819" w14:textId="77777777" w:rsidTr="00F220F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1184812" w14:textId="77777777" w:rsidR="0007716E" w:rsidRPr="00F220FF" w:rsidRDefault="008F6710" w:rsidP="00F220FF">
            <w:pPr>
              <w:pStyle w:val="Compact"/>
              <w:spacing w:line="240" w:lineRule="auto"/>
              <w:rPr>
                <w:b/>
                <w:sz w:val="22"/>
              </w:rPr>
            </w:pPr>
            <w:r w:rsidRPr="00F220FF">
              <w:rPr>
                <w:b/>
                <w:sz w:val="22"/>
              </w:rPr>
              <w:t>Tool</w:t>
            </w:r>
          </w:p>
        </w:tc>
        <w:tc>
          <w:tcPr>
            <w:tcW w:w="0" w:type="auto"/>
            <w:tcBorders>
              <w:bottom w:val="single" w:sz="2" w:space="0" w:color="auto"/>
            </w:tcBorders>
            <w:shd w:val="clear" w:color="auto" w:fill="EBEBEB"/>
          </w:tcPr>
          <w:p w14:paraId="11184813" w14:textId="77777777" w:rsidR="0007716E" w:rsidRPr="00F220FF" w:rsidRDefault="008F6710" w:rsidP="00F220FF">
            <w:pPr>
              <w:pStyle w:val="Compact"/>
              <w:spacing w:line="240" w:lineRule="auto"/>
              <w:rPr>
                <w:b/>
                <w:sz w:val="22"/>
              </w:rPr>
            </w:pPr>
            <w:r w:rsidRPr="00F220FF">
              <w:rPr>
                <w:b/>
                <w:sz w:val="22"/>
              </w:rPr>
              <w:t>Hierarchical formal labels</w:t>
            </w:r>
          </w:p>
        </w:tc>
        <w:tc>
          <w:tcPr>
            <w:tcW w:w="0" w:type="auto"/>
            <w:tcBorders>
              <w:bottom w:val="single" w:sz="2" w:space="0" w:color="auto"/>
            </w:tcBorders>
            <w:shd w:val="clear" w:color="auto" w:fill="EBEBEB"/>
          </w:tcPr>
          <w:p w14:paraId="11184814" w14:textId="77777777" w:rsidR="0007716E" w:rsidRPr="00F220FF" w:rsidRDefault="008F6710" w:rsidP="00F220FF">
            <w:pPr>
              <w:pStyle w:val="Compact"/>
              <w:spacing w:line="240" w:lineRule="auto"/>
              <w:rPr>
                <w:b/>
                <w:sz w:val="22"/>
              </w:rPr>
            </w:pPr>
            <w:r w:rsidRPr="00F220FF">
              <w:rPr>
                <w:b/>
                <w:sz w:val="22"/>
              </w:rPr>
              <w:t>Score-audio sync</w:t>
            </w:r>
          </w:p>
        </w:tc>
        <w:tc>
          <w:tcPr>
            <w:tcW w:w="0" w:type="auto"/>
            <w:tcBorders>
              <w:bottom w:val="single" w:sz="2" w:space="0" w:color="auto"/>
            </w:tcBorders>
            <w:shd w:val="clear" w:color="auto" w:fill="EBEBEB"/>
          </w:tcPr>
          <w:p w14:paraId="11184815" w14:textId="77777777" w:rsidR="0007716E" w:rsidRPr="00F220FF" w:rsidRDefault="008F6710" w:rsidP="00F220FF">
            <w:pPr>
              <w:pStyle w:val="Compact"/>
              <w:spacing w:line="240" w:lineRule="auto"/>
              <w:rPr>
                <w:b/>
                <w:sz w:val="22"/>
              </w:rPr>
            </w:pPr>
            <w:r w:rsidRPr="00F220FF">
              <w:rPr>
                <w:b/>
                <w:sz w:val="22"/>
              </w:rPr>
              <w:t>Color on score itself</w:t>
            </w:r>
          </w:p>
        </w:tc>
        <w:tc>
          <w:tcPr>
            <w:tcW w:w="0" w:type="auto"/>
            <w:tcBorders>
              <w:bottom w:val="single" w:sz="2" w:space="0" w:color="auto"/>
            </w:tcBorders>
            <w:shd w:val="clear" w:color="auto" w:fill="EBEBEB"/>
          </w:tcPr>
          <w:p w14:paraId="11184816" w14:textId="77777777" w:rsidR="0007716E" w:rsidRPr="00F220FF" w:rsidRDefault="008F6710" w:rsidP="00F220FF">
            <w:pPr>
              <w:pStyle w:val="Compact"/>
              <w:spacing w:line="240" w:lineRule="auto"/>
              <w:rPr>
                <w:b/>
                <w:sz w:val="22"/>
              </w:rPr>
            </w:pPr>
            <w:r w:rsidRPr="00F220FF">
              <w:rPr>
                <w:b/>
                <w:sz w:val="22"/>
              </w:rPr>
              <w:t>Section jump</w:t>
            </w:r>
          </w:p>
        </w:tc>
        <w:tc>
          <w:tcPr>
            <w:tcW w:w="0" w:type="auto"/>
            <w:tcBorders>
              <w:bottom w:val="single" w:sz="2" w:space="0" w:color="auto"/>
            </w:tcBorders>
            <w:shd w:val="clear" w:color="auto" w:fill="EBEBEB"/>
          </w:tcPr>
          <w:p w14:paraId="11184817" w14:textId="77777777" w:rsidR="0007716E" w:rsidRPr="00F220FF" w:rsidRDefault="008F6710" w:rsidP="00F220FF">
            <w:pPr>
              <w:pStyle w:val="Compact"/>
              <w:spacing w:line="240" w:lineRule="auto"/>
              <w:rPr>
                <w:b/>
                <w:sz w:val="22"/>
              </w:rPr>
            </w:pPr>
            <w:r w:rsidRPr="00F220FF">
              <w:rPr>
                <w:b/>
                <w:sz w:val="22"/>
              </w:rPr>
              <w:t>Open source</w:t>
            </w:r>
          </w:p>
        </w:tc>
        <w:tc>
          <w:tcPr>
            <w:tcW w:w="0" w:type="auto"/>
            <w:tcBorders>
              <w:bottom w:val="single" w:sz="2" w:space="0" w:color="auto"/>
            </w:tcBorders>
            <w:shd w:val="clear" w:color="auto" w:fill="EBEBEB"/>
          </w:tcPr>
          <w:p w14:paraId="11184818" w14:textId="77777777" w:rsidR="0007716E" w:rsidRPr="00F220FF" w:rsidRDefault="008F6710" w:rsidP="00F220FF">
            <w:pPr>
              <w:pStyle w:val="Compact"/>
              <w:spacing w:line="240" w:lineRule="auto"/>
              <w:rPr>
                <w:b/>
                <w:sz w:val="22"/>
              </w:rPr>
            </w:pPr>
            <w:r w:rsidRPr="00F220FF">
              <w:rPr>
                <w:b/>
                <w:sz w:val="22"/>
              </w:rPr>
              <w:t>Learner-facing</w:t>
            </w:r>
          </w:p>
        </w:tc>
      </w:tr>
      <w:tr w:rsidR="0007716E" w:rsidRPr="00F220FF" w14:paraId="11184821" w14:textId="77777777" w:rsidTr="00F220FF">
        <w:trPr>
          <w:jc w:val="center"/>
        </w:trPr>
        <w:tc>
          <w:tcPr>
            <w:tcW w:w="0" w:type="auto"/>
            <w:tcBorders>
              <w:top w:val="single" w:sz="2" w:space="0" w:color="auto"/>
            </w:tcBorders>
          </w:tcPr>
          <w:p w14:paraId="1118481A" w14:textId="77777777" w:rsidR="0007716E" w:rsidRPr="00F220FF" w:rsidRDefault="008F6710" w:rsidP="00F220FF">
            <w:pPr>
              <w:pStyle w:val="Compact"/>
              <w:spacing w:line="240" w:lineRule="auto"/>
              <w:rPr>
                <w:sz w:val="22"/>
              </w:rPr>
            </w:pPr>
            <w:r w:rsidRPr="00F220FF">
              <w:rPr>
                <w:sz w:val="22"/>
              </w:rPr>
              <w:t>Sonic Visualiser (Cannam et al. 2010)</w:t>
            </w:r>
          </w:p>
        </w:tc>
        <w:tc>
          <w:tcPr>
            <w:tcW w:w="0" w:type="auto"/>
            <w:tcBorders>
              <w:top w:val="single" w:sz="2" w:space="0" w:color="auto"/>
            </w:tcBorders>
          </w:tcPr>
          <w:p w14:paraId="1118481B" w14:textId="77777777" w:rsidR="0007716E" w:rsidRPr="00F220FF" w:rsidRDefault="008F6710" w:rsidP="00F220FF">
            <w:pPr>
              <w:pStyle w:val="Compact"/>
              <w:spacing w:line="240" w:lineRule="auto"/>
              <w:rPr>
                <w:sz w:val="22"/>
              </w:rPr>
            </w:pPr>
            <w:r w:rsidRPr="00F220FF">
              <w:rPr>
                <w:sz w:val="22"/>
              </w:rPr>
              <w:t>△ (annotation only)</w:t>
            </w:r>
          </w:p>
        </w:tc>
        <w:tc>
          <w:tcPr>
            <w:tcW w:w="0" w:type="auto"/>
            <w:tcBorders>
              <w:top w:val="single" w:sz="2" w:space="0" w:color="auto"/>
            </w:tcBorders>
          </w:tcPr>
          <w:p w14:paraId="1118481C" w14:textId="77777777" w:rsidR="0007716E" w:rsidRPr="00F220FF" w:rsidRDefault="008F6710" w:rsidP="00F220FF">
            <w:pPr>
              <w:pStyle w:val="Compact"/>
              <w:spacing w:line="240" w:lineRule="auto"/>
              <w:rPr>
                <w:sz w:val="22"/>
              </w:rPr>
            </w:pPr>
            <w:r w:rsidRPr="00F220FF">
              <w:rPr>
                <w:sz w:val="22"/>
              </w:rPr>
              <w:t>×</w:t>
            </w:r>
          </w:p>
        </w:tc>
        <w:tc>
          <w:tcPr>
            <w:tcW w:w="0" w:type="auto"/>
            <w:tcBorders>
              <w:top w:val="single" w:sz="2" w:space="0" w:color="auto"/>
            </w:tcBorders>
          </w:tcPr>
          <w:p w14:paraId="1118481D" w14:textId="77777777" w:rsidR="0007716E" w:rsidRPr="00F220FF" w:rsidRDefault="008F6710" w:rsidP="00F220FF">
            <w:pPr>
              <w:pStyle w:val="Compact"/>
              <w:spacing w:line="240" w:lineRule="auto"/>
              <w:rPr>
                <w:sz w:val="22"/>
              </w:rPr>
            </w:pPr>
            <w:r w:rsidRPr="00F220FF">
              <w:rPr>
                <w:sz w:val="22"/>
              </w:rPr>
              <w:t>×</w:t>
            </w:r>
          </w:p>
        </w:tc>
        <w:tc>
          <w:tcPr>
            <w:tcW w:w="0" w:type="auto"/>
            <w:tcBorders>
              <w:top w:val="single" w:sz="2" w:space="0" w:color="auto"/>
            </w:tcBorders>
          </w:tcPr>
          <w:p w14:paraId="1118481E" w14:textId="77777777" w:rsidR="0007716E" w:rsidRPr="00F220FF" w:rsidRDefault="008F6710" w:rsidP="00F220FF">
            <w:pPr>
              <w:pStyle w:val="Compact"/>
              <w:spacing w:line="240" w:lineRule="auto"/>
              <w:rPr>
                <w:sz w:val="22"/>
              </w:rPr>
            </w:pPr>
            <w:r w:rsidRPr="00F220FF">
              <w:rPr>
                <w:sz w:val="22"/>
              </w:rPr>
              <w:t>△</w:t>
            </w:r>
          </w:p>
        </w:tc>
        <w:tc>
          <w:tcPr>
            <w:tcW w:w="0" w:type="auto"/>
            <w:tcBorders>
              <w:top w:val="single" w:sz="2" w:space="0" w:color="auto"/>
            </w:tcBorders>
          </w:tcPr>
          <w:p w14:paraId="1118481F" w14:textId="77777777" w:rsidR="0007716E" w:rsidRPr="00F220FF" w:rsidRDefault="008F6710" w:rsidP="00F220FF">
            <w:pPr>
              <w:pStyle w:val="Compact"/>
              <w:spacing w:line="240" w:lineRule="auto"/>
              <w:rPr>
                <w:sz w:val="22"/>
              </w:rPr>
            </w:pPr>
            <w:r w:rsidRPr="00F220FF">
              <w:rPr>
                <w:sz w:val="22"/>
              </w:rPr>
              <w:t>✓</w:t>
            </w:r>
          </w:p>
        </w:tc>
        <w:tc>
          <w:tcPr>
            <w:tcW w:w="0" w:type="auto"/>
            <w:tcBorders>
              <w:top w:val="single" w:sz="2" w:space="0" w:color="auto"/>
            </w:tcBorders>
          </w:tcPr>
          <w:p w14:paraId="11184820" w14:textId="77777777" w:rsidR="0007716E" w:rsidRPr="00F220FF" w:rsidRDefault="008F6710" w:rsidP="00F220FF">
            <w:pPr>
              <w:pStyle w:val="Compact"/>
              <w:spacing w:line="240" w:lineRule="auto"/>
              <w:rPr>
                <w:sz w:val="22"/>
              </w:rPr>
            </w:pPr>
            <w:r w:rsidRPr="00F220FF">
              <w:rPr>
                <w:sz w:val="22"/>
              </w:rPr>
              <w:t>△</w:t>
            </w:r>
          </w:p>
        </w:tc>
      </w:tr>
      <w:tr w:rsidR="0007716E" w:rsidRPr="00F220FF" w14:paraId="11184829" w14:textId="77777777" w:rsidTr="00F220FF">
        <w:trPr>
          <w:jc w:val="center"/>
        </w:trPr>
        <w:tc>
          <w:tcPr>
            <w:tcW w:w="0" w:type="auto"/>
          </w:tcPr>
          <w:p w14:paraId="11184822" w14:textId="77777777" w:rsidR="0007716E" w:rsidRPr="00F220FF" w:rsidRDefault="008F6710" w:rsidP="00F220FF">
            <w:pPr>
              <w:pStyle w:val="Compact"/>
              <w:spacing w:line="240" w:lineRule="auto"/>
              <w:rPr>
                <w:sz w:val="22"/>
              </w:rPr>
            </w:pPr>
            <w:r w:rsidRPr="00F220FF">
              <w:rPr>
                <w:sz w:val="22"/>
              </w:rPr>
              <w:t>Soundslice (commercial)</w:t>
            </w:r>
          </w:p>
        </w:tc>
        <w:tc>
          <w:tcPr>
            <w:tcW w:w="0" w:type="auto"/>
          </w:tcPr>
          <w:p w14:paraId="11184823"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24"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25"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26"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27"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28" w14:textId="77777777" w:rsidR="0007716E" w:rsidRPr="00F220FF" w:rsidRDefault="008F6710" w:rsidP="00F220FF">
            <w:pPr>
              <w:pStyle w:val="Compact"/>
              <w:spacing w:line="240" w:lineRule="auto"/>
              <w:rPr>
                <w:sz w:val="22"/>
              </w:rPr>
            </w:pPr>
            <w:r w:rsidRPr="00F220FF">
              <w:rPr>
                <w:sz w:val="22"/>
              </w:rPr>
              <w:t>✓</w:t>
            </w:r>
          </w:p>
        </w:tc>
      </w:tr>
      <w:tr w:rsidR="0007716E" w:rsidRPr="00F220FF" w14:paraId="11184831" w14:textId="77777777" w:rsidTr="00F220FF">
        <w:trPr>
          <w:jc w:val="center"/>
        </w:trPr>
        <w:tc>
          <w:tcPr>
            <w:tcW w:w="0" w:type="auto"/>
          </w:tcPr>
          <w:p w14:paraId="1118482A" w14:textId="77777777" w:rsidR="0007716E" w:rsidRPr="00F220FF" w:rsidRDefault="008F6710" w:rsidP="00F220FF">
            <w:pPr>
              <w:pStyle w:val="Compact"/>
              <w:spacing w:line="240" w:lineRule="auto"/>
              <w:rPr>
                <w:sz w:val="22"/>
              </w:rPr>
            </w:pPr>
            <w:r w:rsidRPr="00F220FF">
              <w:rPr>
                <w:sz w:val="22"/>
              </w:rPr>
              <w:t xml:space="preserve">iAnalyse (Couprie </w:t>
            </w:r>
            <w:r w:rsidRPr="00F220FF">
              <w:rPr>
                <w:sz w:val="22"/>
              </w:rPr>
              <w:lastRenderedPageBreak/>
              <w:t>2008)</w:t>
            </w:r>
          </w:p>
        </w:tc>
        <w:tc>
          <w:tcPr>
            <w:tcW w:w="0" w:type="auto"/>
          </w:tcPr>
          <w:p w14:paraId="1118482B" w14:textId="77777777" w:rsidR="0007716E" w:rsidRPr="00F220FF" w:rsidRDefault="008F6710" w:rsidP="00F220FF">
            <w:pPr>
              <w:pStyle w:val="Compact"/>
              <w:spacing w:line="240" w:lineRule="auto"/>
              <w:rPr>
                <w:sz w:val="22"/>
              </w:rPr>
            </w:pPr>
            <w:r w:rsidRPr="00F220FF">
              <w:rPr>
                <w:sz w:val="22"/>
              </w:rPr>
              <w:lastRenderedPageBreak/>
              <w:t>✓</w:t>
            </w:r>
          </w:p>
        </w:tc>
        <w:tc>
          <w:tcPr>
            <w:tcW w:w="0" w:type="auto"/>
          </w:tcPr>
          <w:p w14:paraId="1118482C"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2D"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2E"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2F"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30" w14:textId="77777777" w:rsidR="0007716E" w:rsidRPr="00F220FF" w:rsidRDefault="008F6710" w:rsidP="00F220FF">
            <w:pPr>
              <w:pStyle w:val="Compact"/>
              <w:spacing w:line="240" w:lineRule="auto"/>
              <w:rPr>
                <w:sz w:val="22"/>
              </w:rPr>
            </w:pPr>
            <w:r w:rsidRPr="00F220FF">
              <w:rPr>
                <w:sz w:val="22"/>
              </w:rPr>
              <w:t>△</w:t>
            </w:r>
          </w:p>
        </w:tc>
      </w:tr>
      <w:tr w:rsidR="0007716E" w:rsidRPr="00F220FF" w14:paraId="11184839" w14:textId="77777777" w:rsidTr="00F220FF">
        <w:trPr>
          <w:jc w:val="center"/>
        </w:trPr>
        <w:tc>
          <w:tcPr>
            <w:tcW w:w="0" w:type="auto"/>
          </w:tcPr>
          <w:p w14:paraId="11184832" w14:textId="77777777" w:rsidR="0007716E" w:rsidRPr="00F220FF" w:rsidRDefault="008F6710" w:rsidP="00F220FF">
            <w:pPr>
              <w:pStyle w:val="Compact"/>
              <w:spacing w:line="240" w:lineRule="auto"/>
              <w:rPr>
                <w:sz w:val="22"/>
              </w:rPr>
            </w:pPr>
            <w:r w:rsidRPr="00F220FF">
              <w:rPr>
                <w:sz w:val="22"/>
              </w:rPr>
              <w:t>Verovio Humdrum Viewer (Sapp 2017)</w:t>
            </w:r>
          </w:p>
        </w:tc>
        <w:tc>
          <w:tcPr>
            <w:tcW w:w="0" w:type="auto"/>
          </w:tcPr>
          <w:p w14:paraId="11184833"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34"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35"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36"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37"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38" w14:textId="77777777" w:rsidR="0007716E" w:rsidRPr="00F220FF" w:rsidRDefault="008F6710" w:rsidP="00F220FF">
            <w:pPr>
              <w:pStyle w:val="Compact"/>
              <w:spacing w:line="240" w:lineRule="auto"/>
              <w:rPr>
                <w:sz w:val="22"/>
              </w:rPr>
            </w:pPr>
            <w:r w:rsidRPr="00F220FF">
              <w:rPr>
                <w:sz w:val="22"/>
              </w:rPr>
              <w:t>△</w:t>
            </w:r>
          </w:p>
        </w:tc>
      </w:tr>
      <w:tr w:rsidR="0007716E" w:rsidRPr="00F220FF" w14:paraId="11184841" w14:textId="77777777" w:rsidTr="00F220FF">
        <w:trPr>
          <w:jc w:val="center"/>
        </w:trPr>
        <w:tc>
          <w:tcPr>
            <w:tcW w:w="0" w:type="auto"/>
          </w:tcPr>
          <w:p w14:paraId="1118483A" w14:textId="77777777" w:rsidR="0007716E" w:rsidRPr="00F220FF" w:rsidRDefault="008F6710" w:rsidP="00F220FF">
            <w:pPr>
              <w:pStyle w:val="Compact"/>
              <w:spacing w:line="240" w:lineRule="auto"/>
              <w:rPr>
                <w:sz w:val="22"/>
              </w:rPr>
            </w:pPr>
            <w:r w:rsidRPr="00F220FF">
              <w:rPr>
                <w:sz w:val="22"/>
              </w:rPr>
              <w:t>MuseScore Web (commercial)</w:t>
            </w:r>
          </w:p>
        </w:tc>
        <w:tc>
          <w:tcPr>
            <w:tcW w:w="0" w:type="auto"/>
          </w:tcPr>
          <w:p w14:paraId="1118483B"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3C"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3D"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3E"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3F"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40" w14:textId="77777777" w:rsidR="0007716E" w:rsidRPr="00F220FF" w:rsidRDefault="008F6710" w:rsidP="00F220FF">
            <w:pPr>
              <w:pStyle w:val="Compact"/>
              <w:spacing w:line="240" w:lineRule="auto"/>
              <w:rPr>
                <w:sz w:val="22"/>
              </w:rPr>
            </w:pPr>
            <w:r w:rsidRPr="00F220FF">
              <w:rPr>
                <w:sz w:val="22"/>
              </w:rPr>
              <w:t>✓</w:t>
            </w:r>
          </w:p>
        </w:tc>
      </w:tr>
      <w:tr w:rsidR="0007716E" w:rsidRPr="00F220FF" w14:paraId="11184849" w14:textId="77777777" w:rsidTr="00F220FF">
        <w:trPr>
          <w:jc w:val="center"/>
        </w:trPr>
        <w:tc>
          <w:tcPr>
            <w:tcW w:w="0" w:type="auto"/>
          </w:tcPr>
          <w:p w14:paraId="11184842" w14:textId="77777777" w:rsidR="0007716E" w:rsidRPr="00F220FF" w:rsidRDefault="008F6710" w:rsidP="00F220FF">
            <w:pPr>
              <w:pStyle w:val="Compact"/>
              <w:spacing w:line="240" w:lineRule="auto"/>
              <w:rPr>
                <w:sz w:val="22"/>
              </w:rPr>
            </w:pPr>
            <w:r w:rsidRPr="00F220FF">
              <w:rPr>
                <w:sz w:val="22"/>
              </w:rPr>
              <w:t>Dezrann (Ballester et al. 2025)</w:t>
            </w:r>
          </w:p>
        </w:tc>
        <w:tc>
          <w:tcPr>
            <w:tcW w:w="0" w:type="auto"/>
          </w:tcPr>
          <w:p w14:paraId="11184843" w14:textId="77777777" w:rsidR="0007716E" w:rsidRPr="00F220FF" w:rsidRDefault="008F6710" w:rsidP="00F220FF">
            <w:pPr>
              <w:pStyle w:val="Compact"/>
              <w:spacing w:line="240" w:lineRule="auto"/>
              <w:rPr>
                <w:sz w:val="22"/>
              </w:rPr>
            </w:pPr>
            <w:r w:rsidRPr="00F220FF">
              <w:rPr>
                <w:sz w:val="22"/>
              </w:rPr>
              <w:t>✓</w:t>
            </w:r>
            <w:r w:rsidRPr="00F220FF">
              <w:rPr>
                <w:sz w:val="22"/>
              </w:rPr>
              <w:t xml:space="preserve"> (label-based)</w:t>
            </w:r>
          </w:p>
        </w:tc>
        <w:tc>
          <w:tcPr>
            <w:tcW w:w="0" w:type="auto"/>
          </w:tcPr>
          <w:p w14:paraId="11184844"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45" w14:textId="77777777" w:rsidR="0007716E" w:rsidRPr="00F220FF" w:rsidRDefault="008F6710" w:rsidP="00F220FF">
            <w:pPr>
              <w:pStyle w:val="Compact"/>
              <w:spacing w:line="240" w:lineRule="auto"/>
              <w:rPr>
                <w:sz w:val="22"/>
              </w:rPr>
            </w:pPr>
            <w:r w:rsidRPr="00F220FF">
              <w:rPr>
                <w:sz w:val="22"/>
              </w:rPr>
              <w:t>△ (track labels)</w:t>
            </w:r>
          </w:p>
        </w:tc>
        <w:tc>
          <w:tcPr>
            <w:tcW w:w="0" w:type="auto"/>
          </w:tcPr>
          <w:p w14:paraId="11184846"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47"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48" w14:textId="77777777" w:rsidR="0007716E" w:rsidRPr="00F220FF" w:rsidRDefault="008F6710" w:rsidP="00F220FF">
            <w:pPr>
              <w:pStyle w:val="Compact"/>
              <w:spacing w:line="240" w:lineRule="auto"/>
              <w:rPr>
                <w:sz w:val="22"/>
              </w:rPr>
            </w:pPr>
            <w:r w:rsidRPr="00F220FF">
              <w:rPr>
                <w:sz w:val="22"/>
              </w:rPr>
              <w:t>✓</w:t>
            </w:r>
          </w:p>
        </w:tc>
      </w:tr>
      <w:tr w:rsidR="0007716E" w:rsidRPr="00F220FF" w14:paraId="11184851" w14:textId="77777777" w:rsidTr="00F220FF">
        <w:trPr>
          <w:jc w:val="center"/>
        </w:trPr>
        <w:tc>
          <w:tcPr>
            <w:tcW w:w="0" w:type="auto"/>
          </w:tcPr>
          <w:p w14:paraId="1118484A" w14:textId="77777777" w:rsidR="0007716E" w:rsidRPr="00F220FF" w:rsidRDefault="008F6710" w:rsidP="00F220FF">
            <w:pPr>
              <w:pStyle w:val="Compact"/>
              <w:spacing w:line="240" w:lineRule="auto"/>
              <w:rPr>
                <w:sz w:val="22"/>
              </w:rPr>
            </w:pPr>
            <w:r w:rsidRPr="00F220FF">
              <w:rPr>
                <w:b/>
                <w:bCs/>
                <w:sz w:val="22"/>
              </w:rPr>
              <w:t>This work</w:t>
            </w:r>
          </w:p>
        </w:tc>
        <w:tc>
          <w:tcPr>
            <w:tcW w:w="0" w:type="auto"/>
          </w:tcPr>
          <w:p w14:paraId="1118484B" w14:textId="77777777" w:rsidR="0007716E" w:rsidRPr="00F220FF" w:rsidRDefault="008F6710" w:rsidP="00F220FF">
            <w:pPr>
              <w:pStyle w:val="Compact"/>
              <w:spacing w:line="240" w:lineRule="auto"/>
              <w:rPr>
                <w:sz w:val="22"/>
              </w:rPr>
            </w:pPr>
            <w:r w:rsidRPr="00F220FF">
              <w:rPr>
                <w:b/>
                <w:bCs/>
                <w:sz w:val="22"/>
              </w:rPr>
              <w:t>✓</w:t>
            </w:r>
            <w:r w:rsidRPr="00F220FF">
              <w:rPr>
                <w:b/>
                <w:bCs/>
                <w:sz w:val="22"/>
              </w:rPr>
              <w:t xml:space="preserve"> (two-level)</w:t>
            </w:r>
          </w:p>
        </w:tc>
        <w:tc>
          <w:tcPr>
            <w:tcW w:w="0" w:type="auto"/>
          </w:tcPr>
          <w:p w14:paraId="1118484C" w14:textId="77777777" w:rsidR="0007716E" w:rsidRPr="00F220FF" w:rsidRDefault="008F6710" w:rsidP="00F220FF">
            <w:pPr>
              <w:pStyle w:val="Compact"/>
              <w:spacing w:line="240" w:lineRule="auto"/>
              <w:rPr>
                <w:sz w:val="22"/>
              </w:rPr>
            </w:pPr>
            <w:r w:rsidRPr="00F220FF">
              <w:rPr>
                <w:b/>
                <w:bCs/>
                <w:sz w:val="22"/>
              </w:rPr>
              <w:t>✓</w:t>
            </w:r>
          </w:p>
        </w:tc>
        <w:tc>
          <w:tcPr>
            <w:tcW w:w="0" w:type="auto"/>
          </w:tcPr>
          <w:p w14:paraId="1118484D" w14:textId="77777777" w:rsidR="0007716E" w:rsidRPr="00F220FF" w:rsidRDefault="008F6710" w:rsidP="00F220FF">
            <w:pPr>
              <w:pStyle w:val="Compact"/>
              <w:spacing w:line="240" w:lineRule="auto"/>
              <w:rPr>
                <w:sz w:val="22"/>
              </w:rPr>
            </w:pPr>
            <w:r w:rsidRPr="00F220FF">
              <w:rPr>
                <w:b/>
                <w:bCs/>
                <w:sz w:val="22"/>
              </w:rPr>
              <w:t>✓</w:t>
            </w:r>
            <w:r w:rsidRPr="00F220FF">
              <w:rPr>
                <w:b/>
                <w:bCs/>
                <w:sz w:val="22"/>
              </w:rPr>
              <w:t xml:space="preserve"> (measure-painted)</w:t>
            </w:r>
          </w:p>
        </w:tc>
        <w:tc>
          <w:tcPr>
            <w:tcW w:w="0" w:type="auto"/>
          </w:tcPr>
          <w:p w14:paraId="1118484E" w14:textId="77777777" w:rsidR="0007716E" w:rsidRPr="00F220FF" w:rsidRDefault="008F6710" w:rsidP="00F220FF">
            <w:pPr>
              <w:pStyle w:val="Compact"/>
              <w:spacing w:line="240" w:lineRule="auto"/>
              <w:rPr>
                <w:sz w:val="22"/>
              </w:rPr>
            </w:pPr>
            <w:r w:rsidRPr="00F220FF">
              <w:rPr>
                <w:b/>
                <w:bCs/>
                <w:sz w:val="22"/>
              </w:rPr>
              <w:t>✓</w:t>
            </w:r>
          </w:p>
        </w:tc>
        <w:tc>
          <w:tcPr>
            <w:tcW w:w="0" w:type="auto"/>
          </w:tcPr>
          <w:p w14:paraId="1118484F" w14:textId="77777777" w:rsidR="0007716E" w:rsidRPr="00F220FF" w:rsidRDefault="008F6710" w:rsidP="00F220FF">
            <w:pPr>
              <w:pStyle w:val="Compact"/>
              <w:spacing w:line="240" w:lineRule="auto"/>
              <w:rPr>
                <w:sz w:val="22"/>
              </w:rPr>
            </w:pPr>
            <w:r w:rsidRPr="00F220FF">
              <w:rPr>
                <w:b/>
                <w:bCs/>
                <w:sz w:val="22"/>
              </w:rPr>
              <w:t>✓</w:t>
            </w:r>
          </w:p>
        </w:tc>
        <w:tc>
          <w:tcPr>
            <w:tcW w:w="0" w:type="auto"/>
          </w:tcPr>
          <w:p w14:paraId="11184850" w14:textId="77777777" w:rsidR="0007716E" w:rsidRPr="00F220FF" w:rsidRDefault="008F6710" w:rsidP="00F220FF">
            <w:pPr>
              <w:pStyle w:val="Compact"/>
              <w:spacing w:line="240" w:lineRule="auto"/>
              <w:rPr>
                <w:sz w:val="22"/>
              </w:rPr>
            </w:pPr>
            <w:r w:rsidRPr="00F220FF">
              <w:rPr>
                <w:b/>
                <w:bCs/>
                <w:sz w:val="22"/>
              </w:rPr>
              <w:t>✓</w:t>
            </w:r>
          </w:p>
        </w:tc>
      </w:tr>
    </w:tbl>
    <w:p w14:paraId="11184852" w14:textId="77777777" w:rsidR="0007716E" w:rsidRDefault="008F6710">
      <w:pPr>
        <w:pStyle w:val="a0"/>
      </w:pPr>
      <w:r>
        <w:t xml:space="preserve">The novelty claim is therefore narrower than “first open-source </w:t>
      </w:r>
      <w:r>
        <w:t>sonata-form visualization”: it is “first open-source, learner-facing tool combining measure-painted hierarchical formal color, score-audio synchronization, and a separable analysis-as-data schema.”</w:t>
      </w:r>
    </w:p>
    <w:p w14:paraId="11184853" w14:textId="77777777" w:rsidR="0007716E" w:rsidRDefault="008F6710">
      <w:pPr>
        <w:pStyle w:val="1"/>
      </w:pPr>
      <w:bookmarkStart w:id="11" w:name="X242a817391c4b06c2e725f15f6662781fb7cb85"/>
      <w:bookmarkEnd w:id="6"/>
      <w:bookmarkEnd w:id="10"/>
      <w:r>
        <w:lastRenderedPageBreak/>
        <w:t>3. Mozart’s K. 545, Movement I: An Analytical Walk-Through</w:t>
      </w:r>
    </w:p>
    <w:p w14:paraId="11184854" w14:textId="77777777" w:rsidR="0007716E" w:rsidRDefault="008F6710">
      <w:pPr>
        <w:pStyle w:val="2"/>
      </w:pPr>
      <w:bookmarkStart w:id="12" w:name="why-this-work-and-why-movement-i"/>
      <w:r>
        <w:t>3.1 Why This Work, and Why Movement I</w:t>
      </w:r>
    </w:p>
    <w:p w14:paraId="11184855" w14:textId="77777777" w:rsidR="0007716E" w:rsidRDefault="008F6710">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w:t>
      </w:r>
      <w:r>
        <w:t>it, a peculiar gap that this paper, and the tool it accompanies, take as a pedagogical opportunity. Three properties make Movement I uniquely productive as a teaching case:</w:t>
      </w:r>
    </w:p>
    <w:p w14:paraId="11184856" w14:textId="77777777" w:rsidR="0007716E" w:rsidRDefault="008F6710">
      <w:pPr>
        <w:pStyle w:val="Compact"/>
        <w:numPr>
          <w:ilvl w:val="0"/>
          <w:numId w:val="6"/>
        </w:numPr>
      </w:pPr>
      <w:r>
        <w:rPr>
          <w:b/>
          <w:bCs/>
        </w:rPr>
        <w:t>Length.</w:t>
      </w:r>
      <w:r>
        <w:t xml:space="preserve"> At roughly three and a half minutes, the whole movement fits comfortably into a single class hearing, with time left for comparative re-listening of selected regions.</w:t>
      </w:r>
    </w:p>
    <w:p w14:paraId="11184857" w14:textId="77777777" w:rsidR="0007716E" w:rsidRDefault="008F6710">
      <w:pPr>
        <w:pStyle w:val="Compact"/>
        <w:numPr>
          <w:ilvl w:val="0"/>
          <w:numId w:val="6"/>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11184858" w14:textId="77777777" w:rsidR="0007716E" w:rsidRDefault="008F6710">
      <w:pPr>
        <w:pStyle w:val="Compact"/>
        <w:numPr>
          <w:ilvl w:val="0"/>
          <w:numId w:val="6"/>
        </w:numPr>
      </w:pPr>
      <w:r>
        <w:rPr>
          <w:b/>
          <w:bCs/>
        </w:rPr>
        <w:t>A normative-and-deformational character.</w:t>
      </w:r>
      <w:r>
        <w:t xml:space="preserve"> The exposition behaves </w:t>
      </w:r>
      <w:r>
        <w:rPr>
          <w:i/>
          <w:iCs/>
        </w:rPr>
        <w:t>exactly as a textbook sonata exposition should</w:t>
      </w:r>
      <w:r>
        <w:t>; the recapitulation does not. This contrast, the same musical material treated two ways , is the analytical heart of the movement and the heart of this paper.</w:t>
      </w:r>
    </w:p>
    <w:p w14:paraId="11184859" w14:textId="77777777" w:rsidR="0007716E" w:rsidRDefault="008F6710">
      <w:pPr>
        <w:pStyle w:val="2"/>
      </w:pPr>
      <w:bookmarkStart w:id="13" w:name="two-level-formal-layout"/>
      <w:bookmarkEnd w:id="12"/>
      <w:r>
        <w:t>3.2 Two-Level Formal Layout</w:t>
      </w:r>
    </w:p>
    <w:p w14:paraId="1118485A" w14:textId="77777777" w:rsidR="0007716E" w:rsidRDefault="008F6710">
      <w:pPr>
        <w:pStyle w:val="FirstParagraph"/>
      </w:pPr>
      <w:r>
        <w:t xml:space="preserve">Table 2 presents the formal analysis encoded in the tool. The two-level grain, large </w:t>
      </w:r>
      <w:r>
        <w:rPr>
          <w:i/>
          <w:iCs/>
        </w:rPr>
        <w:t>sections</w:t>
      </w:r>
      <w:r>
        <w:t xml:space="preserve"> containing </w:t>
      </w:r>
      <w:r>
        <w:rPr>
          <w:i/>
          <w:iCs/>
        </w:rPr>
        <w:t>theme zones</w:t>
      </w:r>
      <w:r>
        <w:t xml:space="preserve">, follows the SHMRG tradition of LaRue (1970) and the </w:t>
      </w:r>
      <w:r>
        <w:rPr>
          <w:i/>
          <w:iCs/>
        </w:rPr>
        <w:t xml:space="preserve">Sonata </w:t>
      </w:r>
      <w:r>
        <w:rPr>
          <w:i/>
          <w:iCs/>
        </w:rPr>
        <w:lastRenderedPageBreak/>
        <w:t>Theory</w:t>
      </w:r>
      <w:r>
        <w:t xml:space="preserve"> framework of Hepokoski and Darcy (2006), simplified for pedagogical use by collapsing the transition into the primary-theme zone when the latter is harmonically continuous.</w:t>
      </w:r>
    </w:p>
    <w:p w14:paraId="1118485B" w14:textId="77777777" w:rsidR="0007716E" w:rsidRDefault="008F6710">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07716E" w:rsidRPr="00F220FF" w14:paraId="11184861" w14:textId="77777777" w:rsidTr="00F220F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118485C" w14:textId="77777777" w:rsidR="0007716E" w:rsidRPr="00F220FF" w:rsidRDefault="008F6710" w:rsidP="00F220FF">
            <w:pPr>
              <w:pStyle w:val="Compact"/>
              <w:spacing w:line="240" w:lineRule="auto"/>
              <w:rPr>
                <w:b/>
                <w:sz w:val="22"/>
              </w:rPr>
            </w:pPr>
            <w:r w:rsidRPr="00F220FF">
              <w:rPr>
                <w:b/>
                <w:sz w:val="22"/>
              </w:rPr>
              <w:t>Section</w:t>
            </w:r>
          </w:p>
        </w:tc>
        <w:tc>
          <w:tcPr>
            <w:tcW w:w="0" w:type="auto"/>
            <w:tcBorders>
              <w:bottom w:val="single" w:sz="2" w:space="0" w:color="auto"/>
            </w:tcBorders>
            <w:shd w:val="clear" w:color="auto" w:fill="EBEBEB"/>
          </w:tcPr>
          <w:p w14:paraId="1118485D" w14:textId="77777777" w:rsidR="0007716E" w:rsidRPr="00F220FF" w:rsidRDefault="008F6710" w:rsidP="00F220FF">
            <w:pPr>
              <w:pStyle w:val="Compact"/>
              <w:spacing w:line="240" w:lineRule="auto"/>
              <w:rPr>
                <w:b/>
                <w:sz w:val="22"/>
              </w:rPr>
            </w:pPr>
            <w:r w:rsidRPr="00F220FF">
              <w:rPr>
                <w:b/>
                <w:sz w:val="22"/>
              </w:rPr>
              <w:t>Theme zone</w:t>
            </w:r>
          </w:p>
        </w:tc>
        <w:tc>
          <w:tcPr>
            <w:tcW w:w="0" w:type="auto"/>
            <w:tcBorders>
              <w:bottom w:val="single" w:sz="2" w:space="0" w:color="auto"/>
            </w:tcBorders>
            <w:shd w:val="clear" w:color="auto" w:fill="EBEBEB"/>
          </w:tcPr>
          <w:p w14:paraId="1118485E" w14:textId="77777777" w:rsidR="0007716E" w:rsidRPr="00F220FF" w:rsidRDefault="008F6710" w:rsidP="00F220FF">
            <w:pPr>
              <w:pStyle w:val="Compact"/>
              <w:spacing w:line="240" w:lineRule="auto"/>
              <w:rPr>
                <w:b/>
                <w:sz w:val="22"/>
              </w:rPr>
            </w:pPr>
            <w:r w:rsidRPr="00F220FF">
              <w:rPr>
                <w:b/>
                <w:sz w:val="22"/>
              </w:rPr>
              <w:t>Measures</w:t>
            </w:r>
          </w:p>
        </w:tc>
        <w:tc>
          <w:tcPr>
            <w:tcW w:w="0" w:type="auto"/>
            <w:tcBorders>
              <w:bottom w:val="single" w:sz="2" w:space="0" w:color="auto"/>
            </w:tcBorders>
            <w:shd w:val="clear" w:color="auto" w:fill="EBEBEB"/>
          </w:tcPr>
          <w:p w14:paraId="1118485F" w14:textId="77777777" w:rsidR="0007716E" w:rsidRPr="00F220FF" w:rsidRDefault="008F6710" w:rsidP="00F220FF">
            <w:pPr>
              <w:pStyle w:val="Compact"/>
              <w:spacing w:line="240" w:lineRule="auto"/>
              <w:rPr>
                <w:b/>
                <w:sz w:val="22"/>
              </w:rPr>
            </w:pPr>
            <w:r w:rsidRPr="00F220FF">
              <w:rPr>
                <w:b/>
                <w:sz w:val="22"/>
              </w:rPr>
              <w:t>Key</w:t>
            </w:r>
          </w:p>
        </w:tc>
        <w:tc>
          <w:tcPr>
            <w:tcW w:w="0" w:type="auto"/>
            <w:tcBorders>
              <w:bottom w:val="single" w:sz="2" w:space="0" w:color="auto"/>
            </w:tcBorders>
            <w:shd w:val="clear" w:color="auto" w:fill="EBEBEB"/>
          </w:tcPr>
          <w:p w14:paraId="11184860" w14:textId="77777777" w:rsidR="0007716E" w:rsidRPr="00F220FF" w:rsidRDefault="008F6710" w:rsidP="00F220FF">
            <w:pPr>
              <w:pStyle w:val="Compact"/>
              <w:spacing w:line="240" w:lineRule="auto"/>
              <w:rPr>
                <w:b/>
                <w:sz w:val="22"/>
              </w:rPr>
            </w:pPr>
            <w:r w:rsidRPr="00F220FF">
              <w:rPr>
                <w:b/>
                <w:sz w:val="22"/>
              </w:rPr>
              <w:t>Time</w:t>
            </w:r>
          </w:p>
        </w:tc>
      </w:tr>
      <w:tr w:rsidR="0007716E" w:rsidRPr="00F220FF" w14:paraId="11184867" w14:textId="77777777" w:rsidTr="00F220FF">
        <w:trPr>
          <w:jc w:val="center"/>
        </w:trPr>
        <w:tc>
          <w:tcPr>
            <w:tcW w:w="0" w:type="auto"/>
            <w:tcBorders>
              <w:top w:val="single" w:sz="2" w:space="0" w:color="auto"/>
            </w:tcBorders>
          </w:tcPr>
          <w:p w14:paraId="11184862" w14:textId="77777777" w:rsidR="0007716E" w:rsidRPr="00F220FF" w:rsidRDefault="008F6710" w:rsidP="00F220FF">
            <w:pPr>
              <w:pStyle w:val="Compact"/>
              <w:spacing w:line="240" w:lineRule="auto"/>
              <w:rPr>
                <w:sz w:val="22"/>
              </w:rPr>
            </w:pPr>
            <w:r w:rsidRPr="00F220FF">
              <w:rPr>
                <w:b/>
                <w:bCs/>
                <w:sz w:val="22"/>
              </w:rPr>
              <w:t>Exposition</w:t>
            </w:r>
          </w:p>
        </w:tc>
        <w:tc>
          <w:tcPr>
            <w:tcW w:w="0" w:type="auto"/>
            <w:tcBorders>
              <w:top w:val="single" w:sz="2" w:space="0" w:color="auto"/>
            </w:tcBorders>
          </w:tcPr>
          <w:p w14:paraId="11184863" w14:textId="77777777" w:rsidR="0007716E" w:rsidRPr="00F220FF" w:rsidRDefault="008F6710" w:rsidP="00F220FF">
            <w:pPr>
              <w:pStyle w:val="Compact"/>
              <w:spacing w:line="240" w:lineRule="auto"/>
              <w:rPr>
                <w:sz w:val="22"/>
              </w:rPr>
            </w:pPr>
            <w:r w:rsidRPr="00F220FF">
              <w:rPr>
                <w:sz w:val="22"/>
              </w:rPr>
              <w:t>Primary theme (P)</w:t>
            </w:r>
          </w:p>
        </w:tc>
        <w:tc>
          <w:tcPr>
            <w:tcW w:w="0" w:type="auto"/>
            <w:tcBorders>
              <w:top w:val="single" w:sz="2" w:space="0" w:color="auto"/>
            </w:tcBorders>
          </w:tcPr>
          <w:p w14:paraId="11184864" w14:textId="77777777" w:rsidR="0007716E" w:rsidRPr="00F220FF" w:rsidRDefault="008F6710" w:rsidP="00F220FF">
            <w:pPr>
              <w:pStyle w:val="Compact"/>
              <w:spacing w:line="240" w:lineRule="auto"/>
              <w:rPr>
                <w:sz w:val="22"/>
              </w:rPr>
            </w:pPr>
            <w:r w:rsidRPr="00F220FF">
              <w:rPr>
                <w:sz w:val="22"/>
              </w:rPr>
              <w:t>1–13</w:t>
            </w:r>
          </w:p>
        </w:tc>
        <w:tc>
          <w:tcPr>
            <w:tcW w:w="0" w:type="auto"/>
            <w:tcBorders>
              <w:top w:val="single" w:sz="2" w:space="0" w:color="auto"/>
            </w:tcBorders>
          </w:tcPr>
          <w:p w14:paraId="11184865" w14:textId="77777777" w:rsidR="0007716E" w:rsidRPr="00F220FF" w:rsidRDefault="008F6710" w:rsidP="00F220FF">
            <w:pPr>
              <w:pStyle w:val="Compact"/>
              <w:spacing w:line="240" w:lineRule="auto"/>
              <w:rPr>
                <w:sz w:val="22"/>
              </w:rPr>
            </w:pPr>
            <w:r w:rsidRPr="00F220FF">
              <w:rPr>
                <w:sz w:val="22"/>
              </w:rPr>
              <w:t>C major</w:t>
            </w:r>
          </w:p>
        </w:tc>
        <w:tc>
          <w:tcPr>
            <w:tcW w:w="0" w:type="auto"/>
            <w:tcBorders>
              <w:top w:val="single" w:sz="2" w:space="0" w:color="auto"/>
            </w:tcBorders>
          </w:tcPr>
          <w:p w14:paraId="11184866" w14:textId="77777777" w:rsidR="0007716E" w:rsidRPr="00F220FF" w:rsidRDefault="008F6710" w:rsidP="00F220FF">
            <w:pPr>
              <w:pStyle w:val="Compact"/>
              <w:spacing w:line="240" w:lineRule="auto"/>
              <w:rPr>
                <w:sz w:val="22"/>
              </w:rPr>
            </w:pPr>
            <w:r w:rsidRPr="00F220FF">
              <w:rPr>
                <w:sz w:val="22"/>
              </w:rPr>
              <w:t>0:00 – 0:27</w:t>
            </w:r>
          </w:p>
        </w:tc>
      </w:tr>
      <w:tr w:rsidR="0007716E" w:rsidRPr="00F220FF" w14:paraId="1118486D" w14:textId="77777777" w:rsidTr="00F220FF">
        <w:trPr>
          <w:jc w:val="center"/>
        </w:trPr>
        <w:tc>
          <w:tcPr>
            <w:tcW w:w="0" w:type="auto"/>
          </w:tcPr>
          <w:p w14:paraId="11184868" w14:textId="77777777" w:rsidR="0007716E" w:rsidRPr="00F220FF" w:rsidRDefault="0007716E" w:rsidP="00F220FF">
            <w:pPr>
              <w:pStyle w:val="Compact"/>
              <w:spacing w:line="240" w:lineRule="auto"/>
              <w:rPr>
                <w:sz w:val="22"/>
              </w:rPr>
            </w:pPr>
          </w:p>
        </w:tc>
        <w:tc>
          <w:tcPr>
            <w:tcW w:w="0" w:type="auto"/>
          </w:tcPr>
          <w:p w14:paraId="11184869" w14:textId="77777777" w:rsidR="0007716E" w:rsidRPr="00F220FF" w:rsidRDefault="008F6710" w:rsidP="00F220FF">
            <w:pPr>
              <w:pStyle w:val="Compact"/>
              <w:spacing w:line="240" w:lineRule="auto"/>
              <w:rPr>
                <w:sz w:val="22"/>
              </w:rPr>
            </w:pPr>
            <w:r w:rsidRPr="00F220FF">
              <w:rPr>
                <w:sz w:val="22"/>
              </w:rPr>
              <w:t>Secondary theme (S)</w:t>
            </w:r>
          </w:p>
        </w:tc>
        <w:tc>
          <w:tcPr>
            <w:tcW w:w="0" w:type="auto"/>
          </w:tcPr>
          <w:p w14:paraId="1118486A" w14:textId="77777777" w:rsidR="0007716E" w:rsidRPr="00F220FF" w:rsidRDefault="008F6710" w:rsidP="00F220FF">
            <w:pPr>
              <w:pStyle w:val="Compact"/>
              <w:spacing w:line="240" w:lineRule="auto"/>
              <w:rPr>
                <w:sz w:val="22"/>
              </w:rPr>
            </w:pPr>
            <w:r w:rsidRPr="00F220FF">
              <w:rPr>
                <w:sz w:val="22"/>
              </w:rPr>
              <w:t>14–25</w:t>
            </w:r>
          </w:p>
        </w:tc>
        <w:tc>
          <w:tcPr>
            <w:tcW w:w="0" w:type="auto"/>
          </w:tcPr>
          <w:p w14:paraId="1118486B" w14:textId="77777777" w:rsidR="0007716E" w:rsidRPr="00F220FF" w:rsidRDefault="008F6710" w:rsidP="00F220FF">
            <w:pPr>
              <w:pStyle w:val="Compact"/>
              <w:spacing w:line="240" w:lineRule="auto"/>
              <w:rPr>
                <w:sz w:val="22"/>
              </w:rPr>
            </w:pPr>
            <w:r w:rsidRPr="00F220FF">
              <w:rPr>
                <w:sz w:val="22"/>
              </w:rPr>
              <w:t>G major</w:t>
            </w:r>
          </w:p>
        </w:tc>
        <w:tc>
          <w:tcPr>
            <w:tcW w:w="0" w:type="auto"/>
          </w:tcPr>
          <w:p w14:paraId="1118486C" w14:textId="77777777" w:rsidR="0007716E" w:rsidRPr="00F220FF" w:rsidRDefault="008F6710" w:rsidP="00F220FF">
            <w:pPr>
              <w:pStyle w:val="Compact"/>
              <w:spacing w:line="240" w:lineRule="auto"/>
              <w:rPr>
                <w:sz w:val="22"/>
              </w:rPr>
            </w:pPr>
            <w:r w:rsidRPr="00F220FF">
              <w:rPr>
                <w:sz w:val="22"/>
              </w:rPr>
              <w:t>0:27 – 0:50</w:t>
            </w:r>
          </w:p>
        </w:tc>
      </w:tr>
      <w:tr w:rsidR="0007716E" w:rsidRPr="00F220FF" w14:paraId="11184873" w14:textId="77777777" w:rsidTr="00F220FF">
        <w:trPr>
          <w:jc w:val="center"/>
        </w:trPr>
        <w:tc>
          <w:tcPr>
            <w:tcW w:w="0" w:type="auto"/>
          </w:tcPr>
          <w:p w14:paraId="1118486E" w14:textId="77777777" w:rsidR="0007716E" w:rsidRPr="00F220FF" w:rsidRDefault="0007716E" w:rsidP="00F220FF">
            <w:pPr>
              <w:pStyle w:val="Compact"/>
              <w:spacing w:line="240" w:lineRule="auto"/>
              <w:rPr>
                <w:sz w:val="22"/>
              </w:rPr>
            </w:pPr>
          </w:p>
        </w:tc>
        <w:tc>
          <w:tcPr>
            <w:tcW w:w="0" w:type="auto"/>
          </w:tcPr>
          <w:p w14:paraId="1118486F" w14:textId="77777777" w:rsidR="0007716E" w:rsidRPr="00F220FF" w:rsidRDefault="008F6710" w:rsidP="00F220FF">
            <w:pPr>
              <w:pStyle w:val="Compact"/>
              <w:spacing w:line="240" w:lineRule="auto"/>
              <w:rPr>
                <w:sz w:val="22"/>
              </w:rPr>
            </w:pPr>
            <w:r w:rsidRPr="00F220FF">
              <w:rPr>
                <w:sz w:val="22"/>
              </w:rPr>
              <w:t>Codetta</w:t>
            </w:r>
          </w:p>
        </w:tc>
        <w:tc>
          <w:tcPr>
            <w:tcW w:w="0" w:type="auto"/>
          </w:tcPr>
          <w:p w14:paraId="11184870" w14:textId="77777777" w:rsidR="0007716E" w:rsidRPr="00F220FF" w:rsidRDefault="008F6710" w:rsidP="00F220FF">
            <w:pPr>
              <w:pStyle w:val="Compact"/>
              <w:spacing w:line="240" w:lineRule="auto"/>
              <w:rPr>
                <w:sz w:val="22"/>
              </w:rPr>
            </w:pPr>
            <w:r w:rsidRPr="00F220FF">
              <w:rPr>
                <w:sz w:val="22"/>
              </w:rPr>
              <w:t>26–28</w:t>
            </w:r>
          </w:p>
        </w:tc>
        <w:tc>
          <w:tcPr>
            <w:tcW w:w="0" w:type="auto"/>
          </w:tcPr>
          <w:p w14:paraId="11184871" w14:textId="77777777" w:rsidR="0007716E" w:rsidRPr="00F220FF" w:rsidRDefault="008F6710" w:rsidP="00F220FF">
            <w:pPr>
              <w:pStyle w:val="Compact"/>
              <w:spacing w:line="240" w:lineRule="auto"/>
              <w:rPr>
                <w:sz w:val="22"/>
              </w:rPr>
            </w:pPr>
            <w:r w:rsidRPr="00F220FF">
              <w:rPr>
                <w:sz w:val="22"/>
              </w:rPr>
              <w:t>G major</w:t>
            </w:r>
          </w:p>
        </w:tc>
        <w:tc>
          <w:tcPr>
            <w:tcW w:w="0" w:type="auto"/>
          </w:tcPr>
          <w:p w14:paraId="11184872" w14:textId="77777777" w:rsidR="0007716E" w:rsidRPr="00F220FF" w:rsidRDefault="008F6710" w:rsidP="00F220FF">
            <w:pPr>
              <w:pStyle w:val="Compact"/>
              <w:spacing w:line="240" w:lineRule="auto"/>
              <w:rPr>
                <w:sz w:val="22"/>
              </w:rPr>
            </w:pPr>
            <w:r w:rsidRPr="00F220FF">
              <w:rPr>
                <w:sz w:val="22"/>
              </w:rPr>
              <w:t>0:50 – 0:55</w:t>
            </w:r>
          </w:p>
        </w:tc>
      </w:tr>
      <w:tr w:rsidR="0007716E" w:rsidRPr="00F220FF" w14:paraId="11184879" w14:textId="77777777" w:rsidTr="00F220FF">
        <w:trPr>
          <w:jc w:val="center"/>
        </w:trPr>
        <w:tc>
          <w:tcPr>
            <w:tcW w:w="0" w:type="auto"/>
          </w:tcPr>
          <w:p w14:paraId="11184874" w14:textId="77777777" w:rsidR="0007716E" w:rsidRPr="00F220FF" w:rsidRDefault="0007716E" w:rsidP="00F220FF">
            <w:pPr>
              <w:pStyle w:val="Compact"/>
              <w:spacing w:line="240" w:lineRule="auto"/>
              <w:rPr>
                <w:sz w:val="22"/>
              </w:rPr>
            </w:pPr>
          </w:p>
        </w:tc>
        <w:tc>
          <w:tcPr>
            <w:tcW w:w="0" w:type="auto"/>
          </w:tcPr>
          <w:p w14:paraId="11184875" w14:textId="77777777" w:rsidR="0007716E" w:rsidRPr="00F220FF" w:rsidRDefault="008F6710" w:rsidP="00F220FF">
            <w:pPr>
              <w:pStyle w:val="Compact"/>
              <w:spacing w:line="240" w:lineRule="auto"/>
              <w:rPr>
                <w:sz w:val="22"/>
              </w:rPr>
            </w:pPr>
            <w:r w:rsidRPr="00F220FF">
              <w:rPr>
                <w:i/>
                <w:iCs/>
                <w:sz w:val="22"/>
              </w:rPr>
              <w:t>Exposition repeated</w:t>
            </w:r>
          </w:p>
        </w:tc>
        <w:tc>
          <w:tcPr>
            <w:tcW w:w="0" w:type="auto"/>
          </w:tcPr>
          <w:p w14:paraId="11184876"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77" w14:textId="77777777" w:rsidR="0007716E" w:rsidRPr="00F220FF" w:rsidRDefault="008F6710" w:rsidP="00F220FF">
            <w:pPr>
              <w:pStyle w:val="Compact"/>
              <w:spacing w:line="240" w:lineRule="auto"/>
              <w:rPr>
                <w:sz w:val="22"/>
              </w:rPr>
            </w:pPr>
            <w:r w:rsidRPr="00F220FF">
              <w:rPr>
                <w:sz w:val="22"/>
              </w:rPr>
              <w:t>-</w:t>
            </w:r>
          </w:p>
        </w:tc>
        <w:tc>
          <w:tcPr>
            <w:tcW w:w="0" w:type="auto"/>
          </w:tcPr>
          <w:p w14:paraId="11184878" w14:textId="77777777" w:rsidR="0007716E" w:rsidRPr="00F220FF" w:rsidRDefault="008F6710" w:rsidP="00F220FF">
            <w:pPr>
              <w:pStyle w:val="Compact"/>
              <w:spacing w:line="240" w:lineRule="auto"/>
              <w:rPr>
                <w:sz w:val="22"/>
              </w:rPr>
            </w:pPr>
            <w:r w:rsidRPr="00F220FF">
              <w:rPr>
                <w:sz w:val="22"/>
              </w:rPr>
              <w:t>0:55 – 1:47</w:t>
            </w:r>
          </w:p>
        </w:tc>
      </w:tr>
      <w:tr w:rsidR="0007716E" w:rsidRPr="00F220FF" w14:paraId="1118487F" w14:textId="77777777" w:rsidTr="00F220FF">
        <w:trPr>
          <w:jc w:val="center"/>
        </w:trPr>
        <w:tc>
          <w:tcPr>
            <w:tcW w:w="0" w:type="auto"/>
          </w:tcPr>
          <w:p w14:paraId="1118487A" w14:textId="77777777" w:rsidR="0007716E" w:rsidRPr="00F220FF" w:rsidRDefault="008F6710" w:rsidP="00F220FF">
            <w:pPr>
              <w:pStyle w:val="Compact"/>
              <w:spacing w:line="240" w:lineRule="auto"/>
              <w:rPr>
                <w:sz w:val="22"/>
              </w:rPr>
            </w:pPr>
            <w:r w:rsidRPr="00F220FF">
              <w:rPr>
                <w:b/>
                <w:bCs/>
                <w:sz w:val="22"/>
              </w:rPr>
              <w:t>Development</w:t>
            </w:r>
          </w:p>
        </w:tc>
        <w:tc>
          <w:tcPr>
            <w:tcW w:w="0" w:type="auto"/>
          </w:tcPr>
          <w:p w14:paraId="1118487B" w14:textId="77777777" w:rsidR="0007716E" w:rsidRPr="00F220FF" w:rsidRDefault="008F6710" w:rsidP="00F220FF">
            <w:pPr>
              <w:pStyle w:val="Compact"/>
              <w:spacing w:line="240" w:lineRule="auto"/>
              <w:rPr>
                <w:sz w:val="22"/>
              </w:rPr>
            </w:pPr>
            <w:r w:rsidRPr="00F220FF">
              <w:rPr>
                <w:sz w:val="22"/>
              </w:rPr>
              <w:t>(modulating progression)</w:t>
            </w:r>
          </w:p>
        </w:tc>
        <w:tc>
          <w:tcPr>
            <w:tcW w:w="0" w:type="auto"/>
          </w:tcPr>
          <w:p w14:paraId="1118487C" w14:textId="77777777" w:rsidR="0007716E" w:rsidRPr="00F220FF" w:rsidRDefault="008F6710" w:rsidP="00F220FF">
            <w:pPr>
              <w:pStyle w:val="Compact"/>
              <w:spacing w:line="240" w:lineRule="auto"/>
              <w:rPr>
                <w:sz w:val="22"/>
              </w:rPr>
            </w:pPr>
            <w:r w:rsidRPr="00F220FF">
              <w:rPr>
                <w:sz w:val="22"/>
              </w:rPr>
              <w:t>29–41</w:t>
            </w:r>
          </w:p>
        </w:tc>
        <w:tc>
          <w:tcPr>
            <w:tcW w:w="0" w:type="auto"/>
          </w:tcPr>
          <w:p w14:paraId="1118487D" w14:textId="77777777" w:rsidR="0007716E" w:rsidRPr="00F220FF" w:rsidRDefault="008F6710" w:rsidP="00F220FF">
            <w:pPr>
              <w:pStyle w:val="Compact"/>
              <w:spacing w:line="240" w:lineRule="auto"/>
              <w:rPr>
                <w:sz w:val="22"/>
              </w:rPr>
            </w:pPr>
            <w:r w:rsidRPr="00F220FF">
              <w:rPr>
                <w:sz w:val="22"/>
              </w:rPr>
              <w:t>g → d → a → C → a → F</w:t>
            </w:r>
          </w:p>
        </w:tc>
        <w:tc>
          <w:tcPr>
            <w:tcW w:w="0" w:type="auto"/>
          </w:tcPr>
          <w:p w14:paraId="1118487E" w14:textId="77777777" w:rsidR="0007716E" w:rsidRPr="00F220FF" w:rsidRDefault="008F6710" w:rsidP="00F220FF">
            <w:pPr>
              <w:pStyle w:val="Compact"/>
              <w:spacing w:line="240" w:lineRule="auto"/>
              <w:rPr>
                <w:sz w:val="22"/>
              </w:rPr>
            </w:pPr>
            <w:r w:rsidRPr="00F220FF">
              <w:rPr>
                <w:sz w:val="22"/>
              </w:rPr>
              <w:t>1:48 – 2:12</w:t>
            </w:r>
          </w:p>
        </w:tc>
      </w:tr>
      <w:tr w:rsidR="0007716E" w:rsidRPr="00F220FF" w14:paraId="11184885" w14:textId="77777777" w:rsidTr="00F220FF">
        <w:trPr>
          <w:jc w:val="center"/>
        </w:trPr>
        <w:tc>
          <w:tcPr>
            <w:tcW w:w="0" w:type="auto"/>
          </w:tcPr>
          <w:p w14:paraId="11184880" w14:textId="77777777" w:rsidR="0007716E" w:rsidRPr="00F220FF" w:rsidRDefault="008F6710" w:rsidP="00F220FF">
            <w:pPr>
              <w:pStyle w:val="Compact"/>
              <w:spacing w:line="240" w:lineRule="auto"/>
              <w:rPr>
                <w:sz w:val="22"/>
              </w:rPr>
            </w:pPr>
            <w:r w:rsidRPr="00F220FF">
              <w:rPr>
                <w:b/>
                <w:bCs/>
                <w:sz w:val="22"/>
              </w:rPr>
              <w:t>Recapitulation</w:t>
            </w:r>
          </w:p>
        </w:tc>
        <w:tc>
          <w:tcPr>
            <w:tcW w:w="0" w:type="auto"/>
          </w:tcPr>
          <w:p w14:paraId="11184881" w14:textId="77777777" w:rsidR="0007716E" w:rsidRPr="00F220FF" w:rsidRDefault="008F6710" w:rsidP="00F220FF">
            <w:pPr>
              <w:pStyle w:val="Compact"/>
              <w:spacing w:line="240" w:lineRule="auto"/>
              <w:rPr>
                <w:sz w:val="22"/>
              </w:rPr>
            </w:pPr>
            <w:r w:rsidRPr="00F220FF">
              <w:rPr>
                <w:sz w:val="22"/>
              </w:rPr>
              <w:t>Primary theme (P)</w:t>
            </w:r>
          </w:p>
        </w:tc>
        <w:tc>
          <w:tcPr>
            <w:tcW w:w="0" w:type="auto"/>
          </w:tcPr>
          <w:p w14:paraId="11184882" w14:textId="77777777" w:rsidR="0007716E" w:rsidRPr="00F220FF" w:rsidRDefault="008F6710" w:rsidP="00F220FF">
            <w:pPr>
              <w:pStyle w:val="Compact"/>
              <w:spacing w:line="240" w:lineRule="auto"/>
              <w:rPr>
                <w:sz w:val="22"/>
              </w:rPr>
            </w:pPr>
            <w:r w:rsidRPr="00F220FF">
              <w:rPr>
                <w:sz w:val="22"/>
              </w:rPr>
              <w:t>42–58</w:t>
            </w:r>
          </w:p>
        </w:tc>
        <w:tc>
          <w:tcPr>
            <w:tcW w:w="0" w:type="auto"/>
          </w:tcPr>
          <w:p w14:paraId="11184883" w14:textId="77777777" w:rsidR="0007716E" w:rsidRPr="00F220FF" w:rsidRDefault="008F6710" w:rsidP="00F220FF">
            <w:pPr>
              <w:pStyle w:val="Compact"/>
              <w:spacing w:line="240" w:lineRule="auto"/>
              <w:rPr>
                <w:sz w:val="22"/>
              </w:rPr>
            </w:pPr>
            <w:r w:rsidRPr="00F220FF">
              <w:rPr>
                <w:b/>
                <w:bCs/>
                <w:sz w:val="22"/>
              </w:rPr>
              <w:t>F major</w:t>
            </w:r>
            <w:r w:rsidRPr="00F220FF">
              <w:rPr>
                <w:sz w:val="22"/>
              </w:rPr>
              <w:t xml:space="preserve"> ← subdominant</w:t>
            </w:r>
          </w:p>
        </w:tc>
        <w:tc>
          <w:tcPr>
            <w:tcW w:w="0" w:type="auto"/>
          </w:tcPr>
          <w:p w14:paraId="11184884" w14:textId="77777777" w:rsidR="0007716E" w:rsidRPr="00F220FF" w:rsidRDefault="008F6710" w:rsidP="00F220FF">
            <w:pPr>
              <w:pStyle w:val="Compact"/>
              <w:spacing w:line="240" w:lineRule="auto"/>
              <w:rPr>
                <w:sz w:val="22"/>
              </w:rPr>
            </w:pPr>
            <w:r w:rsidRPr="00F220FF">
              <w:rPr>
                <w:sz w:val="22"/>
              </w:rPr>
              <w:t>2:12 – 2:45</w:t>
            </w:r>
          </w:p>
        </w:tc>
      </w:tr>
      <w:tr w:rsidR="0007716E" w:rsidRPr="00F220FF" w14:paraId="1118488B" w14:textId="77777777" w:rsidTr="00F220FF">
        <w:trPr>
          <w:jc w:val="center"/>
        </w:trPr>
        <w:tc>
          <w:tcPr>
            <w:tcW w:w="0" w:type="auto"/>
          </w:tcPr>
          <w:p w14:paraId="11184886" w14:textId="77777777" w:rsidR="0007716E" w:rsidRPr="00F220FF" w:rsidRDefault="0007716E" w:rsidP="00F220FF">
            <w:pPr>
              <w:pStyle w:val="Compact"/>
              <w:spacing w:line="240" w:lineRule="auto"/>
              <w:rPr>
                <w:sz w:val="22"/>
              </w:rPr>
            </w:pPr>
          </w:p>
        </w:tc>
        <w:tc>
          <w:tcPr>
            <w:tcW w:w="0" w:type="auto"/>
          </w:tcPr>
          <w:p w14:paraId="11184887" w14:textId="77777777" w:rsidR="0007716E" w:rsidRPr="00F220FF" w:rsidRDefault="008F6710" w:rsidP="00F220FF">
            <w:pPr>
              <w:pStyle w:val="Compact"/>
              <w:spacing w:line="240" w:lineRule="auto"/>
              <w:rPr>
                <w:sz w:val="22"/>
              </w:rPr>
            </w:pPr>
            <w:r w:rsidRPr="00F220FF">
              <w:rPr>
                <w:sz w:val="22"/>
              </w:rPr>
              <w:t>Secondary theme (S)</w:t>
            </w:r>
          </w:p>
        </w:tc>
        <w:tc>
          <w:tcPr>
            <w:tcW w:w="0" w:type="auto"/>
          </w:tcPr>
          <w:p w14:paraId="11184888" w14:textId="77777777" w:rsidR="0007716E" w:rsidRPr="00F220FF" w:rsidRDefault="008F6710" w:rsidP="00F220FF">
            <w:pPr>
              <w:pStyle w:val="Compact"/>
              <w:spacing w:line="240" w:lineRule="auto"/>
              <w:rPr>
                <w:sz w:val="22"/>
              </w:rPr>
            </w:pPr>
            <w:r w:rsidRPr="00F220FF">
              <w:rPr>
                <w:sz w:val="22"/>
              </w:rPr>
              <w:t>59–70</w:t>
            </w:r>
          </w:p>
        </w:tc>
        <w:tc>
          <w:tcPr>
            <w:tcW w:w="0" w:type="auto"/>
          </w:tcPr>
          <w:p w14:paraId="11184889" w14:textId="77777777" w:rsidR="0007716E" w:rsidRPr="00F220FF" w:rsidRDefault="008F6710" w:rsidP="00F220FF">
            <w:pPr>
              <w:pStyle w:val="Compact"/>
              <w:spacing w:line="240" w:lineRule="auto"/>
              <w:rPr>
                <w:sz w:val="22"/>
              </w:rPr>
            </w:pPr>
            <w:r w:rsidRPr="00F220FF">
              <w:rPr>
                <w:sz w:val="22"/>
              </w:rPr>
              <w:t>C major</w:t>
            </w:r>
          </w:p>
        </w:tc>
        <w:tc>
          <w:tcPr>
            <w:tcW w:w="0" w:type="auto"/>
          </w:tcPr>
          <w:p w14:paraId="1118488A" w14:textId="77777777" w:rsidR="0007716E" w:rsidRPr="00F220FF" w:rsidRDefault="008F6710" w:rsidP="00F220FF">
            <w:pPr>
              <w:pStyle w:val="Compact"/>
              <w:spacing w:line="240" w:lineRule="auto"/>
              <w:rPr>
                <w:sz w:val="22"/>
              </w:rPr>
            </w:pPr>
            <w:r w:rsidRPr="00F220FF">
              <w:rPr>
                <w:sz w:val="22"/>
              </w:rPr>
              <w:t>2:45 – 3:07</w:t>
            </w:r>
          </w:p>
        </w:tc>
      </w:tr>
      <w:tr w:rsidR="0007716E" w:rsidRPr="00F220FF" w14:paraId="11184891" w14:textId="77777777" w:rsidTr="00F220FF">
        <w:trPr>
          <w:jc w:val="center"/>
        </w:trPr>
        <w:tc>
          <w:tcPr>
            <w:tcW w:w="0" w:type="auto"/>
          </w:tcPr>
          <w:p w14:paraId="1118488C" w14:textId="77777777" w:rsidR="0007716E" w:rsidRPr="00F220FF" w:rsidRDefault="0007716E" w:rsidP="00F220FF">
            <w:pPr>
              <w:pStyle w:val="Compact"/>
              <w:spacing w:line="240" w:lineRule="auto"/>
              <w:rPr>
                <w:sz w:val="22"/>
              </w:rPr>
            </w:pPr>
          </w:p>
        </w:tc>
        <w:tc>
          <w:tcPr>
            <w:tcW w:w="0" w:type="auto"/>
          </w:tcPr>
          <w:p w14:paraId="1118488D" w14:textId="77777777" w:rsidR="0007716E" w:rsidRPr="00F220FF" w:rsidRDefault="008F6710" w:rsidP="00F220FF">
            <w:pPr>
              <w:pStyle w:val="Compact"/>
              <w:spacing w:line="240" w:lineRule="auto"/>
              <w:rPr>
                <w:sz w:val="22"/>
              </w:rPr>
            </w:pPr>
            <w:r w:rsidRPr="00F220FF">
              <w:rPr>
                <w:sz w:val="22"/>
              </w:rPr>
              <w:t>Codetta</w:t>
            </w:r>
          </w:p>
        </w:tc>
        <w:tc>
          <w:tcPr>
            <w:tcW w:w="0" w:type="auto"/>
          </w:tcPr>
          <w:p w14:paraId="1118488E" w14:textId="77777777" w:rsidR="0007716E" w:rsidRPr="00F220FF" w:rsidRDefault="008F6710" w:rsidP="00F220FF">
            <w:pPr>
              <w:pStyle w:val="Compact"/>
              <w:spacing w:line="240" w:lineRule="auto"/>
              <w:rPr>
                <w:sz w:val="22"/>
              </w:rPr>
            </w:pPr>
            <w:r w:rsidRPr="00F220FF">
              <w:rPr>
                <w:sz w:val="22"/>
              </w:rPr>
              <w:t>71–73</w:t>
            </w:r>
          </w:p>
        </w:tc>
        <w:tc>
          <w:tcPr>
            <w:tcW w:w="0" w:type="auto"/>
          </w:tcPr>
          <w:p w14:paraId="1118488F" w14:textId="77777777" w:rsidR="0007716E" w:rsidRPr="00F220FF" w:rsidRDefault="008F6710" w:rsidP="00F220FF">
            <w:pPr>
              <w:pStyle w:val="Compact"/>
              <w:spacing w:line="240" w:lineRule="auto"/>
              <w:rPr>
                <w:sz w:val="22"/>
              </w:rPr>
            </w:pPr>
            <w:r w:rsidRPr="00F220FF">
              <w:rPr>
                <w:sz w:val="22"/>
              </w:rPr>
              <w:t>C major</w:t>
            </w:r>
          </w:p>
        </w:tc>
        <w:tc>
          <w:tcPr>
            <w:tcW w:w="0" w:type="auto"/>
          </w:tcPr>
          <w:p w14:paraId="11184890" w14:textId="77777777" w:rsidR="0007716E" w:rsidRPr="00F220FF" w:rsidRDefault="008F6710" w:rsidP="00F220FF">
            <w:pPr>
              <w:pStyle w:val="Compact"/>
              <w:spacing w:line="240" w:lineRule="auto"/>
              <w:rPr>
                <w:sz w:val="22"/>
              </w:rPr>
            </w:pPr>
            <w:r w:rsidRPr="00F220FF">
              <w:rPr>
                <w:sz w:val="22"/>
              </w:rPr>
              <w:t>3:07 – 3:13</w:t>
            </w:r>
          </w:p>
        </w:tc>
      </w:tr>
    </w:tbl>
    <w:p w14:paraId="11184892" w14:textId="77777777" w:rsidR="0007716E" w:rsidRDefault="008F6710">
      <w:pPr>
        <w:pStyle w:val="a0"/>
      </w:pPr>
      <w:r>
        <w:t xml:space="preserve">Three features of this table reward attention. </w:t>
      </w:r>
      <w:r>
        <w:rPr>
          <w:i/>
          <w:iCs/>
        </w:rPr>
        <w:t>First</w:t>
      </w:r>
      <w:r>
        <w:t xml:space="preserve">, every numbered </w:t>
      </w:r>
      <w:r>
        <w:t xml:space="preserve">measure has a unique formal address: this is what allows the tool to overlay a color block on each measure in the score and a color segment on the timeline. </w:t>
      </w:r>
      <w:r>
        <w:rPr>
          <w:i/>
          <w:iCs/>
        </w:rPr>
        <w:t>Second</w:t>
      </w:r>
      <w:r>
        <w:t xml:space="preserve">, the exposition’s tonal motion, C → G, </w:t>
      </w:r>
      <w:r>
        <w:lastRenderedPageBreak/>
        <w:t xml:space="preserve">typical for a major-mode sonata,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entire harmonic pattern of the exposition</w:t>
      </w:r>
      <w:r>
        <w:t>, but s</w:t>
      </w:r>
      <w:r>
        <w:t>hifted: P now in F major rather than C, with S returning to C rather than going to G. The remainder of this section unpacks why.</w:t>
      </w:r>
    </w:p>
    <w:p w14:paraId="11184893" w14:textId="77777777" w:rsidR="0007716E" w:rsidRDefault="008F6710">
      <w:pPr>
        <w:pStyle w:val="2"/>
      </w:pPr>
      <w:bookmarkStart w:id="14" w:name="Xa98a3c3564ba113360cfc7ae92a51cc8f6504b7"/>
      <w:bookmarkEnd w:id="13"/>
      <w:r>
        <w:t>3.3 The Subdominant Recapitulation: Functional Logic</w:t>
      </w:r>
    </w:p>
    <w:p w14:paraId="11184894" w14:textId="77777777" w:rsidR="0007716E" w:rsidRDefault="008F6710">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11184895" w14:textId="77777777" w:rsidR="0007716E" w:rsidRDefault="008F6710">
      <w:pPr>
        <w:pStyle w:val="3"/>
      </w:pPr>
      <w:bookmarkStart w:id="15" w:name="a-symmetrical-harmonic-plan"/>
      <w:r>
        <w:t>A symmetrical harmonic plan</w:t>
      </w:r>
    </w:p>
    <w:p w14:paraId="11184896" w14:textId="77777777" w:rsidR="0007716E" w:rsidRDefault="008F6710">
      <w:pPr>
        <w:pStyle w:val="FirstParagraph"/>
      </w:pPr>
      <w:r>
        <w:t>Consider the exposition first. The primary theme begins in the tonic (C major), the transition leads the harmony to the dominant (G major), and the secondary theme arrives on that dominant. Schematically:</w:t>
      </w:r>
    </w:p>
    <w:p w14:paraId="11184897" w14:textId="77777777" w:rsidR="0007716E" w:rsidRDefault="008F6710">
      <w:pPr>
        <w:pStyle w:val="a8"/>
      </w:pPr>
      <w:r>
        <w:rPr>
          <w:b/>
          <w:bCs/>
        </w:rPr>
        <w:t>Exposition:</w:t>
      </w:r>
      <w:r>
        <w:t xml:space="preserve"> P in C → S in G (motion of a fifth upward)</w:t>
      </w:r>
    </w:p>
    <w:p w14:paraId="11184898" w14:textId="77777777" w:rsidR="0007716E" w:rsidRDefault="008F6710">
      <w:pPr>
        <w:pStyle w:val="FirstParagraph"/>
      </w:pPr>
      <w:r>
        <w:t xml:space="preserve">This </w:t>
      </w:r>
      <w:r>
        <w:rPr>
          <w:i/>
          <w:iCs/>
        </w:rPr>
        <w:t>I → V</w:t>
      </w:r>
      <w:r>
        <w:t xml:space="preserve"> trajectory is the textbook expectation. Now consider what </w:t>
      </w:r>
      <w:r>
        <w:t>would happen if the recapitulation mechanically reused this trajectory while starting in the tonic:</w:t>
      </w:r>
    </w:p>
    <w:p w14:paraId="11184899" w14:textId="77777777" w:rsidR="0007716E" w:rsidRDefault="008F6710">
      <w:pPr>
        <w:pStyle w:val="a8"/>
      </w:pPr>
      <w:r>
        <w:rPr>
          <w:b/>
          <w:bCs/>
        </w:rPr>
        <w:t>Hypothetical “tonic recap”:</w:t>
      </w:r>
      <w:r>
        <w:t xml:space="preserve"> P in C → S in G (same as exposition)</w:t>
      </w:r>
    </w:p>
    <w:p w14:paraId="1118489A" w14:textId="77777777" w:rsidR="0007716E" w:rsidRDefault="008F6710">
      <w:pPr>
        <w:pStyle w:val="FirstParagraph"/>
      </w:pPr>
      <w:r>
        <w:t xml:space="preserve">The result would </w:t>
      </w:r>
      <w:r>
        <w:rPr>
          <w:i/>
          <w:iCs/>
        </w:rPr>
        <w:t>fail to fulfill the recapitulation’s central function</w:t>
      </w:r>
      <w:r>
        <w:t xml:space="preserve">,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1118489B" w14:textId="77777777" w:rsidR="0007716E" w:rsidRDefault="008F6710">
      <w:pPr>
        <w:pStyle w:val="a0"/>
      </w:pPr>
      <w:r>
        <w:lastRenderedPageBreak/>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1118489C" w14:textId="77777777" w:rsidR="0007716E" w:rsidRDefault="008F6710">
      <w:pPr>
        <w:pStyle w:val="a8"/>
      </w:pPr>
      <w:r>
        <w:rPr>
          <w:b/>
          <w:bCs/>
        </w:rPr>
        <w:t>Mozart’s actual recap:</w:t>
      </w:r>
      <w:r>
        <w:t xml:space="preserve"> P in F → S in C (motion of a fifth upward)</w:t>
      </w:r>
    </w:p>
    <w:p w14:paraId="1118489D" w14:textId="77777777" w:rsidR="0007716E" w:rsidRDefault="008F6710">
      <w:pPr>
        <w:pStyle w:val="FirstParagraph"/>
      </w:pPr>
      <w:r>
        <w:t xml:space="preserve">The motion </w:t>
      </w:r>
      <w:r>
        <w:rPr>
          <w:i/>
          <w:iCs/>
        </w:rPr>
        <w:t>I → V</w:t>
      </w:r>
      <w:r>
        <w:t xml:space="preserve"> of the exposition becomes </w:t>
      </w:r>
      <w:r>
        <w:rPr>
          <w:i/>
          <w:iCs/>
        </w:rPr>
        <w:t>IV → I</w:t>
      </w:r>
      <w:r>
        <w:t xml:space="preserve"> of the recapitulation, exactly the resolution the form requires. The same modulatory mechanism, redirected by a single starting-key shift, achieves precisely the opposite tonal effect.</w:t>
      </w:r>
    </w:p>
    <w:p w14:paraId="1118489E" w14:textId="77777777" w:rsidR="0007716E" w:rsidRDefault="008F6710">
      <w:pPr>
        <w:pStyle w:val="3"/>
      </w:pPr>
      <w:bookmarkStart w:id="16" w:name="why-this-matters-pedagogically"/>
      <w:bookmarkEnd w:id="15"/>
      <w:r>
        <w:t>Why this matters pedagogically</w:t>
      </w:r>
    </w:p>
    <w:p w14:paraId="1118489F" w14:textId="77777777" w:rsidR="0007716E" w:rsidRDefault="008F6710">
      <w:pPr>
        <w:pStyle w:val="FirstParagraph"/>
      </w:pPr>
      <w:r>
        <w:t>Three observations follow from this analysis:</w:t>
      </w:r>
    </w:p>
    <w:p w14:paraId="111848A0" w14:textId="77777777" w:rsidR="0007716E" w:rsidRDefault="008F6710">
      <w:pPr>
        <w:numPr>
          <w:ilvl w:val="0"/>
          <w:numId w:val="7"/>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111848A1" w14:textId="77777777" w:rsidR="0007716E" w:rsidRDefault="008F6710">
      <w:pPr>
        <w:numPr>
          <w:ilvl w:val="0"/>
          <w:numId w:val="7"/>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111848A2" w14:textId="77777777" w:rsidR="0007716E" w:rsidRDefault="008F6710">
      <w:pPr>
        <w:numPr>
          <w:ilvl w:val="0"/>
          <w:numId w:val="7"/>
        </w:numPr>
      </w:pPr>
      <w:r>
        <w:rPr>
          <w:b/>
          <w:bCs/>
        </w:rPr>
        <w:t>The recap is not a literal repetition.</w:t>
      </w:r>
      <w:r>
        <w:t xml:space="preserve"> Beyond the starting transposition, the recapitulation expands the transition (mm. 50–57) relative to the single-measure </w:t>
      </w:r>
      <w:r>
        <w:lastRenderedPageBreak/>
        <w:t xml:space="preserve">exposition T at m. 13,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111848A3" w14:textId="77777777" w:rsidR="0007716E" w:rsidRDefault="008F6710">
      <w:pPr>
        <w:pStyle w:val="FirstParagraph"/>
      </w:pPr>
      <w:r>
        <w:t xml:space="preserve">These three observations are not new to specialists, but the experience of </w:t>
      </w:r>
      <w:r>
        <w:rPr>
          <w:i/>
          <w:iCs/>
        </w:rPr>
        <w:t>seeing them happen simultaneously</w:t>
      </w:r>
      <w:r>
        <w:t>, in color, on the score, at playback speed, is, in our experience, when students cease describing the recap as “wrong key” and begin describing it as “clever solution.”</w:t>
      </w:r>
    </w:p>
    <w:p w14:paraId="111848A4" w14:textId="77777777" w:rsidR="0007716E" w:rsidRDefault="008F6710">
      <w:pPr>
        <w:pStyle w:val="3"/>
      </w:pPr>
      <w:bookmarkStart w:id="17" w:name="codetta-differences"/>
      <w:bookmarkEnd w:id="16"/>
      <w:r>
        <w:t>Codetta differences</w:t>
      </w:r>
    </w:p>
    <w:p w14:paraId="111848A5" w14:textId="77777777" w:rsidR="0007716E" w:rsidRDefault="008F6710">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111848A6" w14:textId="77777777" w:rsidR="0007716E" w:rsidRDefault="008F6710">
      <w:pPr>
        <w:pStyle w:val="3"/>
      </w:pPr>
      <w:bookmarkStart w:id="18" w:name="how-the-tool-surfaces-these-insights"/>
      <w:bookmarkEnd w:id="17"/>
      <w:r>
        <w:t>How the tool surfaces these insights</w:t>
      </w:r>
    </w:p>
    <w:p w14:paraId="111848A7" w14:textId="77777777" w:rsidR="0007716E" w:rsidRDefault="008F6710">
      <w:pPr>
        <w:pStyle w:val="FirstParagraph"/>
      </w:pPr>
      <w:r>
        <w:t xml:space="preserve">The analytical claims above are not generated by the tool, they are the analytical content the tool is </w:t>
      </w:r>
      <w:r>
        <w:rPr>
          <w:i/>
          <w:iCs/>
        </w:rPr>
        <w:t>designed to reveal</w:t>
      </w:r>
      <w:r>
        <w:t>. Three features carry the pedagogical work:</w:t>
      </w:r>
    </w:p>
    <w:p w14:paraId="111848A8" w14:textId="77777777" w:rsidR="0007716E" w:rsidRDefault="008F6710">
      <w:pPr>
        <w:pStyle w:val="Compact"/>
        <w:numPr>
          <w:ilvl w:val="0"/>
          <w:numId w:val="8"/>
        </w:numPr>
      </w:pPr>
      <w:r>
        <w:rPr>
          <w:b/>
          <w:bCs/>
        </w:rPr>
        <w:t>Key labels on recap regions.</w:t>
      </w:r>
      <w:r>
        <w:t xml:space="preserve"> When the playhead enters mm. 42–58, the analysis pane displays “F major” rather than “C major.” The anomaly is named in real time.</w:t>
      </w:r>
    </w:p>
    <w:p w14:paraId="111848A9" w14:textId="77777777" w:rsidR="0007716E" w:rsidRDefault="008F6710">
      <w:pPr>
        <w:pStyle w:val="Compact"/>
        <w:numPr>
          <w:ilvl w:val="0"/>
          <w:numId w:val="8"/>
        </w:numPr>
      </w:pPr>
      <w:r>
        <w:rPr>
          <w:b/>
          <w:bCs/>
        </w:rPr>
        <w:t>Auto-commentary on the deformation.</w:t>
      </w:r>
      <w:r>
        <w:t xml:space="preserve"> The same pane displays a short framing sentence, </w:t>
      </w:r>
      <w:r>
        <w:rPr>
          <w:i/>
          <w:iCs/>
        </w:rPr>
        <w:t>“Subdominant recapitulation: the exposition’s modulation plan, redirected toward the tonic”</w:t>
      </w:r>
      <w:r>
        <w:t xml:space="preserve">, which transforms the local key change into a </w:t>
      </w:r>
      <w:r>
        <w:rPr>
          <w:i/>
          <w:iCs/>
        </w:rPr>
        <w:t>functional</w:t>
      </w:r>
      <w:r>
        <w:t xml:space="preserve"> event.</w:t>
      </w:r>
    </w:p>
    <w:p w14:paraId="111848AA" w14:textId="77777777" w:rsidR="0007716E" w:rsidRDefault="008F6710">
      <w:pPr>
        <w:pStyle w:val="Compact"/>
        <w:numPr>
          <w:ilvl w:val="0"/>
          <w:numId w:val="8"/>
        </w:numPr>
      </w:pPr>
      <w:r>
        <w:rPr>
          <w:b/>
          <w:bCs/>
        </w:rPr>
        <w:lastRenderedPageBreak/>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111848AB" w14:textId="77777777" w:rsidR="0007716E" w:rsidRDefault="008F6710">
      <w:pPr>
        <w:pStyle w:val="1"/>
      </w:pPr>
      <w:bookmarkStart w:id="19" w:name="X6b0ed9b7d24a9e3f38e512a32fc3a560b5ae5ec"/>
      <w:bookmarkEnd w:id="11"/>
      <w:bookmarkEnd w:id="14"/>
      <w:bookmarkEnd w:id="18"/>
      <w:r>
        <w:t>4. The Tool: Three Coordinated Representations</w:t>
      </w:r>
    </w:p>
    <w:p w14:paraId="111848AC" w14:textId="77777777" w:rsidR="0007716E" w:rsidRDefault="008F6710">
      <w:pPr>
        <w:pStyle w:val="FirstParagraph"/>
      </w:pPr>
      <w:r>
        <w:t xml:space="preserve">The system is a static, client-side web application (≈600 lines of vanilla JavaScript) with one external dependency (OpenSheetMusicDisplay) and no build step. A live deployment is embedded with this article (see </w:t>
      </w:r>
      <w:r>
        <w:rPr>
          <w:i/>
          <w:iCs/>
        </w:rPr>
        <w:t>Example 1</w:t>
      </w:r>
      <w:r>
        <w:t xml:space="preserve"> below); source code, analysis data, and the audio-policy documentation are available through the project’s GitHub repository and Zenodo archive (see </w:t>
      </w:r>
      <w:r>
        <w:rPr>
          <w:i/>
          <w:iCs/>
        </w:rPr>
        <w:t>Reproducibility</w:t>
      </w:r>
      <w:r>
        <w:t>, §7).</w:t>
      </w:r>
    </w:p>
    <w:p w14:paraId="111848AD" w14:textId="77777777" w:rsidR="0007716E" w:rsidRDefault="008F6710">
      <w:pPr>
        <w:pStyle w:val="a0"/>
      </w:pPr>
      <w:r>
        <w:t xml:space="preserve">For a TISMIR reader, the architecturally salient property is not the component list but the </w:t>
      </w:r>
      <w:r>
        <w:rPr>
          <w:i/>
          <w:iCs/>
        </w:rPr>
        <w:t>coordination</w:t>
      </w:r>
      <w:r>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111848AE" w14:textId="77777777" w:rsidR="0007716E" w:rsidRDefault="008F6710">
      <w:pPr>
        <w:pStyle w:val="2"/>
      </w:pPr>
      <w:bookmarkStart w:id="20"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07716E" w:rsidRPr="00F220FF" w14:paraId="111848B2" w14:textId="77777777" w:rsidTr="00F220F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11848AF" w14:textId="77777777" w:rsidR="0007716E" w:rsidRPr="00F220FF" w:rsidRDefault="008F6710" w:rsidP="00F220FF">
            <w:pPr>
              <w:pStyle w:val="Compact"/>
              <w:spacing w:line="240" w:lineRule="auto"/>
              <w:rPr>
                <w:b/>
                <w:sz w:val="22"/>
              </w:rPr>
            </w:pPr>
            <w:r w:rsidRPr="00F220FF">
              <w:rPr>
                <w:b/>
                <w:sz w:val="22"/>
              </w:rPr>
              <w:t>Representation</w:t>
            </w:r>
          </w:p>
        </w:tc>
        <w:tc>
          <w:tcPr>
            <w:tcW w:w="0" w:type="auto"/>
            <w:tcBorders>
              <w:bottom w:val="single" w:sz="2" w:space="0" w:color="auto"/>
            </w:tcBorders>
            <w:shd w:val="clear" w:color="auto" w:fill="EBEBEB"/>
          </w:tcPr>
          <w:p w14:paraId="111848B0" w14:textId="77777777" w:rsidR="0007716E" w:rsidRPr="00F220FF" w:rsidRDefault="008F6710" w:rsidP="00F220FF">
            <w:pPr>
              <w:pStyle w:val="Compact"/>
              <w:spacing w:line="240" w:lineRule="auto"/>
              <w:rPr>
                <w:b/>
                <w:sz w:val="22"/>
              </w:rPr>
            </w:pPr>
            <w:r w:rsidRPr="00F220FF">
              <w:rPr>
                <w:b/>
                <w:sz w:val="22"/>
              </w:rPr>
              <w:t>Encoding</w:t>
            </w:r>
          </w:p>
        </w:tc>
        <w:tc>
          <w:tcPr>
            <w:tcW w:w="0" w:type="auto"/>
            <w:tcBorders>
              <w:bottom w:val="single" w:sz="2" w:space="0" w:color="auto"/>
            </w:tcBorders>
            <w:shd w:val="clear" w:color="auto" w:fill="EBEBEB"/>
          </w:tcPr>
          <w:p w14:paraId="111848B1" w14:textId="77777777" w:rsidR="0007716E" w:rsidRPr="00F220FF" w:rsidRDefault="008F6710" w:rsidP="00F220FF">
            <w:pPr>
              <w:pStyle w:val="Compact"/>
              <w:spacing w:line="240" w:lineRule="auto"/>
              <w:rPr>
                <w:b/>
                <w:sz w:val="22"/>
              </w:rPr>
            </w:pPr>
            <w:r w:rsidRPr="00F220FF">
              <w:rPr>
                <w:b/>
                <w:sz w:val="22"/>
              </w:rPr>
              <w:t xml:space="preserve">Update on </w:t>
            </w:r>
            <w:r w:rsidRPr="00F220FF">
              <w:rPr>
                <w:rStyle w:val="VerbatimChar"/>
                <w:rFonts w:ascii="Times New Roman" w:hAnsi="Times New Roman"/>
                <w:b/>
              </w:rPr>
              <w:t>timeupdate</w:t>
            </w:r>
          </w:p>
        </w:tc>
      </w:tr>
      <w:tr w:rsidR="0007716E" w:rsidRPr="00F220FF" w14:paraId="111848B6" w14:textId="77777777" w:rsidTr="00F220FF">
        <w:trPr>
          <w:jc w:val="center"/>
        </w:trPr>
        <w:tc>
          <w:tcPr>
            <w:tcW w:w="0" w:type="auto"/>
            <w:tcBorders>
              <w:top w:val="single" w:sz="2" w:space="0" w:color="auto"/>
            </w:tcBorders>
          </w:tcPr>
          <w:p w14:paraId="111848B3" w14:textId="77777777" w:rsidR="0007716E" w:rsidRPr="00F220FF" w:rsidRDefault="008F6710" w:rsidP="00F220FF">
            <w:pPr>
              <w:pStyle w:val="Compact"/>
              <w:spacing w:line="240" w:lineRule="auto"/>
              <w:rPr>
                <w:sz w:val="22"/>
              </w:rPr>
            </w:pPr>
            <w:r w:rsidRPr="00F220FF">
              <w:rPr>
                <w:b/>
                <w:bCs/>
                <w:sz w:val="22"/>
              </w:rPr>
              <w:t>Color timeline</w:t>
            </w:r>
          </w:p>
        </w:tc>
        <w:tc>
          <w:tcPr>
            <w:tcW w:w="0" w:type="auto"/>
            <w:tcBorders>
              <w:top w:val="single" w:sz="2" w:space="0" w:color="auto"/>
            </w:tcBorders>
          </w:tcPr>
          <w:p w14:paraId="111848B4" w14:textId="77777777" w:rsidR="0007716E" w:rsidRPr="00F220FF" w:rsidRDefault="008F6710" w:rsidP="00F220FF">
            <w:pPr>
              <w:pStyle w:val="Compact"/>
              <w:spacing w:line="240" w:lineRule="auto"/>
              <w:rPr>
                <w:sz w:val="22"/>
              </w:rPr>
            </w:pPr>
            <w:r w:rsidRPr="00F220FF">
              <w:rPr>
                <w:sz w:val="22"/>
              </w:rPr>
              <w:t>Horizontal bar, two-level color, proportional widths</w:t>
            </w:r>
          </w:p>
        </w:tc>
        <w:tc>
          <w:tcPr>
            <w:tcW w:w="0" w:type="auto"/>
            <w:tcBorders>
              <w:top w:val="single" w:sz="2" w:space="0" w:color="auto"/>
            </w:tcBorders>
          </w:tcPr>
          <w:p w14:paraId="111848B5" w14:textId="77777777" w:rsidR="0007716E" w:rsidRPr="00F220FF" w:rsidRDefault="008F6710" w:rsidP="00F220FF">
            <w:pPr>
              <w:pStyle w:val="Compact"/>
              <w:spacing w:line="240" w:lineRule="auto"/>
              <w:rPr>
                <w:sz w:val="22"/>
              </w:rPr>
            </w:pPr>
            <w:r w:rsidRPr="00F220FF">
              <w:rPr>
                <w:sz w:val="22"/>
              </w:rPr>
              <w:t>Red playhead advances</w:t>
            </w:r>
          </w:p>
        </w:tc>
      </w:tr>
      <w:tr w:rsidR="0007716E" w:rsidRPr="00F220FF" w14:paraId="111848BA" w14:textId="77777777" w:rsidTr="00F220FF">
        <w:trPr>
          <w:jc w:val="center"/>
        </w:trPr>
        <w:tc>
          <w:tcPr>
            <w:tcW w:w="0" w:type="auto"/>
          </w:tcPr>
          <w:p w14:paraId="111848B7" w14:textId="77777777" w:rsidR="0007716E" w:rsidRPr="00F220FF" w:rsidRDefault="008F6710" w:rsidP="00F220FF">
            <w:pPr>
              <w:pStyle w:val="Compact"/>
              <w:spacing w:line="240" w:lineRule="auto"/>
              <w:rPr>
                <w:sz w:val="22"/>
              </w:rPr>
            </w:pPr>
            <w:r w:rsidRPr="00F220FF">
              <w:rPr>
                <w:b/>
                <w:bCs/>
                <w:sz w:val="22"/>
              </w:rPr>
              <w:t>Score</w:t>
            </w:r>
          </w:p>
        </w:tc>
        <w:tc>
          <w:tcPr>
            <w:tcW w:w="0" w:type="auto"/>
          </w:tcPr>
          <w:p w14:paraId="111848B8" w14:textId="77777777" w:rsidR="0007716E" w:rsidRPr="00F220FF" w:rsidRDefault="008F6710" w:rsidP="00F220FF">
            <w:pPr>
              <w:pStyle w:val="Compact"/>
              <w:spacing w:line="240" w:lineRule="auto"/>
              <w:rPr>
                <w:sz w:val="22"/>
              </w:rPr>
            </w:pPr>
            <w:r w:rsidRPr="00F220FF">
              <w:rPr>
                <w:sz w:val="22"/>
              </w:rPr>
              <w:t>MusicXML rendered as SVG; current measure highlighted</w:t>
            </w:r>
          </w:p>
        </w:tc>
        <w:tc>
          <w:tcPr>
            <w:tcW w:w="0" w:type="auto"/>
          </w:tcPr>
          <w:p w14:paraId="111848B9" w14:textId="77777777" w:rsidR="0007716E" w:rsidRPr="00F220FF" w:rsidRDefault="008F6710" w:rsidP="00F220FF">
            <w:pPr>
              <w:pStyle w:val="Compact"/>
              <w:spacing w:line="240" w:lineRule="auto"/>
              <w:rPr>
                <w:sz w:val="22"/>
              </w:rPr>
            </w:pPr>
            <w:r w:rsidRPr="00F220FF">
              <w:rPr>
                <w:sz w:val="22"/>
              </w:rPr>
              <w:t>Cursor moves to current note</w:t>
            </w:r>
          </w:p>
        </w:tc>
      </w:tr>
      <w:tr w:rsidR="0007716E" w:rsidRPr="00F220FF" w14:paraId="111848BE" w14:textId="77777777" w:rsidTr="00F220FF">
        <w:trPr>
          <w:jc w:val="center"/>
        </w:trPr>
        <w:tc>
          <w:tcPr>
            <w:tcW w:w="0" w:type="auto"/>
          </w:tcPr>
          <w:p w14:paraId="111848BB" w14:textId="77777777" w:rsidR="0007716E" w:rsidRPr="00F220FF" w:rsidRDefault="008F6710" w:rsidP="00F220FF">
            <w:pPr>
              <w:pStyle w:val="Compact"/>
              <w:spacing w:line="240" w:lineRule="auto"/>
              <w:rPr>
                <w:sz w:val="22"/>
              </w:rPr>
            </w:pPr>
            <w:r w:rsidRPr="00F220FF">
              <w:rPr>
                <w:b/>
                <w:bCs/>
                <w:sz w:val="22"/>
              </w:rPr>
              <w:t>Analytical pane</w:t>
            </w:r>
          </w:p>
        </w:tc>
        <w:tc>
          <w:tcPr>
            <w:tcW w:w="0" w:type="auto"/>
          </w:tcPr>
          <w:p w14:paraId="111848BC" w14:textId="77777777" w:rsidR="0007716E" w:rsidRPr="00F220FF" w:rsidRDefault="008F6710" w:rsidP="00F220FF">
            <w:pPr>
              <w:pStyle w:val="Compact"/>
              <w:spacing w:line="240" w:lineRule="auto"/>
              <w:rPr>
                <w:sz w:val="22"/>
              </w:rPr>
            </w:pPr>
            <w:r w:rsidRPr="00F220FF">
              <w:rPr>
                <w:sz w:val="22"/>
              </w:rPr>
              <w:t>Section + theme labels, current key, auto-commentary</w:t>
            </w:r>
          </w:p>
        </w:tc>
        <w:tc>
          <w:tcPr>
            <w:tcW w:w="0" w:type="auto"/>
          </w:tcPr>
          <w:p w14:paraId="111848BD" w14:textId="77777777" w:rsidR="0007716E" w:rsidRPr="00F220FF" w:rsidRDefault="008F6710" w:rsidP="00F220FF">
            <w:pPr>
              <w:pStyle w:val="Compact"/>
              <w:spacing w:line="240" w:lineRule="auto"/>
              <w:rPr>
                <w:sz w:val="22"/>
              </w:rPr>
            </w:pPr>
            <w:r w:rsidRPr="00F220FF">
              <w:rPr>
                <w:sz w:val="22"/>
              </w:rPr>
              <w:t>Re-renders on label change</w:t>
            </w:r>
          </w:p>
        </w:tc>
      </w:tr>
    </w:tbl>
    <w:p w14:paraId="111848BF" w14:textId="77777777" w:rsidR="0007716E" w:rsidRDefault="008F6710">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w:t>
      </w:r>
      <w:r>
        <w:lastRenderedPageBreak/>
        <w:t xml:space="preserve">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111848C0" w14:textId="77777777" w:rsidR="0007716E" w:rsidRDefault="008F6710">
      <w:pPr>
        <w:pStyle w:val="2"/>
      </w:pPr>
      <w:bookmarkStart w:id="21" w:name="the-two-level-color-scheme"/>
      <w:bookmarkEnd w:id="20"/>
      <w:r>
        <w:t>4.2 The Two-Level Color Scheme</w:t>
      </w:r>
    </w:p>
    <w:p w14:paraId="111848C1" w14:textId="77777777" w:rsidR="0007716E" w:rsidRDefault="008F6710">
      <w:pPr>
        <w:pStyle w:val="FirstParagraph"/>
      </w:pPr>
      <w:r>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07716E" w:rsidRPr="00F220FF" w14:paraId="111848C5" w14:textId="77777777" w:rsidTr="00F220F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11848C2" w14:textId="77777777" w:rsidR="0007716E" w:rsidRPr="00F220FF" w:rsidRDefault="008F6710" w:rsidP="00F220FF">
            <w:pPr>
              <w:pStyle w:val="Compact"/>
              <w:spacing w:line="240" w:lineRule="auto"/>
              <w:rPr>
                <w:b/>
                <w:sz w:val="22"/>
              </w:rPr>
            </w:pPr>
            <w:r w:rsidRPr="00F220FF">
              <w:rPr>
                <w:b/>
                <w:sz w:val="22"/>
              </w:rPr>
              <w:t>Element</w:t>
            </w:r>
          </w:p>
        </w:tc>
        <w:tc>
          <w:tcPr>
            <w:tcW w:w="0" w:type="auto"/>
            <w:tcBorders>
              <w:bottom w:val="single" w:sz="2" w:space="0" w:color="auto"/>
            </w:tcBorders>
            <w:shd w:val="clear" w:color="auto" w:fill="EBEBEB"/>
          </w:tcPr>
          <w:p w14:paraId="111848C3" w14:textId="77777777" w:rsidR="0007716E" w:rsidRPr="00F220FF" w:rsidRDefault="008F6710" w:rsidP="00F220FF">
            <w:pPr>
              <w:pStyle w:val="Compact"/>
              <w:spacing w:line="240" w:lineRule="auto"/>
              <w:rPr>
                <w:b/>
                <w:sz w:val="22"/>
              </w:rPr>
            </w:pPr>
            <w:r w:rsidRPr="00F220FF">
              <w:rPr>
                <w:b/>
                <w:sz w:val="22"/>
              </w:rPr>
              <w:t>Color</w:t>
            </w:r>
          </w:p>
        </w:tc>
        <w:tc>
          <w:tcPr>
            <w:tcW w:w="0" w:type="auto"/>
            <w:tcBorders>
              <w:bottom w:val="single" w:sz="2" w:space="0" w:color="auto"/>
            </w:tcBorders>
            <w:shd w:val="clear" w:color="auto" w:fill="EBEBEB"/>
          </w:tcPr>
          <w:p w14:paraId="111848C4" w14:textId="77777777" w:rsidR="0007716E" w:rsidRPr="00F220FF" w:rsidRDefault="008F6710" w:rsidP="00F220FF">
            <w:pPr>
              <w:pStyle w:val="Compact"/>
              <w:spacing w:line="240" w:lineRule="auto"/>
              <w:rPr>
                <w:b/>
                <w:sz w:val="22"/>
              </w:rPr>
            </w:pPr>
            <w:r w:rsidRPr="00F220FF">
              <w:rPr>
                <w:b/>
                <w:sz w:val="22"/>
              </w:rPr>
              <w:t>Role</w:t>
            </w:r>
          </w:p>
        </w:tc>
      </w:tr>
      <w:tr w:rsidR="0007716E" w:rsidRPr="00F220FF" w14:paraId="111848C9" w14:textId="77777777" w:rsidTr="00F220FF">
        <w:trPr>
          <w:jc w:val="center"/>
        </w:trPr>
        <w:tc>
          <w:tcPr>
            <w:tcW w:w="0" w:type="auto"/>
            <w:tcBorders>
              <w:top w:val="single" w:sz="2" w:space="0" w:color="auto"/>
            </w:tcBorders>
          </w:tcPr>
          <w:p w14:paraId="111848C6" w14:textId="77777777" w:rsidR="0007716E" w:rsidRPr="00F220FF" w:rsidRDefault="008F6710" w:rsidP="00F220FF">
            <w:pPr>
              <w:pStyle w:val="Compact"/>
              <w:spacing w:line="240" w:lineRule="auto"/>
              <w:rPr>
                <w:sz w:val="22"/>
              </w:rPr>
            </w:pPr>
            <w:r w:rsidRPr="00F220FF">
              <w:rPr>
                <w:sz w:val="22"/>
              </w:rPr>
              <w:t>Exposition</w:t>
            </w:r>
          </w:p>
        </w:tc>
        <w:tc>
          <w:tcPr>
            <w:tcW w:w="0" w:type="auto"/>
            <w:tcBorders>
              <w:top w:val="single" w:sz="2" w:space="0" w:color="auto"/>
            </w:tcBorders>
          </w:tcPr>
          <w:p w14:paraId="111848C7" w14:textId="77777777" w:rsidR="0007716E" w:rsidRPr="00F220FF" w:rsidRDefault="008F6710" w:rsidP="00F220FF">
            <w:pPr>
              <w:pStyle w:val="Compact"/>
              <w:spacing w:line="240" w:lineRule="auto"/>
              <w:rPr>
                <w:sz w:val="22"/>
              </w:rPr>
            </w:pPr>
            <w:r w:rsidRPr="00F220FF">
              <w:rPr>
                <w:sz w:val="22"/>
              </w:rPr>
              <w:t>Pastel blue</w:t>
            </w:r>
          </w:p>
        </w:tc>
        <w:tc>
          <w:tcPr>
            <w:tcW w:w="0" w:type="auto"/>
            <w:tcBorders>
              <w:top w:val="single" w:sz="2" w:space="0" w:color="auto"/>
            </w:tcBorders>
          </w:tcPr>
          <w:p w14:paraId="111848C8" w14:textId="77777777" w:rsidR="0007716E" w:rsidRPr="00F220FF" w:rsidRDefault="008F6710" w:rsidP="00F220FF">
            <w:pPr>
              <w:pStyle w:val="Compact"/>
              <w:spacing w:line="240" w:lineRule="auto"/>
              <w:rPr>
                <w:sz w:val="22"/>
              </w:rPr>
            </w:pPr>
            <w:r w:rsidRPr="00F220FF">
              <w:rPr>
                <w:sz w:val="22"/>
              </w:rPr>
              <w:t>Stable, presenting</w:t>
            </w:r>
          </w:p>
        </w:tc>
      </w:tr>
      <w:tr w:rsidR="0007716E" w:rsidRPr="00F220FF" w14:paraId="111848CD" w14:textId="77777777" w:rsidTr="00F220FF">
        <w:trPr>
          <w:jc w:val="center"/>
        </w:trPr>
        <w:tc>
          <w:tcPr>
            <w:tcW w:w="0" w:type="auto"/>
          </w:tcPr>
          <w:p w14:paraId="111848CA" w14:textId="77777777" w:rsidR="0007716E" w:rsidRPr="00F220FF" w:rsidRDefault="008F6710" w:rsidP="00F220FF">
            <w:pPr>
              <w:pStyle w:val="Compact"/>
              <w:spacing w:line="240" w:lineRule="auto"/>
              <w:rPr>
                <w:sz w:val="22"/>
              </w:rPr>
            </w:pPr>
            <w:r w:rsidRPr="00F220FF">
              <w:rPr>
                <w:sz w:val="22"/>
              </w:rPr>
              <w:t>Development</w:t>
            </w:r>
          </w:p>
        </w:tc>
        <w:tc>
          <w:tcPr>
            <w:tcW w:w="0" w:type="auto"/>
          </w:tcPr>
          <w:p w14:paraId="111848CB" w14:textId="77777777" w:rsidR="0007716E" w:rsidRPr="00F220FF" w:rsidRDefault="008F6710" w:rsidP="00F220FF">
            <w:pPr>
              <w:pStyle w:val="Compact"/>
              <w:spacing w:line="240" w:lineRule="auto"/>
              <w:rPr>
                <w:sz w:val="22"/>
              </w:rPr>
            </w:pPr>
            <w:r w:rsidRPr="00F220FF">
              <w:rPr>
                <w:sz w:val="22"/>
              </w:rPr>
              <w:t>Pastel amber</w:t>
            </w:r>
          </w:p>
        </w:tc>
        <w:tc>
          <w:tcPr>
            <w:tcW w:w="0" w:type="auto"/>
          </w:tcPr>
          <w:p w14:paraId="111848CC" w14:textId="77777777" w:rsidR="0007716E" w:rsidRPr="00F220FF" w:rsidRDefault="008F6710" w:rsidP="00F220FF">
            <w:pPr>
              <w:pStyle w:val="Compact"/>
              <w:spacing w:line="240" w:lineRule="auto"/>
              <w:rPr>
                <w:sz w:val="22"/>
              </w:rPr>
            </w:pPr>
            <w:r w:rsidRPr="00F220FF">
              <w:rPr>
                <w:sz w:val="22"/>
              </w:rPr>
              <w:t>Tonally exploratory</w:t>
            </w:r>
          </w:p>
        </w:tc>
      </w:tr>
      <w:tr w:rsidR="0007716E" w:rsidRPr="00F220FF" w14:paraId="111848D1" w14:textId="77777777" w:rsidTr="00F220FF">
        <w:trPr>
          <w:jc w:val="center"/>
        </w:trPr>
        <w:tc>
          <w:tcPr>
            <w:tcW w:w="0" w:type="auto"/>
          </w:tcPr>
          <w:p w14:paraId="111848CE" w14:textId="77777777" w:rsidR="0007716E" w:rsidRPr="00F220FF" w:rsidRDefault="008F6710" w:rsidP="00F220FF">
            <w:pPr>
              <w:pStyle w:val="Compact"/>
              <w:spacing w:line="240" w:lineRule="auto"/>
              <w:rPr>
                <w:sz w:val="22"/>
              </w:rPr>
            </w:pPr>
            <w:r w:rsidRPr="00F220FF">
              <w:rPr>
                <w:sz w:val="22"/>
              </w:rPr>
              <w:t>Recapitulation</w:t>
            </w:r>
          </w:p>
        </w:tc>
        <w:tc>
          <w:tcPr>
            <w:tcW w:w="0" w:type="auto"/>
          </w:tcPr>
          <w:p w14:paraId="111848CF" w14:textId="77777777" w:rsidR="0007716E" w:rsidRPr="00F220FF" w:rsidRDefault="008F6710" w:rsidP="00F220FF">
            <w:pPr>
              <w:pStyle w:val="Compact"/>
              <w:spacing w:line="240" w:lineRule="auto"/>
              <w:rPr>
                <w:sz w:val="22"/>
              </w:rPr>
            </w:pPr>
            <w:r w:rsidRPr="00F220FF">
              <w:rPr>
                <w:sz w:val="22"/>
              </w:rPr>
              <w:t>Pastel green</w:t>
            </w:r>
          </w:p>
        </w:tc>
        <w:tc>
          <w:tcPr>
            <w:tcW w:w="0" w:type="auto"/>
          </w:tcPr>
          <w:p w14:paraId="111848D0" w14:textId="77777777" w:rsidR="0007716E" w:rsidRPr="00F220FF" w:rsidRDefault="008F6710" w:rsidP="00F220FF">
            <w:pPr>
              <w:pStyle w:val="Compact"/>
              <w:spacing w:line="240" w:lineRule="auto"/>
              <w:rPr>
                <w:sz w:val="22"/>
              </w:rPr>
            </w:pPr>
            <w:r w:rsidRPr="00F220FF">
              <w:rPr>
                <w:sz w:val="22"/>
              </w:rPr>
              <w:t>Returning, resolving</w:t>
            </w:r>
          </w:p>
        </w:tc>
      </w:tr>
      <w:tr w:rsidR="0007716E" w:rsidRPr="00F220FF" w14:paraId="111848D5" w14:textId="77777777" w:rsidTr="00F220FF">
        <w:trPr>
          <w:jc w:val="center"/>
        </w:trPr>
        <w:tc>
          <w:tcPr>
            <w:tcW w:w="0" w:type="auto"/>
          </w:tcPr>
          <w:p w14:paraId="111848D2" w14:textId="77777777" w:rsidR="0007716E" w:rsidRPr="00F220FF" w:rsidRDefault="008F6710" w:rsidP="00F220FF">
            <w:pPr>
              <w:pStyle w:val="Compact"/>
              <w:spacing w:line="240" w:lineRule="auto"/>
              <w:rPr>
                <w:sz w:val="22"/>
              </w:rPr>
            </w:pPr>
            <w:r w:rsidRPr="00F220FF">
              <w:rPr>
                <w:sz w:val="22"/>
              </w:rPr>
              <w:t>Now-position</w:t>
            </w:r>
          </w:p>
        </w:tc>
        <w:tc>
          <w:tcPr>
            <w:tcW w:w="0" w:type="auto"/>
          </w:tcPr>
          <w:p w14:paraId="111848D3" w14:textId="77777777" w:rsidR="0007716E" w:rsidRPr="00F220FF" w:rsidRDefault="008F6710" w:rsidP="00F220FF">
            <w:pPr>
              <w:pStyle w:val="Compact"/>
              <w:spacing w:line="240" w:lineRule="auto"/>
              <w:rPr>
                <w:sz w:val="22"/>
              </w:rPr>
            </w:pPr>
            <w:r w:rsidRPr="00F220FF">
              <w:rPr>
                <w:sz w:val="22"/>
              </w:rPr>
              <w:t>Red</w:t>
            </w:r>
          </w:p>
        </w:tc>
        <w:tc>
          <w:tcPr>
            <w:tcW w:w="0" w:type="auto"/>
          </w:tcPr>
          <w:p w14:paraId="111848D4" w14:textId="77777777" w:rsidR="0007716E" w:rsidRPr="00F220FF" w:rsidRDefault="008F6710" w:rsidP="00F220FF">
            <w:pPr>
              <w:pStyle w:val="Compact"/>
              <w:spacing w:line="240" w:lineRule="auto"/>
              <w:rPr>
                <w:sz w:val="22"/>
              </w:rPr>
            </w:pPr>
            <w:r w:rsidRPr="00F220FF">
              <w:rPr>
                <w:sz w:val="22"/>
              </w:rPr>
              <w:t>Playhead, score cursor</w:t>
            </w:r>
          </w:p>
        </w:tc>
      </w:tr>
    </w:tbl>
    <w:p w14:paraId="111848D6" w14:textId="77777777" w:rsidR="0007716E" w:rsidRDefault="008F6710">
      <w:pPr>
        <w:pStyle w:val="2"/>
      </w:pPr>
      <w:bookmarkStart w:id="22" w:name="the-analysis-layer-as-data"/>
      <w:bookmarkEnd w:id="21"/>
      <w:r>
        <w:t>4.3 The Analysis Layer as Data</w:t>
      </w:r>
    </w:p>
    <w:p w14:paraId="111848D7" w14:textId="77777777" w:rsidR="0007716E" w:rsidRDefault="008F6710">
      <w:pPr>
        <w:pStyle w:val="FirstParagraph"/>
      </w:pPr>
      <w:r>
        <w:t xml:space="preserve">The formal analysis is a versioned JSON object (see </w:t>
      </w:r>
      <w:r>
        <w:rPr>
          <w:i/>
          <w:iCs/>
        </w:rPr>
        <w:t>Example 2</w:t>
      </w:r>
      <w:r>
        <w:t xml:space="preserve"> </w:t>
      </w:r>
      <w:r>
        <w:t xml:space="preserve">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111848D8" w14:textId="77777777" w:rsidR="0007716E" w:rsidRDefault="008F6710">
      <w:pPr>
        <w:pStyle w:val="3"/>
      </w:pPr>
      <w:bookmarkStart w:id="23" w:name="X7f77967c5d2b91ed5d9ed16504a5bf95ce0ace2"/>
      <w:r>
        <w:lastRenderedPageBreak/>
        <w:t>Interoperability with the Algomus annotation corpus</w:t>
      </w:r>
    </w:p>
    <w:p w14:paraId="111848D9" w14:textId="77777777" w:rsidR="0007716E" w:rsidRDefault="008F6710">
      <w:pPr>
        <w:pStyle w:val="FirstParagraph"/>
      </w:pPr>
      <w:r>
        <w:t xml:space="preserve">The schema’s structural categories, </w:t>
      </w:r>
      <w:r>
        <w:rPr>
          <w:rStyle w:val="VerbatimChar"/>
        </w:rPr>
        <w:t>sections[].type ∈ {exposition, development, recapitulation, coda}</w:t>
      </w:r>
      <w:r>
        <w:t xml:space="preserve">, </w:t>
      </w:r>
      <w:r>
        <w:rPr>
          <w:rStyle w:val="VerbatimChar"/>
        </w:rPr>
        <w:t>themes[].type ∈ {P, T, S, K, codetta, retransition}</w:t>
      </w:r>
      <w:r>
        <w:t xml:space="preserve">, and </w:t>
      </w:r>
      <w:r>
        <w:rPr>
          <w:rStyle w:val="VerbatimChar"/>
        </w:rPr>
        <w:t>(start_measure, end_measure)</w:t>
      </w:r>
      <w:r>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t xml:space="preserve"> (</w:t>
      </w:r>
      <w:r>
        <w:rPr>
          <w:rStyle w:val="VerbatimChar"/>
        </w:rPr>
        <w:t>data/sonata_structure.schema.json</w:t>
      </w:r>
      <w:r>
        <w:t xml:space="preserve">) and a worked example for K. 545; we leave the adapter for the full Algomus corpus as a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111848DA" w14:textId="77777777" w:rsidR="0007716E" w:rsidRDefault="008F6710">
      <w:pPr>
        <w:pStyle w:val="2"/>
      </w:pPr>
      <w:bookmarkStart w:id="24" w:name="affordances-for-active-listening"/>
      <w:bookmarkEnd w:id="22"/>
      <w:bookmarkEnd w:id="23"/>
      <w:r>
        <w:t>4.4 Affordances for Active Listening</w:t>
      </w:r>
    </w:p>
    <w:p w14:paraId="111848DB" w14:textId="77777777" w:rsidR="0007716E" w:rsidRDefault="008F6710">
      <w:pPr>
        <w:pStyle w:val="FirstParagraph"/>
      </w:pPr>
      <w:r>
        <w:t>Three interactive affordances are pedagogically central:</w:t>
      </w:r>
    </w:p>
    <w:p w14:paraId="111848DC" w14:textId="77777777" w:rsidR="0007716E" w:rsidRDefault="008F6710">
      <w:pPr>
        <w:pStyle w:val="Compact"/>
        <w:numPr>
          <w:ilvl w:val="0"/>
          <w:numId w:val="9"/>
        </w:numPr>
      </w:pPr>
      <w:r>
        <w:rPr>
          <w:b/>
          <w:bCs/>
        </w:rPr>
        <w:t>Section jump</w:t>
      </w:r>
      <w:r>
        <w:t>: clicking any colored timeline segment seeks the audio to that measure. A teacher can move directly from “exposition P” to “recapitulation P” without scrubbing.</w:t>
      </w:r>
    </w:p>
    <w:p w14:paraId="111848DD" w14:textId="77777777" w:rsidR="0007716E" w:rsidRDefault="008F6710">
      <w:pPr>
        <w:pStyle w:val="Compact"/>
        <w:numPr>
          <w:ilvl w:val="0"/>
          <w:numId w:val="9"/>
        </w:numPr>
      </w:pPr>
      <w:r>
        <w:rPr>
          <w:b/>
          <w:bCs/>
        </w:rPr>
        <w:t>Section loop</w:t>
      </w:r>
      <w:r>
        <w:t>: toggles playback to repeat the current section, enabling immediate A–B comparison.</w:t>
      </w:r>
    </w:p>
    <w:p w14:paraId="111848DE" w14:textId="77777777" w:rsidR="0007716E" w:rsidRDefault="008F6710">
      <w:pPr>
        <w:pStyle w:val="Compact"/>
        <w:numPr>
          <w:ilvl w:val="0"/>
          <w:numId w:val="9"/>
        </w:numPr>
      </w:pPr>
      <w:r>
        <w:rPr>
          <w:b/>
          <w:bCs/>
        </w:rPr>
        <w:t>Playback-speed control</w:t>
      </w:r>
      <w:r>
        <w:t>: slows passage to 0.5× without altering pitch, useful for very brief modulating moments.</w:t>
      </w:r>
    </w:p>
    <w:p w14:paraId="111848DF" w14:textId="77777777" w:rsidR="0007716E" w:rsidRDefault="008F6710">
      <w:pPr>
        <w:pStyle w:val="FirstParagraph"/>
      </w:pPr>
      <w:r>
        <w:lastRenderedPageBreak/>
        <w:t>Keyboard shortcuts (Space, ←/→, L for loop, C for color toggle) make classroom demonstration responsive in a way mouse-only interaction cannot.</w:t>
      </w:r>
    </w:p>
    <w:p w14:paraId="111848E0" w14:textId="77777777" w:rsidR="0007716E" w:rsidRDefault="008F6710">
      <w:pPr>
        <w:pStyle w:val="2"/>
      </w:pPr>
      <w:bookmarkStart w:id="25" w:name="exposition-repeat-folding"/>
      <w:bookmarkEnd w:id="24"/>
      <w:r>
        <w:t>4.5 Exposition Repeat Folding</w:t>
      </w:r>
    </w:p>
    <w:p w14:paraId="111848E1" w14:textId="77777777" w:rsidR="0007716E" w:rsidRDefault="008F6710">
      <w:pPr>
        <w:pStyle w:val="FirstParagraph"/>
      </w:pPr>
      <w:r>
        <w:t xml:space="preserve">When a performer elects to take the exposition repeat, the overwhelming majority of K. 545 recordings in the canonical discography, including the Schiff Carnegie Hall (2015) recording used in our reference deployment, the audio time-line becomes </w:t>
      </w:r>
      <w:r>
        <w:rPr>
          <w:i/>
          <w:iCs/>
        </w:rPr>
        <w:t>non-monotonic</w:t>
      </w:r>
      <w:r>
        <w:t xml:space="preserve"> with respect to analytical time. Audio seconds 0:00 – 0:55 traverse the exposition; audio seconds 0:55 – 1:48 traverse the exposition </w:t>
      </w:r>
      <w:r>
        <w:rPr>
          <w:i/>
          <w:iCs/>
        </w:rPr>
        <w:t>again</w:t>
      </w:r>
      <w:r>
        <w:t>; audio second 1:48 onwards opens the development. Two design responses are available:</w:t>
      </w:r>
    </w:p>
    <w:p w14:paraId="111848E2" w14:textId="77777777" w:rsidR="0007716E" w:rsidRDefault="008F6710">
      <w:pPr>
        <w:pStyle w:val="Compact"/>
        <w:numPr>
          <w:ilvl w:val="0"/>
          <w:numId w:val="10"/>
        </w:numPr>
      </w:pPr>
      <w:r>
        <w:rPr>
          <w:b/>
          <w:bCs/>
        </w:rPr>
        <w:t>Ignore the repeat.</w:t>
      </w:r>
      <w:r>
        <w:t xml:space="preserve"> The cursor and analytical pane simply continue forward through audio time, and during the repeat the pane displays an off-by-one section (“development”) while the listener is still in the exposition. Pedagogically misleading.</w:t>
      </w:r>
    </w:p>
    <w:p w14:paraId="111848E3" w14:textId="77777777" w:rsidR="0007716E" w:rsidRDefault="008F6710">
      <w:pPr>
        <w:pStyle w:val="Compact"/>
        <w:numPr>
          <w:ilvl w:val="0"/>
          <w:numId w:val="10"/>
        </w:numPr>
      </w:pPr>
      <w:r>
        <w:rPr>
          <w:b/>
          <w:bCs/>
        </w:rPr>
        <w:t>Fold the repeat.</w:t>
      </w:r>
      <w:r>
        <w:t xml:space="preserve"> During the repeat, the cursor returns to the exposition’s start and re-traverses it; only when the audio passes the second exposition codetta does the cursor advance into the development.</w:t>
      </w:r>
    </w:p>
    <w:p w14:paraId="111848E4" w14:textId="77777777" w:rsidR="0007716E" w:rsidRDefault="008F6710">
      <w:pPr>
        <w:pStyle w:val="FirstParagraph"/>
      </w:pPr>
      <w:r>
        <w:t xml:space="preserve">We adopt the second option. Let </w:t>
      </w:r>
      <w:r>
        <w:rPr>
          <w:i/>
          <w:iCs/>
        </w:rPr>
        <w:t>t</w:t>
      </w:r>
      <w:r>
        <w:t xml:space="preserve"> be the current audio time and let the user-marked or default repeat span be [</w:t>
      </w:r>
      <w:r>
        <w:rPr>
          <w:i/>
          <w:iCs/>
        </w:rPr>
        <w:t>r</w:t>
      </w:r>
      <w:r>
        <w:t xml:space="preserve">₁, </w:t>
      </w:r>
      <w:r>
        <w:rPr>
          <w:i/>
          <w:iCs/>
        </w:rPr>
        <w:t>r</w:t>
      </w:r>
      <w:r>
        <w:t xml:space="preserve">₂]. The analytical time </w:t>
      </w:r>
      <w:r>
        <w:rPr>
          <w:i/>
          <w:iCs/>
        </w:rPr>
        <w:t>τ</w:t>
      </w:r>
      <w:r>
        <w:t xml:space="preserve"> is then a piecewise function:</w:t>
      </w:r>
    </w:p>
    <w:p w14:paraId="111848E5" w14:textId="77777777" w:rsidR="0007716E" w:rsidRDefault="008F6710">
      <w:pPr>
        <w:pStyle w:val="SourceCode"/>
      </w:pPr>
      <w:r>
        <w:rPr>
          <w:rStyle w:val="VerbatimChar"/>
        </w:rPr>
        <w:t xml:space="preserve">              ⎧ t                                  if t &lt; r₁</w:t>
      </w:r>
      <w:r>
        <w:br/>
      </w:r>
      <w:r>
        <w:rPr>
          <w:rStyle w:val="VerbatimChar"/>
        </w:rPr>
        <w:t xml:space="preserve">              ⎪</w:t>
      </w:r>
      <w:r>
        <w:br/>
      </w:r>
      <w:r>
        <w:rPr>
          <w:rStyle w:val="VerbatimChar"/>
        </w:rPr>
        <w:t xml:space="preserve">   τ(t)   =   ⎨ ((t − r₁) / (r₂ − r₁)) · r₁         if r₁ ≤ t &lt; r₂</w:t>
      </w:r>
      <w:r>
        <w:br/>
      </w:r>
      <w:r>
        <w:rPr>
          <w:rStyle w:val="VerbatimChar"/>
        </w:rPr>
        <w:t xml:space="preserve">              ⎪</w:t>
      </w:r>
      <w:r>
        <w:br/>
      </w:r>
      <w:r>
        <w:rPr>
          <w:rStyle w:val="VerbatimChar"/>
        </w:rPr>
        <w:t xml:space="preserve">              ⎩ t − (r₂ − r₁)                      otherwise</w:t>
      </w:r>
    </w:p>
    <w:p w14:paraId="111848E6" w14:textId="77777777" w:rsidR="0007716E" w:rsidRDefault="008F6710">
      <w:pPr>
        <w:pStyle w:val="FirstParagraph"/>
      </w:pPr>
      <w:r>
        <w:t>Three properties follow:</w:t>
      </w:r>
    </w:p>
    <w:p w14:paraId="111848E7" w14:textId="77777777" w:rsidR="0007716E" w:rsidRDefault="008F6710">
      <w:pPr>
        <w:pStyle w:val="Compact"/>
        <w:numPr>
          <w:ilvl w:val="0"/>
          <w:numId w:val="11"/>
        </w:numPr>
      </w:pPr>
      <w:r>
        <w:rPr>
          <w:b/>
          <w:bCs/>
        </w:rPr>
        <w:lastRenderedPageBreak/>
        <w:t>First-pass identity.</w:t>
      </w:r>
      <w:r>
        <w:t xml:space="preserve"> For </w:t>
      </w:r>
      <w:r>
        <w:rPr>
          <w:i/>
          <w:iCs/>
        </w:rPr>
        <w:t>t</w:t>
      </w:r>
      <w:r>
        <w:t xml:space="preserve"> &lt; </w:t>
      </w:r>
      <w:r>
        <w:rPr>
          <w:i/>
          <w:iCs/>
        </w:rPr>
        <w:t>r</w:t>
      </w:r>
      <w:r>
        <w:t>₁, analytical time equals audio time. The cursor behaves as a simple score-follower until the repeat begins.</w:t>
      </w:r>
    </w:p>
    <w:p w14:paraId="111848E8" w14:textId="77777777" w:rsidR="0007716E" w:rsidRDefault="008F6710">
      <w:pPr>
        <w:pStyle w:val="Compact"/>
        <w:numPr>
          <w:ilvl w:val="0"/>
          <w:numId w:val="11"/>
        </w:numPr>
      </w:pPr>
      <w:r>
        <w:rPr>
          <w:b/>
          <w:bCs/>
        </w:rPr>
        <w:t>Fold-back on repeat.</w:t>
      </w:r>
      <w:r>
        <w:t xml:space="preserve"> For </w:t>
      </w:r>
      <w:r>
        <w:rPr>
          <w:i/>
          <w:iCs/>
        </w:rPr>
        <w:t>r</w:t>
      </w:r>
      <w:r>
        <w:t xml:space="preserve">₁ ≤ </w:t>
      </w:r>
      <w:r>
        <w:rPr>
          <w:i/>
          <w:iCs/>
        </w:rPr>
        <w:t>t</w:t>
      </w:r>
      <w:r>
        <w:t xml:space="preserve"> &lt; </w:t>
      </w:r>
      <w:r>
        <w:rPr>
          <w:i/>
          <w:iCs/>
        </w:rPr>
        <w:t>r</w:t>
      </w:r>
      <w:r>
        <w:t xml:space="preserve">₂, the cursor re- traverses the analytical interval [0, </w:t>
      </w:r>
      <w:r>
        <w:rPr>
          <w:i/>
          <w:iCs/>
        </w:rPr>
        <w:t>r</w:t>
      </w:r>
      <w:r>
        <w:t xml:space="preserve">₁] proportionally with </w:t>
      </w:r>
      <w:r>
        <w:t>the second hearing. The listener hears the exposition a second time while the cursor visibly returns to bar 1 and crawls forward to bar 28 again.</w:t>
      </w:r>
    </w:p>
    <w:p w14:paraId="111848E9" w14:textId="77777777" w:rsidR="0007716E" w:rsidRDefault="008F6710">
      <w:pPr>
        <w:pStyle w:val="Compact"/>
        <w:numPr>
          <w:ilvl w:val="0"/>
          <w:numId w:val="11"/>
        </w:numPr>
      </w:pPr>
      <w:r>
        <w:rPr>
          <w:b/>
          <w:bCs/>
        </w:rPr>
        <w:t>Post-repeat offset.</w:t>
      </w:r>
      <w:r>
        <w:t xml:space="preserve"> For </w:t>
      </w:r>
      <w:r>
        <w:rPr>
          <w:i/>
          <w:iCs/>
        </w:rPr>
        <w:t>t</w:t>
      </w:r>
      <w:r>
        <w:t xml:space="preserve"> ≥ </w:t>
      </w:r>
      <w:r>
        <w:rPr>
          <w:i/>
          <w:iCs/>
        </w:rPr>
        <w:t>r</w:t>
      </w:r>
      <w:r>
        <w:t>₂, analytical time advances at audio rate but offset back by the repeat duration. The development and recapitulation are addressed correctly regardless of repeat length.</w:t>
      </w:r>
    </w:p>
    <w:p w14:paraId="111848EA" w14:textId="77777777" w:rsidR="0007716E" w:rsidRDefault="008F6710">
      <w:pPr>
        <w:pStyle w:val="FirstParagraph"/>
      </w:pPr>
      <w:r>
        <w:t xml:space="preserve">The repeat boundaries </w:t>
      </w:r>
      <w:r>
        <w:rPr>
          <w:i/>
          <w:iCs/>
        </w:rPr>
        <w:t>r</w:t>
      </w:r>
      <w:r>
        <w:t xml:space="preserve">₁ and </w:t>
      </w:r>
      <w:r>
        <w:rPr>
          <w:i/>
          <w:iCs/>
        </w:rPr>
        <w:t>r</w:t>
      </w:r>
      <w:r>
        <w:t xml:space="preserve">₂ are user-adjustable through three keyboard shortcuts (M, [, ]) for live calibration against the actual recording, and the calibrated values are persisted in </w:t>
      </w:r>
      <w:r>
        <w:rPr>
          <w:rStyle w:val="VerbatimChar"/>
        </w:rPr>
        <w:t>localStorage</w:t>
      </w:r>
      <w:r>
        <w:t>. The fold is therefore robust to the wide variance in recording-specific repeat timings observed across the K. 545 discography, and the same folding scheme transfers without modification to any sonata-form work with a marked exposition repeat.</w:t>
      </w:r>
    </w:p>
    <w:p w14:paraId="111848EB" w14:textId="77777777" w:rsidR="0007716E" w:rsidRDefault="008F6710">
      <w:pPr>
        <w:pStyle w:val="a0"/>
      </w:pPr>
      <w:r>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111848EC" w14:textId="77777777" w:rsidR="0007716E" w:rsidRDefault="008F6710">
      <w:pPr>
        <w:pStyle w:val="1"/>
      </w:pPr>
      <w:bookmarkStart w:id="26" w:name="a-classroom-walk-through"/>
      <w:bookmarkEnd w:id="19"/>
      <w:bookmarkEnd w:id="25"/>
      <w:r>
        <w:t>5. A Classroom Walk-Through</w:t>
      </w:r>
    </w:p>
    <w:p w14:paraId="111848ED" w14:textId="77777777" w:rsidR="0007716E" w:rsidRDefault="008F6710">
      <w:pPr>
        <w:pStyle w:val="FirstParagraph"/>
      </w:pPr>
      <w:r>
        <w:t>This section illustrates how a teacher using the tool might surface the analytical claims of §3.3 in a single 30-minute class meeting.</w:t>
      </w:r>
    </w:p>
    <w:p w14:paraId="111848EE" w14:textId="77777777" w:rsidR="0007716E" w:rsidRDefault="008F6710">
      <w:pPr>
        <w:pStyle w:val="2"/>
      </w:pPr>
      <w:bookmarkStart w:id="27" w:name="first-hearing-5-minutes"/>
      <w:r>
        <w:lastRenderedPageBreak/>
        <w:t>5.1 First Hearing (5 minutes)</w:t>
      </w:r>
    </w:p>
    <w:p w14:paraId="111848EF" w14:textId="77777777" w:rsidR="0007716E" w:rsidRDefault="008F6710">
      <w:pPr>
        <w:pStyle w:val="FirstParagraph"/>
      </w:pPr>
      <w:r>
        <w:t xml:space="preserve">The teacher opens the tool with the audio loaded and </w:t>
      </w:r>
      <w:r>
        <w:rPr>
          <w:i/>
          <w:iCs/>
        </w:rPr>
        <w:t>color visualization disabled</w:t>
      </w:r>
      <w:r>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that the music </w:t>
      </w:r>
      <w:r>
        <w:rPr>
          <w:i/>
          <w:iCs/>
        </w:rPr>
        <w:t>returns to the same material</w:t>
      </w:r>
      <w:r>
        <w:t xml:space="preserve"> approximately one minute in.</w:t>
      </w:r>
    </w:p>
    <w:p w14:paraId="111848F0" w14:textId="77777777" w:rsidR="0007716E" w:rsidRDefault="008F6710">
      <w:pPr>
        <w:pStyle w:val="2"/>
      </w:pPr>
      <w:bookmarkStart w:id="28" w:name="X2ddb6c68b882bbc8848c4c15d8d9979b4cd9ae2"/>
      <w:bookmarkEnd w:id="27"/>
      <w:r>
        <w:t>5.2 Color Reveal and Section Identification (8 minutes)</w:t>
      </w:r>
    </w:p>
    <w:p w14:paraId="111848F1" w14:textId="77777777" w:rsidR="0007716E" w:rsidRDefault="008F6710">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111848F2" w14:textId="77777777" w:rsidR="0007716E" w:rsidRDefault="008F6710">
      <w:pPr>
        <w:pStyle w:val="2"/>
      </w:pPr>
      <w:bookmarkStart w:id="29" w:name="exposition-p-and-s-5-minutes"/>
      <w:bookmarkEnd w:id="28"/>
      <w:r>
        <w:t>5.3 Exposition P and S (5 minutes)</w:t>
      </w:r>
    </w:p>
    <w:p w14:paraId="111848F3" w14:textId="77777777" w:rsidR="0007716E" w:rsidRDefault="008F6710">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111848F4" w14:textId="77777777" w:rsidR="0007716E" w:rsidRDefault="008F6710">
      <w:pPr>
        <w:pStyle w:val="2"/>
      </w:pPr>
      <w:bookmarkStart w:id="30" w:name="X38274047bc23f08e8729b0fdf0da1c2ed7905f1"/>
      <w:bookmarkEnd w:id="29"/>
      <w:r>
        <w:lastRenderedPageBreak/>
        <w:t>5.4 The Critical Moment: Recapitulation P (8 minutes)</w:t>
      </w:r>
    </w:p>
    <w:p w14:paraId="111848F5" w14:textId="77777777" w:rsidR="0007716E" w:rsidRDefault="008F6710">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111848F6" w14:textId="77777777" w:rsidR="0007716E" w:rsidRDefault="008F6710">
      <w:pPr>
        <w:pStyle w:val="Compact"/>
        <w:numPr>
          <w:ilvl w:val="0"/>
          <w:numId w:val="12"/>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111848F7" w14:textId="77777777" w:rsidR="0007716E" w:rsidRDefault="008F6710">
      <w:pPr>
        <w:pStyle w:val="Compact"/>
        <w:numPr>
          <w:ilvl w:val="0"/>
          <w:numId w:val="12"/>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111848F8" w14:textId="77777777" w:rsidR="0007716E" w:rsidRDefault="008F6710">
      <w:pPr>
        <w:pStyle w:val="2"/>
      </w:pPr>
      <w:bookmarkStart w:id="31" w:name="synthesis-4-minutes"/>
      <w:bookmarkEnd w:id="30"/>
      <w:r>
        <w:t>5.5 Synthesis (4 minutes)</w:t>
      </w:r>
    </w:p>
    <w:p w14:paraId="111848F9" w14:textId="77777777" w:rsidR="0007716E" w:rsidRDefault="008F6710">
      <w:pPr>
        <w:pStyle w:val="FirstParagraph"/>
      </w:pPr>
      <w:r>
        <w:t>The teacher displays the schematic comparison:</w:t>
      </w:r>
    </w:p>
    <w:p w14:paraId="111848FA" w14:textId="77777777" w:rsidR="0007716E" w:rsidRDefault="008F6710">
      <w:pPr>
        <w:pStyle w:val="a8"/>
      </w:pPr>
      <w:r>
        <w:t xml:space="preserve">Exposition: P in C → S in G </w:t>
      </w:r>
      <w:r>
        <w:rPr>
          <w:i/>
          <w:iCs/>
        </w:rPr>
        <w:t>(I → V, motion of a fifth up)</w:t>
      </w:r>
      <w:r>
        <w:t xml:space="preserve"> Recapitulation: P in F → S in C </w:t>
      </w:r>
      <w:r>
        <w:rPr>
          <w:i/>
          <w:iCs/>
        </w:rPr>
        <w:t>(IV → I, motion of a fifth up)</w:t>
      </w:r>
    </w:p>
    <w:p w14:paraId="111848FB" w14:textId="77777777" w:rsidR="0007716E" w:rsidRDefault="008F6710">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and the class, having seen S land safely in C, has the materials to answer.</w:t>
      </w:r>
    </w:p>
    <w:p w14:paraId="111848FC" w14:textId="77777777" w:rsidR="0007716E" w:rsidRDefault="008F6710">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111848FD" w14:textId="77777777" w:rsidR="0007716E" w:rsidRDefault="008F6710">
      <w:pPr>
        <w:pStyle w:val="1"/>
      </w:pPr>
      <w:bookmarkStart w:id="32" w:name="preliminary-single-expert-pilot-review"/>
      <w:bookmarkEnd w:id="26"/>
      <w:bookmarkEnd w:id="31"/>
      <w:r>
        <w:t>6. Preliminary Single-Expert Pilot Review</w:t>
      </w:r>
    </w:p>
    <w:p w14:paraId="111848FE" w14:textId="77777777" w:rsidR="0007716E" w:rsidRDefault="008F6710">
      <w:pPr>
        <w:pStyle w:val="FirstParagraph"/>
      </w:pPr>
      <w:r>
        <w:t xml:space="preserve">Empirical validation of the tool’s pedagogical claims through a full randomized controlled trial with undergraduate music-education learners is reserved for follow-up work (§7.3). As a </w:t>
      </w:r>
      <w:r>
        <w:rPr>
          <w:i/>
          <w:iCs/>
        </w:rPr>
        <w:t>preliminary</w:t>
      </w:r>
      <w:r>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 not as a generalizable expert panel — and the limitations of an n=1 design are discussed in §6.5.</w:t>
      </w:r>
    </w:p>
    <w:p w14:paraId="111848FF" w14:textId="77777777" w:rsidR="0007716E" w:rsidRDefault="008F6710">
      <w:pPr>
        <w:pStyle w:val="2"/>
      </w:pPr>
      <w:bookmarkStart w:id="33" w:name="method"/>
      <w:r>
        <w:t>6.1 Method</w:t>
      </w:r>
    </w:p>
    <w:p w14:paraId="11184900" w14:textId="77777777" w:rsidR="0007716E" w:rsidRDefault="008F6710">
      <w:pPr>
        <w:pStyle w:val="FirstParagraph"/>
      </w:pPr>
      <w:r>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t>SUS items were translated to Korean by the author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w:t>
      </w:r>
    </w:p>
    <w:p w14:paraId="11184901" w14:textId="77777777" w:rsidR="0007716E" w:rsidRDefault="008F6710">
      <w:pPr>
        <w:pStyle w:val="a0"/>
      </w:pPr>
      <w:r>
        <w:t>The study was treated as expert evaluation rather than human- subjects research; consequently no formal IRB approval was required by the host institution.</w:t>
      </w:r>
    </w:p>
    <w:p w14:paraId="11184902" w14:textId="77777777" w:rsidR="0007716E" w:rsidRDefault="008F6710">
      <w:pPr>
        <w:pStyle w:val="2"/>
      </w:pPr>
      <w:bookmarkStart w:id="34" w:name="sus-result"/>
      <w:bookmarkEnd w:id="33"/>
      <w:r>
        <w:t>6.2 SUS result</w:t>
      </w:r>
    </w:p>
    <w:p w14:paraId="11184903" w14:textId="77777777" w:rsidR="0007716E" w:rsidRDefault="008F6710">
      <w:pPr>
        <w:pStyle w:val="FirstParagraph"/>
      </w:pPr>
      <w:r>
        <w:rPr>
          <w:b/>
          <w:bCs/>
        </w:rPr>
        <w:t>Table 4.</w:t>
      </w:r>
      <w:r>
        <w:t xml:space="preserve"> SUS response from the single-expert reviewer.</w:t>
      </w:r>
    </w:p>
    <w:tbl>
      <w:tblPr>
        <w:tblStyle w:val="Table"/>
        <w:tblW w:w="0" w:type="auto"/>
        <w:jc w:val="center"/>
        <w:tblLook w:val="0020" w:firstRow="1" w:lastRow="0" w:firstColumn="0" w:lastColumn="0" w:noHBand="0" w:noVBand="0"/>
      </w:tblPr>
      <w:tblGrid>
        <w:gridCol w:w="3247"/>
        <w:gridCol w:w="1451"/>
      </w:tblGrid>
      <w:tr w:rsidR="0007716E" w:rsidRPr="00F220FF" w14:paraId="11184906" w14:textId="77777777" w:rsidTr="00F220F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1184904" w14:textId="77777777" w:rsidR="0007716E" w:rsidRPr="00F220FF" w:rsidRDefault="0007716E" w:rsidP="00F220FF">
            <w:pPr>
              <w:pStyle w:val="Compact"/>
              <w:spacing w:line="240" w:lineRule="auto"/>
              <w:rPr>
                <w:b/>
                <w:sz w:val="22"/>
              </w:rPr>
            </w:pPr>
          </w:p>
        </w:tc>
        <w:tc>
          <w:tcPr>
            <w:tcW w:w="0" w:type="auto"/>
            <w:tcBorders>
              <w:bottom w:val="single" w:sz="2" w:space="0" w:color="auto"/>
            </w:tcBorders>
            <w:shd w:val="clear" w:color="auto" w:fill="EBEBEB"/>
          </w:tcPr>
          <w:p w14:paraId="11184905" w14:textId="77777777" w:rsidR="0007716E" w:rsidRPr="00F220FF" w:rsidRDefault="008F6710" w:rsidP="00F220FF">
            <w:pPr>
              <w:pStyle w:val="Compact"/>
              <w:spacing w:line="240" w:lineRule="auto"/>
              <w:rPr>
                <w:b/>
                <w:sz w:val="22"/>
              </w:rPr>
            </w:pPr>
            <w:r w:rsidRPr="00F220FF">
              <w:rPr>
                <w:b/>
                <w:sz w:val="22"/>
              </w:rPr>
              <w:t>Expert</w:t>
            </w:r>
          </w:p>
        </w:tc>
      </w:tr>
      <w:tr w:rsidR="0007716E" w:rsidRPr="00F220FF" w14:paraId="11184909" w14:textId="77777777" w:rsidTr="00F220FF">
        <w:trPr>
          <w:jc w:val="center"/>
        </w:trPr>
        <w:tc>
          <w:tcPr>
            <w:tcW w:w="0" w:type="auto"/>
            <w:tcBorders>
              <w:top w:val="single" w:sz="2" w:space="0" w:color="auto"/>
            </w:tcBorders>
          </w:tcPr>
          <w:p w14:paraId="11184907" w14:textId="77777777" w:rsidR="0007716E" w:rsidRPr="00F220FF" w:rsidRDefault="008F6710" w:rsidP="00F220FF">
            <w:pPr>
              <w:pStyle w:val="Compact"/>
              <w:spacing w:line="240" w:lineRule="auto"/>
              <w:rPr>
                <w:sz w:val="22"/>
              </w:rPr>
            </w:pPr>
            <w:r w:rsidRPr="00F220FF">
              <w:rPr>
                <w:sz w:val="22"/>
              </w:rPr>
              <w:t>Items 1, 3, 5, 7, 9 (positive, raw)</w:t>
            </w:r>
          </w:p>
        </w:tc>
        <w:tc>
          <w:tcPr>
            <w:tcW w:w="0" w:type="auto"/>
            <w:tcBorders>
              <w:top w:val="single" w:sz="2" w:space="0" w:color="auto"/>
            </w:tcBorders>
          </w:tcPr>
          <w:p w14:paraId="11184908" w14:textId="77777777" w:rsidR="0007716E" w:rsidRPr="00F220FF" w:rsidRDefault="008F6710" w:rsidP="00F220FF">
            <w:pPr>
              <w:pStyle w:val="Compact"/>
              <w:spacing w:line="240" w:lineRule="auto"/>
              <w:rPr>
                <w:sz w:val="22"/>
              </w:rPr>
            </w:pPr>
            <w:r w:rsidRPr="00F220FF">
              <w:rPr>
                <w:sz w:val="22"/>
              </w:rPr>
              <w:t>5 / 5 / 5 / 5 / 5</w:t>
            </w:r>
          </w:p>
        </w:tc>
      </w:tr>
      <w:tr w:rsidR="0007716E" w:rsidRPr="00F220FF" w14:paraId="1118490C" w14:textId="77777777" w:rsidTr="00F220FF">
        <w:trPr>
          <w:jc w:val="center"/>
        </w:trPr>
        <w:tc>
          <w:tcPr>
            <w:tcW w:w="0" w:type="auto"/>
          </w:tcPr>
          <w:p w14:paraId="1118490A" w14:textId="77777777" w:rsidR="0007716E" w:rsidRPr="00F220FF" w:rsidRDefault="008F6710" w:rsidP="00F220FF">
            <w:pPr>
              <w:pStyle w:val="Compact"/>
              <w:spacing w:line="240" w:lineRule="auto"/>
              <w:rPr>
                <w:sz w:val="22"/>
              </w:rPr>
            </w:pPr>
            <w:r w:rsidRPr="00F220FF">
              <w:rPr>
                <w:sz w:val="22"/>
              </w:rPr>
              <w:t>Items 2, 4, 6, 8, 10 (negative, raw)</w:t>
            </w:r>
          </w:p>
        </w:tc>
        <w:tc>
          <w:tcPr>
            <w:tcW w:w="0" w:type="auto"/>
          </w:tcPr>
          <w:p w14:paraId="1118490B" w14:textId="77777777" w:rsidR="0007716E" w:rsidRPr="00F220FF" w:rsidRDefault="008F6710" w:rsidP="00F220FF">
            <w:pPr>
              <w:pStyle w:val="Compact"/>
              <w:spacing w:line="240" w:lineRule="auto"/>
              <w:rPr>
                <w:sz w:val="22"/>
              </w:rPr>
            </w:pPr>
            <w:r w:rsidRPr="00F220FF">
              <w:rPr>
                <w:sz w:val="22"/>
              </w:rPr>
              <w:t>1 / 1 / 1 / 1 / 1</w:t>
            </w:r>
          </w:p>
        </w:tc>
      </w:tr>
      <w:tr w:rsidR="0007716E" w:rsidRPr="00F220FF" w14:paraId="1118490F" w14:textId="77777777" w:rsidTr="00F220FF">
        <w:trPr>
          <w:jc w:val="center"/>
        </w:trPr>
        <w:tc>
          <w:tcPr>
            <w:tcW w:w="0" w:type="auto"/>
          </w:tcPr>
          <w:p w14:paraId="1118490D" w14:textId="77777777" w:rsidR="0007716E" w:rsidRPr="00F220FF" w:rsidRDefault="008F6710" w:rsidP="00F220FF">
            <w:pPr>
              <w:pStyle w:val="Compact"/>
              <w:spacing w:line="240" w:lineRule="auto"/>
              <w:rPr>
                <w:sz w:val="22"/>
              </w:rPr>
            </w:pPr>
            <w:r w:rsidRPr="00F220FF">
              <w:rPr>
                <w:sz w:val="22"/>
              </w:rPr>
              <w:t>Σ converted (each item = 4)</w:t>
            </w:r>
          </w:p>
        </w:tc>
        <w:tc>
          <w:tcPr>
            <w:tcW w:w="0" w:type="auto"/>
          </w:tcPr>
          <w:p w14:paraId="1118490E" w14:textId="77777777" w:rsidR="0007716E" w:rsidRPr="00F220FF" w:rsidRDefault="008F6710" w:rsidP="00F220FF">
            <w:pPr>
              <w:pStyle w:val="Compact"/>
              <w:spacing w:line="240" w:lineRule="auto"/>
              <w:rPr>
                <w:sz w:val="22"/>
              </w:rPr>
            </w:pPr>
            <w:r w:rsidRPr="00F220FF">
              <w:rPr>
                <w:sz w:val="22"/>
              </w:rPr>
              <w:t>40</w:t>
            </w:r>
          </w:p>
        </w:tc>
      </w:tr>
      <w:tr w:rsidR="0007716E" w:rsidRPr="00F220FF" w14:paraId="11184912" w14:textId="77777777" w:rsidTr="00F220FF">
        <w:trPr>
          <w:jc w:val="center"/>
        </w:trPr>
        <w:tc>
          <w:tcPr>
            <w:tcW w:w="0" w:type="auto"/>
          </w:tcPr>
          <w:p w14:paraId="11184910" w14:textId="77777777" w:rsidR="0007716E" w:rsidRPr="00F220FF" w:rsidRDefault="008F6710" w:rsidP="00F220FF">
            <w:pPr>
              <w:pStyle w:val="Compact"/>
              <w:spacing w:line="240" w:lineRule="auto"/>
              <w:rPr>
                <w:sz w:val="22"/>
              </w:rPr>
            </w:pPr>
            <w:r w:rsidRPr="00F220FF">
              <w:rPr>
                <w:b/>
                <w:bCs/>
                <w:sz w:val="22"/>
              </w:rPr>
              <w:t>SUS score (Σ × 2.5)</w:t>
            </w:r>
          </w:p>
        </w:tc>
        <w:tc>
          <w:tcPr>
            <w:tcW w:w="0" w:type="auto"/>
          </w:tcPr>
          <w:p w14:paraId="11184911" w14:textId="77777777" w:rsidR="0007716E" w:rsidRPr="00F220FF" w:rsidRDefault="008F6710" w:rsidP="00F220FF">
            <w:pPr>
              <w:pStyle w:val="Compact"/>
              <w:spacing w:line="240" w:lineRule="auto"/>
              <w:rPr>
                <w:sz w:val="22"/>
              </w:rPr>
            </w:pPr>
            <w:r w:rsidRPr="00F220FF">
              <w:rPr>
                <w:b/>
                <w:bCs/>
                <w:sz w:val="22"/>
              </w:rPr>
              <w:t>100 / 100</w:t>
            </w:r>
          </w:p>
        </w:tc>
      </w:tr>
    </w:tbl>
    <w:p w14:paraId="11184913" w14:textId="77777777" w:rsidR="0007716E" w:rsidRDefault="008F6710">
      <w:pPr>
        <w:pStyle w:val="a0"/>
      </w:pPr>
      <w:r>
        <w:t xml:space="preserve">The expert returned the maximum SUS score, with all positive items rated 5 and all negatively-worded (reverse-coded) items rated 1. We note two things about this pattern. First, the </w:t>
      </w:r>
      <w:r>
        <w:rPr>
          <w:i/>
          <w:iCs/>
        </w:rPr>
        <w:t>consistency</w:t>
      </w:r>
      <w:r>
        <w:t xml:space="preserve"> of the response (5 on every positive item, 1 on every negative item) is strong evidence that the expert correctly understood the bipolar scale; random responding would yield occasional 5s on negative items. Second, a single-expert SUS of 100 is informative but should not be over-interpreted: an n=1 sample of an expert evaluator predisposed to engage with classroom-tool design is not equivalent to a sampled learner population, and SUS norms drawn from learner data do not transfer to this case. We</w:t>
      </w:r>
      <w:r>
        <w:t xml:space="preserve"> therefore report the raw score and limit our claims accordingly.</w:t>
      </w:r>
    </w:p>
    <w:p w14:paraId="11184914" w14:textId="77777777" w:rsidR="0007716E" w:rsidRDefault="008F6710">
      <w:pPr>
        <w:pStyle w:val="2"/>
      </w:pPr>
      <w:bookmarkStart w:id="35" w:name="themes-from-the-qualitative-responses"/>
      <w:bookmarkEnd w:id="34"/>
      <w:r>
        <w:t>6.3 Themes from the qualitative responses</w:t>
      </w:r>
    </w:p>
    <w:p w14:paraId="11184915" w14:textId="77777777" w:rsidR="0007716E" w:rsidRDefault="008F6710">
      <w:pPr>
        <w:pStyle w:val="FirstParagraph"/>
      </w:pPr>
      <w:r>
        <w:t>Inductive coding of the six open-ended responses surfaced four themes.</w:t>
      </w:r>
    </w:p>
    <w:p w14:paraId="11184916" w14:textId="77777777" w:rsidR="0007716E" w:rsidRDefault="008F6710">
      <w:pPr>
        <w:pStyle w:val="3"/>
      </w:pPr>
      <w:bookmarkStart w:id="36" w:name="X5ff88f55d17f2712fcf3617c81bd35d58ae4440"/>
      <w:r>
        <w:t>6.3.1 Three-channel synchronization is the named source of value</w:t>
      </w:r>
    </w:p>
    <w:p w14:paraId="11184917" w14:textId="77777777" w:rsidR="0007716E" w:rsidRDefault="008F6710">
      <w:pPr>
        <w:pStyle w:val="FirstParagraph"/>
      </w:pPr>
      <w:r>
        <w:t xml:space="preserve">Both the </w:t>
      </w:r>
      <w:r>
        <w:rPr>
          <w:i/>
          <w:iCs/>
        </w:rPr>
        <w:t>pedagogical fidelity</w:t>
      </w:r>
      <w:r>
        <w:t xml:space="preserve"> question (C1) and the </w:t>
      </w:r>
      <w:r>
        <w:rPr>
          <w:i/>
          <w:iCs/>
        </w:rPr>
        <w:t>most valuable affordance</w:t>
      </w:r>
      <w:r>
        <w:t xml:space="preserve"> question (C2) drew the same answer pattern. To the fidelity question the expert responded “</w:t>
      </w:r>
      <w:r>
        <w:rPr>
          <w:i/>
          <w:iCs/>
        </w:rPr>
        <w:t>Yes, because color is shown, music is played, and they are displayed together with the score.</w:t>
      </w:r>
      <w:r>
        <w:t>” (C1); to the affordance question, “</w:t>
      </w:r>
      <w:r>
        <w:rPr>
          <w:i/>
          <w:iCs/>
        </w:rPr>
        <w:t>The function of being able to check sections via the score while hearing color and music in real time.</w:t>
      </w:r>
      <w:r>
        <w:t>” (C2). The expert did not single out any individual affordance from the list provided (color encoding, section jump, loo</w:t>
      </w:r>
      <w:r>
        <w:t xml:space="preserve">p, playback-speed control, keyboard shortcuts, demo mode, analysis pane); the </w:t>
      </w:r>
      <w:r>
        <w:rPr>
          <w:i/>
          <w:iCs/>
        </w:rPr>
        <w:t>integration</w:t>
      </w:r>
      <w:r>
        <w:t xml:space="preserve"> of color, audio, and score was itself identified as the locus of value. This converges with the design claim of §4.1 that the tool’s principal pedagogical contribution is the </w:t>
      </w:r>
      <w:r>
        <w:rPr>
          <w:i/>
          <w:iCs/>
        </w:rPr>
        <w:t>coordinated update</w:t>
      </w:r>
      <w:r>
        <w:t xml:space="preserve"> of three representations rather than any single one.</w:t>
      </w:r>
    </w:p>
    <w:p w14:paraId="11184918" w14:textId="77777777" w:rsidR="0007716E" w:rsidRDefault="008F6710">
      <w:pPr>
        <w:pStyle w:val="3"/>
      </w:pPr>
      <w:bookmarkStart w:id="37" w:name="X8a9c53c9b4a72d12d6d05550b44e32ff2ca7e79"/>
      <w:bookmarkEnd w:id="36"/>
      <w:r>
        <w:t>6.3.2 No learner-misconception risks identified by the expert</w:t>
      </w:r>
    </w:p>
    <w:p w14:paraId="11184919" w14:textId="77777777" w:rsidR="0007716E" w:rsidRDefault="008F6710">
      <w:pPr>
        <w:pStyle w:val="FirstParagraph"/>
      </w:pPr>
      <w:r>
        <w:t>In response to the misconception-risk question (C3) the expert indicated they did not perceive any (</w:t>
      </w:r>
      <w:r>
        <w:rPr>
          <w:i/>
          <w:iCs/>
        </w:rPr>
        <w:t>“There seem to be none.”</w:t>
      </w:r>
      <w:r>
        <w:t xml:space="preserve">). We read this both as a positive indication that the expert, with fifteen years of field experience, did not identify any obvious visualization-induced misunderstanding pathway, and as a hypothesis to be tested in the planned RCT rather than a confirmed null. An expert’s </w:t>
      </w:r>
      <w:r>
        <w:rPr>
          <w:i/>
          <w:iCs/>
        </w:rPr>
        <w:t>prediction</w:t>
      </w:r>
      <w:r>
        <w:t xml:space="preserve"> of no risk is not equivalent to a learner study failing to detect risk.</w:t>
      </w:r>
    </w:p>
    <w:p w14:paraId="1118491A" w14:textId="77777777" w:rsidR="0007716E" w:rsidRDefault="008F6710">
      <w:pPr>
        <w:pStyle w:val="3"/>
      </w:pPr>
      <w:bookmarkStart w:id="38" w:name="two-concrete-design-recommendations"/>
      <w:bookmarkEnd w:id="37"/>
      <w:r>
        <w:t>6.3.3 Two concrete design recommendations</w:t>
      </w:r>
    </w:p>
    <w:p w14:paraId="1118491B" w14:textId="77777777" w:rsidR="0007716E" w:rsidRDefault="008F6710">
      <w:pPr>
        <w:pStyle w:val="FirstParagraph"/>
      </w:pPr>
      <w:r>
        <w:t>The expert proposed two specific extensions:</w:t>
      </w:r>
    </w:p>
    <w:p w14:paraId="1118491C" w14:textId="77777777" w:rsidR="0007716E" w:rsidRDefault="008F6710">
      <w:pPr>
        <w:pStyle w:val="Compact"/>
        <w:numPr>
          <w:ilvl w:val="0"/>
          <w:numId w:val="13"/>
        </w:numPr>
      </w:pPr>
      <w:r>
        <w:rPr>
          <w:b/>
          <w:bCs/>
        </w:rPr>
        <w:t>Within-section harmonic detail.</w:t>
      </w:r>
      <w:r>
        <w:t xml:space="preserve"> “</w:t>
      </w:r>
      <w:r>
        <w:rPr>
          <w:i/>
          <w:iCs/>
        </w:rPr>
        <w:t>It would be better if the chord movements were shown in detail.</w:t>
      </w:r>
      <w:r>
        <w:t>” (C4). The current tool displays section- and theme-zone-level key labels (e.g., “C major” / “G major” / “F major”) but does not surface internal chord-by-chord progressions. The expert’s recommendation is that chord-level harmonic motion be added as a finer visualization layer in a future revision.</w:t>
      </w:r>
    </w:p>
    <w:p w14:paraId="1118491D" w14:textId="77777777" w:rsidR="0007716E" w:rsidRDefault="008F6710">
      <w:pPr>
        <w:pStyle w:val="Compact"/>
        <w:numPr>
          <w:ilvl w:val="0"/>
          <w:numId w:val="13"/>
        </w:numPr>
      </w:pPr>
      <w:r>
        <w:rPr>
          <w:b/>
          <w:bCs/>
        </w:rPr>
        <w:t>Whole-piece interface affordance.</w:t>
      </w:r>
      <w:r>
        <w:t xml:space="preserve"> In response to the RCT-methodology question (C6) the expert returned a design suggestion rather than a methodology suggestion: “</w:t>
      </w:r>
      <w:r>
        <w:rPr>
          <w:i/>
          <w:iCs/>
        </w:rPr>
        <w:t>It would be good if one piece and the interface screen could be viewed as a whole.</w:t>
      </w:r>
      <w:r>
        <w:t>” We read this as a request for a more whole-piece visual summary affordance — for instance an always-visible mini-map of the form alongside the (currently scrollable) score.</w:t>
      </w:r>
    </w:p>
    <w:p w14:paraId="1118491E" w14:textId="77777777" w:rsidR="0007716E" w:rsidRDefault="008F6710">
      <w:pPr>
        <w:pStyle w:val="FirstParagraph"/>
      </w:pPr>
      <w:r>
        <w:t xml:space="preserve">That a methodology question was answered with a design recommendation is itself a finding: an experienced field expert’s instinct, on encountering a teaching tool, is to think about </w:t>
      </w:r>
      <w:r>
        <w:rPr>
          <w:i/>
          <w:iCs/>
        </w:rPr>
        <w:t>how to extend the tool</w:t>
      </w:r>
      <w:r>
        <w:t xml:space="preserve"> rather than </w:t>
      </w:r>
      <w:r>
        <w:rPr>
          <w:i/>
          <w:iCs/>
        </w:rPr>
        <w:t>how to instrument a study around it</w:t>
      </w:r>
      <w:r>
        <w:t>.</w:t>
      </w:r>
    </w:p>
    <w:p w14:paraId="1118491F" w14:textId="77777777" w:rsidR="0007716E" w:rsidRDefault="008F6710">
      <w:pPr>
        <w:pStyle w:val="3"/>
      </w:pPr>
      <w:bookmarkStart w:id="39" w:name="X4b3be466686d378388712ff3ac02bda7cc4d1c3"/>
      <w:bookmarkEnd w:id="38"/>
      <w:r>
        <w:t>6.3.4 Multi-piece extension and real-world deployment endorsed</w:t>
      </w:r>
    </w:p>
    <w:p w14:paraId="11184920" w14:textId="77777777" w:rsidR="0007716E" w:rsidRDefault="008F6710">
      <w:pPr>
        <w:pStyle w:val="FirstParagraph"/>
      </w:pPr>
      <w:r>
        <w:t>To the question of single-work depth versus multi-piece breadth (C5) the expert responded “</w:t>
      </w:r>
      <w:r>
        <w:rPr>
          <w:i/>
          <w:iCs/>
        </w:rPr>
        <w:t>If there were diverse works, I would actively use them.</w:t>
      </w:r>
      <w:r>
        <w:t>” The verb is significant: not “could use” but “actively use.” In an optional open-comment field at the end of the survey the expert added, unprompted, “</w:t>
      </w:r>
      <w:r>
        <w:rPr>
          <w:i/>
          <w:iCs/>
        </w:rPr>
        <w:t>Personally, I hope this program is expanded and turned into a real, deployable tool.</w:t>
      </w:r>
      <w:r>
        <w:t xml:space="preserve">” The two statements together signal a single underlying judgement: that the tool’s current single-work form is a </w:t>
      </w:r>
      <w:r>
        <w:rPr>
          <w:i/>
          <w:iCs/>
        </w:rPr>
        <w:t>demonstration artefact</w:t>
      </w:r>
      <w:r>
        <w:t>, and that the expert’s field practice would benefit from its maturation into a mult</w:t>
      </w:r>
      <w:r>
        <w:t>i-work, deployment-grade resource. This converges with — and elevates the priority of — the multi-piece dataset already listed as future work in §7 (Beethoven Op. 49 No. 2 mvt. I and Clementi Op. 36 No. 1 mvt. I, encoded against the same JSON schema), and motivates a parallel commitment to production-readiness (documentation, classroom packaging, teacher- facing materials) beyond the research prototype reported here.</w:t>
      </w:r>
    </w:p>
    <w:p w14:paraId="11184921" w14:textId="77777777" w:rsidR="0007716E" w:rsidRDefault="008F6710">
      <w:pPr>
        <w:pStyle w:val="2"/>
      </w:pPr>
      <w:bookmarkStart w:id="40" w:name="Xa84ed316009f2bbb6f4ec2e84d740889d5d5e81"/>
      <w:bookmarkEnd w:id="35"/>
      <w:bookmarkEnd w:id="39"/>
      <w:r>
        <w:t>6.4 Implications for the planned RCT and the tool roadmap</w:t>
      </w:r>
    </w:p>
    <w:p w14:paraId="11184922" w14:textId="77777777" w:rsidR="0007716E" w:rsidRDefault="008F6710">
      <w:pPr>
        <w:pStyle w:val="FirstParagraph"/>
      </w:pPr>
      <w:r>
        <w:t>Three concrete revisions follow from the pilot.</w:t>
      </w:r>
    </w:p>
    <w:p w14:paraId="11184923" w14:textId="77777777" w:rsidR="0007716E" w:rsidRDefault="008F6710">
      <w:pPr>
        <w:pStyle w:val="Compact"/>
        <w:numPr>
          <w:ilvl w:val="0"/>
          <w:numId w:val="14"/>
        </w:numPr>
      </w:pPr>
      <w:r>
        <w:rPr>
          <w:b/>
          <w:bCs/>
        </w:rPr>
        <w:t>RCT primary measure to include “perceived integration”</w:t>
      </w:r>
      <w:r>
        <w:t xml:space="preserve"> — a confidence/integration rating in addition to formal-identification accuracy and SUS. The single-expert response suggests that the </w:t>
      </w:r>
      <w:r>
        <w:rPr>
          <w:i/>
          <w:iCs/>
        </w:rPr>
        <w:t>experience of three-channel synchronization</w:t>
      </w:r>
      <w:r>
        <w:t xml:space="preserve"> may be a distinct construct that learners can rate independently of accuracy and usability. This will be added to the RCT protocol.</w:t>
      </w:r>
    </w:p>
    <w:p w14:paraId="11184924" w14:textId="77777777" w:rsidR="0007716E" w:rsidRDefault="008F6710">
      <w:pPr>
        <w:pStyle w:val="Compact"/>
        <w:numPr>
          <w:ilvl w:val="0"/>
          <w:numId w:val="14"/>
        </w:numPr>
      </w:pPr>
      <w:r>
        <w:rPr>
          <w:b/>
          <w:bCs/>
        </w:rPr>
        <w:t>Pre-RCT tool extension: chord-level harmonic layer.</w:t>
      </w:r>
      <w:r>
        <w:t xml:space="preserve"> The expert’s C4 recommendation will be incorporated into a v0.2.0 release before the RCT, so that the RCT evaluates the version the expert thought </w:t>
      </w:r>
      <w:r>
        <w:rPr>
          <w:i/>
          <w:iCs/>
        </w:rPr>
        <w:t>should exist</w:t>
      </w:r>
      <w:r>
        <w:t>, not the more limited v0.1.0.</w:t>
      </w:r>
    </w:p>
    <w:p w14:paraId="11184925" w14:textId="77777777" w:rsidR="0007716E" w:rsidRDefault="008F6710">
      <w:pPr>
        <w:pStyle w:val="Compact"/>
        <w:numPr>
          <w:ilvl w:val="0"/>
          <w:numId w:val="14"/>
        </w:numPr>
      </w:pPr>
      <w:r>
        <w:rPr>
          <w:b/>
          <w:bCs/>
        </w:rPr>
        <w:t>Multi-piece corpus prioritised.</w:t>
      </w:r>
      <w:r>
        <w:t xml:space="preserve"> Per the C5 endorsement, </w:t>
      </w:r>
      <w:r>
        <w:t xml:space="preserve">Beethoven Op. 49 No. 2 mvt. I and Clementi Op. 36 No. 1 mvt. I will be added to the corpus </w:t>
      </w:r>
      <w:r>
        <w:rPr>
          <w:i/>
          <w:iCs/>
        </w:rPr>
        <w:t>before</w:t>
      </w:r>
      <w:r>
        <w:t xml:space="preserve"> the RCT rather than as post-RCT future work, so the trial can also assess single-work-deep versus multi-piece-comparative conditions.</w:t>
      </w:r>
    </w:p>
    <w:p w14:paraId="11184926" w14:textId="77777777" w:rsidR="0007716E" w:rsidRDefault="008F6710">
      <w:pPr>
        <w:pStyle w:val="Compact"/>
        <w:numPr>
          <w:ilvl w:val="0"/>
          <w:numId w:val="14"/>
        </w:numPr>
      </w:pPr>
      <w:r>
        <w:rPr>
          <w:b/>
          <w:bCs/>
        </w:rPr>
        <w:t>Production-readiness track in parallel.</w:t>
      </w:r>
      <w:r>
        <w:t xml:space="preserve"> The expert’s unprompted comment that the tool should “</w:t>
      </w:r>
      <w:r>
        <w:rPr>
          <w:i/>
          <w:iCs/>
        </w:rPr>
        <w:t>become a real, deployable tool</w:t>
      </w:r>
      <w:r>
        <w:t>” frames a separate engineering track alongside the research RCT: documentation for non-author teachers, classroom packaging (offline-installable bundle, printable reference card), and a teacher-facing v1.0 release that does not depend on the live deployment URL.</w:t>
      </w:r>
    </w:p>
    <w:p w14:paraId="11184927" w14:textId="77777777" w:rsidR="0007716E" w:rsidRDefault="008F6710">
      <w:pPr>
        <w:pStyle w:val="2"/>
      </w:pPr>
      <w:bookmarkStart w:id="41" w:name="limitations-of-this-pilot"/>
      <w:bookmarkEnd w:id="40"/>
      <w:r>
        <w:t>6.5 Limitations of this pilot</w:t>
      </w:r>
    </w:p>
    <w:p w14:paraId="11184928" w14:textId="77777777" w:rsidR="0007716E" w:rsidRDefault="008F6710">
      <w:pPr>
        <w:pStyle w:val="FirstParagraph"/>
      </w:pPr>
      <w:r>
        <w:t xml:space="preserve">This is a single-expert pilot review, not a generalizable empirical study. Its findings function as </w:t>
      </w:r>
      <w:r>
        <w:rPr>
          <w:i/>
          <w:iCs/>
        </w:rPr>
        <w:t>design-stage validation</w:t>
      </w:r>
      <w:r>
        <w:t xml:space="preserve"> and as input to refining the planned RCT, not as evidence of learner outcomes. We list the limitations explicitly:</w:t>
      </w:r>
    </w:p>
    <w:p w14:paraId="11184929" w14:textId="77777777" w:rsidR="0007716E" w:rsidRDefault="008F6710">
      <w:pPr>
        <w:pStyle w:val="Compact"/>
        <w:numPr>
          <w:ilvl w:val="0"/>
          <w:numId w:val="15"/>
        </w:numPr>
      </w:pPr>
      <w:r>
        <w:rPr>
          <w:b/>
          <w:bCs/>
        </w:rPr>
        <w:t>n = 1.</w:t>
      </w:r>
      <w:r>
        <w:t xml:space="preserve"> A single expert cannot characterize the distribution of expert opinion on this tool. The four themes reported in §6.3 should be read as </w:t>
      </w:r>
      <w:r>
        <w:rPr>
          <w:i/>
          <w:iCs/>
        </w:rPr>
        <w:t>hypotheses generated by one informed observer</w:t>
      </w:r>
      <w:r>
        <w:t>, not as patterns across a community of experts.</w:t>
      </w:r>
    </w:p>
    <w:p w14:paraId="1118492A" w14:textId="77777777" w:rsidR="0007716E" w:rsidRDefault="008F6710">
      <w:pPr>
        <w:pStyle w:val="Compact"/>
        <w:numPr>
          <w:ilvl w:val="0"/>
          <w:numId w:val="15"/>
        </w:numPr>
      </w:pPr>
      <w:r>
        <w:rPr>
          <w:b/>
          <w:bCs/>
        </w:rPr>
        <w:t>Maximum SUS score.</w:t>
      </w:r>
      <w:r>
        <w:t xml:space="preserve"> The SUS of 100 is consistent across the ten items but indicates that this individual expert was strongly positively disposed toward the tool. We do not claim that learner SUS distributions will resemble this.</w:t>
      </w:r>
    </w:p>
    <w:p w14:paraId="1118492B" w14:textId="77777777" w:rsidR="0007716E" w:rsidRDefault="008F6710">
      <w:pPr>
        <w:pStyle w:val="Compact"/>
        <w:numPr>
          <w:ilvl w:val="0"/>
          <w:numId w:val="15"/>
        </w:numPr>
      </w:pPr>
      <w:r>
        <w:rPr>
          <w:b/>
          <w:bCs/>
        </w:rPr>
        <w:t>Brief responses.</w:t>
      </w:r>
      <w:r>
        <w:t xml:space="preserve"> All six open-ended responses are short. This prevents the deeper thematic-analytic moves (cross-question triangulation, contradiction-spotting) that a richer interview protocol would have enabled. The responses still function as signal, but signal at lower bandwidth than a fully interviewed expert panel would supply.</w:t>
      </w:r>
    </w:p>
    <w:p w14:paraId="1118492C" w14:textId="77777777" w:rsidR="0007716E" w:rsidRDefault="008F6710">
      <w:pPr>
        <w:pStyle w:val="Compact"/>
        <w:numPr>
          <w:ilvl w:val="0"/>
          <w:numId w:val="15"/>
        </w:numPr>
      </w:pPr>
      <w:r>
        <w:rPr>
          <w:b/>
          <w:bCs/>
        </w:rPr>
        <w:t>Expert orientation toward design, not methodology.</w:t>
      </w:r>
      <w:r>
        <w:t xml:space="preserve"> As noted in §6.3.3, the methodology question (C6) was answered with a design suggestion. We treat this as data about the expert’s professional orientation rather than as a deficit in the response, but it does mean the pilot yielded fewer methodological refinements for the RCT than initially hoped.</w:t>
      </w:r>
    </w:p>
    <w:p w14:paraId="1118492D" w14:textId="77777777" w:rsidR="0007716E" w:rsidRDefault="008F6710">
      <w:pPr>
        <w:pStyle w:val="Compact"/>
        <w:numPr>
          <w:ilvl w:val="0"/>
          <w:numId w:val="15"/>
        </w:numPr>
      </w:pPr>
      <w:r>
        <w:rPr>
          <w:b/>
          <w:bCs/>
        </w:rPr>
        <w:t>Pilot was self-administered.</w:t>
      </w:r>
      <w:r>
        <w:t xml:space="preserve"> The expert worked through the Word survey instrument in their own environment rather than in a researcher-moderated session. This permits the expert greater reflection but loses the live observation of confusions or workarounds that a moderated cognitive walkthrough would have captured.</w:t>
      </w:r>
    </w:p>
    <w:p w14:paraId="1118492E" w14:textId="77777777" w:rsidR="0007716E" w:rsidRDefault="008F6710">
      <w:pPr>
        <w:pStyle w:val="FirstParagraph"/>
      </w:pPr>
      <w:r>
        <w:t xml:space="preserve">These limitations are precisely why this pilot is reported as </w:t>
      </w:r>
      <w:r>
        <w:rPr>
          <w:i/>
          <w:iCs/>
        </w:rPr>
        <w:t>preliminary expert pilot review</w:t>
      </w:r>
      <w:r>
        <w:t xml:space="preserve"> rather than as expert validation. The RCT planned in §7.3 is the empirical study against which the tool’s pedagogical claims will properly be tested.</w:t>
      </w:r>
    </w:p>
    <w:p w14:paraId="1118492F" w14:textId="77777777" w:rsidR="0007716E" w:rsidRDefault="008F6710">
      <w:pPr>
        <w:pStyle w:val="1"/>
      </w:pPr>
      <w:bookmarkStart w:id="42" w:name="discussion"/>
      <w:bookmarkEnd w:id="32"/>
      <w:bookmarkEnd w:id="41"/>
      <w:r>
        <w:t>7. Discussion</w:t>
      </w:r>
    </w:p>
    <w:p w14:paraId="11184930" w14:textId="77777777" w:rsidR="0007716E" w:rsidRDefault="008F6710">
      <w:pPr>
        <w:pStyle w:val="2"/>
      </w:pPr>
      <w:bookmarkStart w:id="43" w:name="pedagogical-implications"/>
      <w:r>
        <w:t>7.1 Pedagogical Implications</w:t>
      </w:r>
    </w:p>
    <w:p w14:paraId="11184931" w14:textId="77777777" w:rsidR="0007716E" w:rsidRDefault="008F6710">
      <w:pPr>
        <w:pStyle w:val="FirstParagraph"/>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11184932" w14:textId="77777777" w:rsidR="0007716E" w:rsidRDefault="008F6710">
      <w:pPr>
        <w:pStyle w:val="2"/>
      </w:pPr>
      <w:bookmarkStart w:id="44" w:name="methodological-and-tooling-implications"/>
      <w:bookmarkEnd w:id="43"/>
      <w:r>
        <w:t>7.2 Methodological and Tooling Implications</w:t>
      </w:r>
    </w:p>
    <w:p w14:paraId="11184933" w14:textId="77777777" w:rsidR="0007716E" w:rsidRDefault="008F6710">
      <w:pPr>
        <w:pStyle w:val="Compact"/>
        <w:numPr>
          <w:ilvl w:val="0"/>
          <w:numId w:val="16"/>
        </w:numPr>
      </w:pPr>
      <w:r>
        <w:rPr>
          <w:b/>
          <w:bCs/>
        </w:rPr>
        <w:t>First-class status of formal analysis.</w:t>
      </w:r>
      <w:r>
        <w:t xml:space="preserve"> Encoding the analysis as a versioned JSON object, not as ephemeral pedagogical commentary, invites peer review of the analysis itself, machine reuse, and reproducibility.</w:t>
      </w:r>
    </w:p>
    <w:p w14:paraId="11184934" w14:textId="77777777" w:rsidR="0007716E" w:rsidRDefault="008F6710">
      <w:pPr>
        <w:pStyle w:val="Compact"/>
        <w:numPr>
          <w:ilvl w:val="0"/>
          <w:numId w:val="16"/>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11184935" w14:textId="77777777" w:rsidR="0007716E" w:rsidRDefault="008F6710">
      <w:pPr>
        <w:pStyle w:val="Compact"/>
        <w:numPr>
          <w:ilvl w:val="0"/>
          <w:numId w:val="16"/>
        </w:numPr>
      </w:pPr>
      <w:r>
        <w:rPr>
          <w:b/>
          <w:bCs/>
        </w:rPr>
        <w:t>Demo mode as a copyright-pragmatic default.</w:t>
      </w:r>
      <w:r>
        <w:t xml:space="preserve"> The WebAudio metronome allows the form layer to function in environments where no PD/CC audio is at hand, lowering the barrier to classroom adoption.</w:t>
      </w:r>
    </w:p>
    <w:p w14:paraId="11184936" w14:textId="77777777" w:rsidR="0007716E" w:rsidRDefault="008F6710">
      <w:pPr>
        <w:pStyle w:val="Compact"/>
        <w:numPr>
          <w:ilvl w:val="0"/>
          <w:numId w:val="16"/>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11184937" w14:textId="77777777" w:rsidR="0007716E" w:rsidRDefault="008F6710">
      <w:pPr>
        <w:pStyle w:val="2"/>
      </w:pPr>
      <w:bookmarkStart w:id="45" w:name="limitations-and-future-work"/>
      <w:bookmarkEnd w:id="44"/>
      <w:r>
        <w:t>7.3 Limitations and Future Work</w:t>
      </w:r>
    </w:p>
    <w:p w14:paraId="11184938" w14:textId="77777777" w:rsidR="0007716E" w:rsidRDefault="008F6710">
      <w:pPr>
        <w:pStyle w:val="FirstParagraph"/>
      </w:pPr>
      <w:r>
        <w:t>This paper limits itself to system design, implementation, and pedagogical positioning. Empirical validation of learning effects is deferred to subsequent work. Planned next steps:</w:t>
      </w:r>
    </w:p>
    <w:p w14:paraId="11184939" w14:textId="77777777" w:rsidR="0007716E" w:rsidRDefault="008F6710">
      <w:pPr>
        <w:pStyle w:val="Compact"/>
        <w:numPr>
          <w:ilvl w:val="0"/>
          <w:numId w:val="17"/>
        </w:numPr>
      </w:pPr>
      <w:r>
        <w:rPr>
          <w:b/>
          <w:bCs/>
        </w:rPr>
        <w:t>Randomized controlled trial</w:t>
      </w:r>
      <w:r>
        <w:t xml:space="preserve"> comparing the synchronized condition </w:t>
      </w:r>
      <w:r>
        <w:t>to (a) audio + score without synchronization and (b) audio + verbal lecture only, with form-identification accuracy and the System Usability Scale (Brooke, 1996) as primary measures.</w:t>
      </w:r>
    </w:p>
    <w:p w14:paraId="1118493A" w14:textId="77777777" w:rsidR="0007716E" w:rsidRDefault="008F6710">
      <w:pPr>
        <w:pStyle w:val="Compact"/>
        <w:numPr>
          <w:ilvl w:val="0"/>
          <w:numId w:val="17"/>
        </w:numPr>
      </w:pPr>
      <w:r>
        <w:rPr>
          <w:b/>
          <w:bCs/>
        </w:rPr>
        <w:t>Automatic score-audio alignment</w:t>
      </w:r>
      <w:r>
        <w:t xml:space="preserve"> (Nakamura et al., 2017) to eliminate recording-dependence.</w:t>
      </w:r>
    </w:p>
    <w:p w14:paraId="1118493B" w14:textId="77777777" w:rsidR="0007716E" w:rsidRDefault="008F6710">
      <w:pPr>
        <w:pStyle w:val="Compact"/>
        <w:numPr>
          <w:ilvl w:val="0"/>
          <w:numId w:val="17"/>
        </w:numPr>
      </w:pPr>
      <w:r>
        <w:rPr>
          <w:b/>
          <w:bCs/>
        </w:rPr>
        <w:t>Multi-piece dataset.</w:t>
      </w:r>
      <w:r>
        <w:t xml:space="preserve"> Beethoven Op. 49 No. 2 mvt. I and Clementi Op. 36 No. 1 mvt. I encoded against the same JSON schema for comparative form study.</w:t>
      </w:r>
    </w:p>
    <w:p w14:paraId="1118493C" w14:textId="77777777" w:rsidR="0007716E" w:rsidRDefault="008F6710">
      <w:pPr>
        <w:pStyle w:val="Compact"/>
        <w:numPr>
          <w:ilvl w:val="0"/>
          <w:numId w:val="17"/>
        </w:numPr>
      </w:pPr>
      <w:r>
        <w:rPr>
          <w:b/>
          <w:bCs/>
        </w:rPr>
        <w:t>Authoring mode.</w:t>
      </w:r>
      <w:r>
        <w:t xml:space="preserve"> Learners label their own compositions with formal regions, producing reusable analysis artefacts.</w:t>
      </w:r>
    </w:p>
    <w:p w14:paraId="1118493D" w14:textId="77777777" w:rsidR="0007716E" w:rsidRDefault="008F6710">
      <w:pPr>
        <w:pStyle w:val="Compact"/>
        <w:numPr>
          <w:ilvl w:val="0"/>
          <w:numId w:val="17"/>
        </w:numPr>
      </w:pPr>
      <w:r>
        <w:rPr>
          <w:b/>
          <w:bCs/>
        </w:rPr>
        <w:t>Other formal types.</w:t>
      </w:r>
      <w:r>
        <w:t xml:space="preserve"> Rondo, theme-and-variations, and fugue, each requiring schema extension.</w:t>
      </w:r>
    </w:p>
    <w:p w14:paraId="1118493E" w14:textId="77777777" w:rsidR="0007716E" w:rsidRDefault="008F6710">
      <w:pPr>
        <w:pStyle w:val="Compact"/>
        <w:numPr>
          <w:ilvl w:val="0"/>
          <w:numId w:val="17"/>
        </w:numPr>
      </w:pPr>
      <w:r>
        <w:rPr>
          <w:b/>
          <w:bCs/>
        </w:rPr>
        <w:t>Mobile responsiveness.</w:t>
      </w:r>
      <w:r>
        <w:t xml:space="preserve"> Extending the desktop-first design to tablet and phone form factors.</w:t>
      </w:r>
    </w:p>
    <w:p w14:paraId="1118493F" w14:textId="77777777" w:rsidR="0007716E" w:rsidRDefault="008F6710">
      <w:pPr>
        <w:pStyle w:val="1"/>
      </w:pPr>
      <w:bookmarkStart w:id="46" w:name="conclusion"/>
      <w:bookmarkEnd w:id="42"/>
      <w:bookmarkEnd w:id="45"/>
      <w:r>
        <w:t>8. Conclusion</w:t>
      </w:r>
    </w:p>
    <w:p w14:paraId="11184940" w14:textId="77777777" w:rsidR="0007716E" w:rsidRDefault="008F6710">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11184941" w14:textId="77777777" w:rsidR="0007716E" w:rsidRDefault="008F6710">
      <w:pPr>
        <w:pStyle w:val="a0"/>
      </w:pPr>
      <w:r>
        <w:t>The tool is released under the MIT License; the formal-analysis data under CC BY 4.0. Both invite reuse, extension, and peer scrutiny in the spirit of open digital musicology.</w:t>
      </w:r>
    </w:p>
    <w:p w14:paraId="11184942" w14:textId="77777777" w:rsidR="0007716E" w:rsidRDefault="008F6710">
      <w:pPr>
        <w:pStyle w:val="1"/>
      </w:pPr>
      <w:bookmarkStart w:id="47" w:name="reproducibility"/>
      <w:bookmarkEnd w:id="46"/>
      <w:r>
        <w:t>9. Reproducibility</w:t>
      </w:r>
    </w:p>
    <w:p w14:paraId="11184943" w14:textId="77777777" w:rsidR="0007716E" w:rsidRDefault="008F6710">
      <w:pPr>
        <w:pStyle w:val="FirstParagraph"/>
      </w:pPr>
      <w:r>
        <w:t xml:space="preserve">All artifacts are released with persistent identifiers. The source </w:t>
      </w:r>
      <w:r>
        <w:t xml:space="preserve">code is available at https://github.com/rosyrosys/sonata-form-viz under the MIT License, and the v0.1.0 release is archived at </w:t>
      </w:r>
      <w:hyperlink r:id="rId7">
        <w:r>
          <w:rPr>
            <w:rStyle w:val="ac"/>
          </w:rPr>
          <w:t>https://doi.org/10.5281/zenodo.20108497</w:t>
        </w:r>
      </w:hyperlink>
      <w:r>
        <w:t>. The analysis schema (</w:t>
      </w:r>
      <w:r>
        <w:rPr>
          <w:rStyle w:val="VerbatimChar"/>
        </w:rPr>
        <w:t>sonata_structure.json</w:t>
      </w:r>
      <w:r>
        <w:t>), the measure-to-time mapping (</w:t>
      </w:r>
      <w:r>
        <w:rPr>
          <w:rStyle w:val="VerbatimChar"/>
        </w:rPr>
        <w:t>measure_times.json</w:t>
      </w:r>
      <w:r>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Pr>
          <w:rStyle w:val="VerbatimChar"/>
        </w:rPr>
        <w:t>REPRODUCIBILITY.md</w:t>
      </w:r>
      <w:r>
        <w:t xml:space="preserve"> and on the Zenodo record.</w:t>
      </w:r>
    </w:p>
    <w:p w14:paraId="11184944" w14:textId="77777777" w:rsidR="0007716E" w:rsidRDefault="008F6710">
      <w:pPr>
        <w:pStyle w:val="1"/>
      </w:pPr>
      <w:bookmarkStart w:id="48" w:name="acknowledgments"/>
      <w:bookmarkEnd w:id="47"/>
      <w:r>
        <w:t>Acknowledgments</w:t>
      </w:r>
    </w:p>
    <w:p w14:paraId="11184945" w14:textId="77777777" w:rsidR="0007716E" w:rsidRDefault="008F6710">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11184946" w14:textId="77777777" w:rsidR="0007716E" w:rsidRDefault="008F6710">
      <w:pPr>
        <w:pStyle w:val="1"/>
      </w:pPr>
      <w:bookmarkStart w:id="49" w:name="ethics-and-consent"/>
      <w:bookmarkEnd w:id="48"/>
      <w:r>
        <w:t>Ethics and Consent</w:t>
      </w:r>
    </w:p>
    <w:p w14:paraId="11184947" w14:textId="77777777" w:rsidR="0007716E" w:rsidRDefault="008F6710">
      <w:pPr>
        <w:pStyle w:val="FirstParagraph"/>
      </w:pPr>
      <w:r>
        <w:t>The present manuscript reports the design, implementation, and analytical case study of an open-source software tool, supplemented by a single-expert pilot review (§6) treated under standard expert-evaluation methodology. It does not include learner-subjects evaluation, animal subjects, or human-derived data beyond the single expert pilot reviewer who provided written informed consent for anonymous reporting. The planned randomized controlled trial outlined in §7.3, which will involve undergraduate music-ed</w:t>
      </w:r>
      <w:r>
        <w:t>ucation majors as participants and the System Usability Scale (Brooke, 1996) as a primary measure, will be conducted under the appropriate institutional review board approval and reported in a separate follow-up publication.</w:t>
      </w:r>
    </w:p>
    <w:p w14:paraId="11184948" w14:textId="77777777" w:rsidR="0007716E" w:rsidRDefault="008F6710">
      <w:pPr>
        <w:pStyle w:val="1"/>
      </w:pPr>
      <w:bookmarkStart w:id="50" w:name="competing-interests"/>
      <w:bookmarkEnd w:id="49"/>
      <w:r>
        <w:t>Competing Interests</w:t>
      </w:r>
    </w:p>
    <w:p w14:paraId="11184949" w14:textId="77777777" w:rsidR="0007716E" w:rsidRDefault="008F6710">
      <w:pPr>
        <w:pStyle w:val="FirstParagraph"/>
      </w:pPr>
      <w:r>
        <w:t>The author(s) has/have no competing interests to declare.</w:t>
      </w:r>
    </w:p>
    <w:p w14:paraId="1118494A" w14:textId="77777777" w:rsidR="0007716E" w:rsidRDefault="008F6710">
      <w:pPr>
        <w:pStyle w:val="1"/>
      </w:pPr>
      <w:bookmarkStart w:id="51" w:name="funding-information"/>
      <w:bookmarkEnd w:id="50"/>
      <w:r>
        <w:t>Funding Information</w:t>
      </w:r>
    </w:p>
    <w:p w14:paraId="1118494B" w14:textId="77777777" w:rsidR="0007716E" w:rsidRDefault="008F6710">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1118494C" w14:textId="77777777" w:rsidR="0007716E" w:rsidRDefault="008F6710">
      <w:pPr>
        <w:pStyle w:val="1"/>
      </w:pPr>
      <w:bookmarkStart w:id="52" w:name="authors-contributions"/>
      <w:bookmarkEnd w:id="51"/>
      <w:r>
        <w:t>Authors’ Contributions</w:t>
      </w:r>
    </w:p>
    <w:p w14:paraId="1118494D" w14:textId="77777777" w:rsidR="0007716E" w:rsidRDefault="008F6710">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1118494E" w14:textId="77777777" w:rsidR="0007716E" w:rsidRDefault="008F6710">
      <w:pPr>
        <w:pStyle w:val="1"/>
      </w:pPr>
      <w:bookmarkStart w:id="53" w:name="references"/>
      <w:bookmarkEnd w:id="52"/>
      <w:r>
        <w:t>References</w:t>
      </w:r>
    </w:p>
    <w:p w14:paraId="1118494F" w14:textId="77777777" w:rsidR="0007716E" w:rsidRDefault="008F6710">
      <w:pPr>
        <w:pStyle w:val="Compact"/>
        <w:numPr>
          <w:ilvl w:val="0"/>
          <w:numId w:val="18"/>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https://doi.org/10.5334/tismir.27</w:t>
      </w:r>
    </w:p>
    <w:p w14:paraId="11184950" w14:textId="77777777" w:rsidR="0007716E" w:rsidRDefault="008F6710">
      <w:pPr>
        <w:pStyle w:val="Compact"/>
        <w:numPr>
          <w:ilvl w:val="0"/>
          <w:numId w:val="18"/>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https://doi.org/10.5334/tismir.212</w:t>
      </w:r>
    </w:p>
    <w:p w14:paraId="11184951" w14:textId="77777777" w:rsidR="0007716E" w:rsidRDefault="008F6710">
      <w:pPr>
        <w:pStyle w:val="Compact"/>
        <w:numPr>
          <w:ilvl w:val="0"/>
          <w:numId w:val="18"/>
        </w:numPr>
      </w:pPr>
      <w:r>
        <w:t xml:space="preserve">Braun, V., &amp; Clarke, V. (2006). Using thematic analysis in psychology. </w:t>
      </w:r>
      <w:r>
        <w:rPr>
          <w:i/>
          <w:iCs/>
        </w:rPr>
        <w:t>Qualitative Research in Psychology, 3</w:t>
      </w:r>
      <w:r>
        <w:t>(2), 77–101. https://doi.org/10.1191/1478088706qp063oa</w:t>
      </w:r>
    </w:p>
    <w:p w14:paraId="11184952" w14:textId="77777777" w:rsidR="0007716E" w:rsidRDefault="008F6710">
      <w:pPr>
        <w:pStyle w:val="Compact"/>
        <w:numPr>
          <w:ilvl w:val="0"/>
          <w:numId w:val="18"/>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11184953" w14:textId="77777777" w:rsidR="0007716E" w:rsidRDefault="008F6710">
      <w:pPr>
        <w:pStyle w:val="Compact"/>
        <w:numPr>
          <w:ilvl w:val="0"/>
          <w:numId w:val="18"/>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11184954" w14:textId="77777777" w:rsidR="0007716E" w:rsidRDefault="008F6710">
      <w:pPr>
        <w:pStyle w:val="Compact"/>
        <w:numPr>
          <w:ilvl w:val="0"/>
          <w:numId w:val="18"/>
        </w:numPr>
      </w:pPr>
      <w:r>
        <w:t xml:space="preserve">Caplin, W. E. (1998). </w:t>
      </w:r>
      <w:r>
        <w:rPr>
          <w:i/>
          <w:iCs/>
        </w:rPr>
        <w:t xml:space="preserve">Classical form: A theory of formal functions </w:t>
      </w:r>
      <w:r>
        <w:rPr>
          <w:i/>
          <w:iCs/>
        </w:rPr>
        <w:t>for the instrumental music of Haydn, Mozart, and Beethoven.</w:t>
      </w:r>
      <w:r>
        <w:t xml:space="preserve"> Oxford University Press.</w:t>
      </w:r>
    </w:p>
    <w:p w14:paraId="11184955" w14:textId="77777777" w:rsidR="0007716E" w:rsidRDefault="008F6710">
      <w:pPr>
        <w:pStyle w:val="Compact"/>
        <w:numPr>
          <w:ilvl w:val="0"/>
          <w:numId w:val="18"/>
        </w:numPr>
      </w:pPr>
      <w:r>
        <w:t xml:space="preserve">Caplin, W. E. (2009). What are formal functions? In P. Bergé (Ed.), </w:t>
      </w:r>
      <w:r>
        <w:rPr>
          <w:i/>
          <w:iCs/>
        </w:rPr>
        <w:t>Musical form, forms, &amp; formenlehre</w:t>
      </w:r>
      <w:r>
        <w:t xml:space="preserve"> (pp. 21–40). Leuven University Press.</w:t>
      </w:r>
    </w:p>
    <w:p w14:paraId="11184956" w14:textId="77777777" w:rsidR="0007716E" w:rsidRDefault="008F6710">
      <w:pPr>
        <w:pStyle w:val="Compact"/>
        <w:numPr>
          <w:ilvl w:val="0"/>
          <w:numId w:val="18"/>
        </w:numPr>
      </w:pPr>
      <w:r>
        <w:t xml:space="preserve">Cook, N. (1990). </w:t>
      </w:r>
      <w:r>
        <w:rPr>
          <w:i/>
          <w:iCs/>
        </w:rPr>
        <w:t>Music, imagination, and culture.</w:t>
      </w:r>
      <w:r>
        <w:t xml:space="preserve"> Oxford University Press.</w:t>
      </w:r>
    </w:p>
    <w:p w14:paraId="11184957" w14:textId="77777777" w:rsidR="0007716E" w:rsidRDefault="008F6710">
      <w:pPr>
        <w:pStyle w:val="Compact"/>
        <w:numPr>
          <w:ilvl w:val="0"/>
          <w:numId w:val="18"/>
        </w:numPr>
      </w:pPr>
      <w:r>
        <w:t xml:space="preserve">Couprie, P. (2008). iAnalyse: un logiciel d’aide à l’analyse musicale. In </w:t>
      </w:r>
      <w:r>
        <w:rPr>
          <w:i/>
          <w:iCs/>
        </w:rPr>
        <w:t>Journées d’Informatique Musicale (JIM)</w:t>
      </w:r>
      <w:r>
        <w:t xml:space="preserve"> (pp. 115–121). Albi, France. HAL: hal-00823867.</w:t>
      </w:r>
    </w:p>
    <w:p w14:paraId="11184958" w14:textId="77777777" w:rsidR="0007716E" w:rsidRDefault="008F6710">
      <w:pPr>
        <w:pStyle w:val="Compact"/>
        <w:numPr>
          <w:ilvl w:val="0"/>
          <w:numId w:val="18"/>
        </w:numPr>
      </w:pPr>
      <w:r>
        <w:t xml:space="preserve">Goto, M. (2006). AIST annotation for the RWC music database. In </w:t>
      </w:r>
      <w:r>
        <w:rPr>
          <w:i/>
          <w:iCs/>
        </w:rPr>
        <w:t>Proceedings of ISMIR 2006</w:t>
      </w:r>
      <w:r>
        <w:t>.</w:t>
      </w:r>
    </w:p>
    <w:p w14:paraId="11184959" w14:textId="77777777" w:rsidR="0007716E" w:rsidRDefault="008F6710">
      <w:pPr>
        <w:pStyle w:val="Compact"/>
        <w:numPr>
          <w:ilvl w:val="0"/>
          <w:numId w:val="18"/>
        </w:numPr>
      </w:pPr>
      <w:r>
        <w:t xml:space="preserve">Hargreaves, D. J. (1986). </w:t>
      </w:r>
      <w:r>
        <w:rPr>
          <w:i/>
          <w:iCs/>
        </w:rPr>
        <w:t>The developmental psychology of music.</w:t>
      </w:r>
      <w:r>
        <w:t xml:space="preserve"> Cambridge University Press.</w:t>
      </w:r>
    </w:p>
    <w:p w14:paraId="1118495A" w14:textId="77777777" w:rsidR="0007716E" w:rsidRDefault="008F6710">
      <w:pPr>
        <w:pStyle w:val="Compact"/>
        <w:numPr>
          <w:ilvl w:val="0"/>
          <w:numId w:val="18"/>
        </w:numPr>
      </w:pPr>
      <w:r>
        <w:t xml:space="preserve">Hepokoski, J., &amp; Darcy, W. (2006). </w:t>
      </w:r>
      <w:r>
        <w:rPr>
          <w:i/>
          <w:iCs/>
        </w:rPr>
        <w:t>Elements of sonata theory: Norms, types, and deformations in the late-eighteenth-century sonata.</w:t>
      </w:r>
      <w:r>
        <w:t xml:space="preserve"> Oxford University Press.</w:t>
      </w:r>
    </w:p>
    <w:p w14:paraId="1118495B" w14:textId="77777777" w:rsidR="0007716E" w:rsidRDefault="008F6710">
      <w:pPr>
        <w:pStyle w:val="Compact"/>
        <w:numPr>
          <w:ilvl w:val="0"/>
          <w:numId w:val="18"/>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1118495C" w14:textId="77777777" w:rsidR="0007716E" w:rsidRDefault="008F6710">
      <w:pPr>
        <w:pStyle w:val="Compact"/>
        <w:numPr>
          <w:ilvl w:val="0"/>
          <w:numId w:val="18"/>
        </w:numPr>
      </w:pPr>
      <w:r>
        <w:t xml:space="preserve">LaRue, J. (1970). </w:t>
      </w:r>
      <w:r>
        <w:rPr>
          <w:i/>
          <w:iCs/>
        </w:rPr>
        <w:t>Guidelines for style analysis.</w:t>
      </w:r>
      <w:r>
        <w:t xml:space="preserve"> Norton.</w:t>
      </w:r>
    </w:p>
    <w:p w14:paraId="1118495D" w14:textId="77777777" w:rsidR="0007716E" w:rsidRDefault="008F6710">
      <w:pPr>
        <w:pStyle w:val="Compact"/>
        <w:numPr>
          <w:ilvl w:val="0"/>
          <w:numId w:val="18"/>
        </w:numPr>
      </w:pPr>
      <w:r>
        <w:t xml:space="preserve">Margulis, E. H. (2014). </w:t>
      </w:r>
      <w:r>
        <w:rPr>
          <w:i/>
          <w:iCs/>
        </w:rPr>
        <w:t>On repeat: How music plays the mind.</w:t>
      </w:r>
      <w:r>
        <w:t xml:space="preserve"> Oxford University Press.</w:t>
      </w:r>
    </w:p>
    <w:p w14:paraId="1118495E" w14:textId="77777777" w:rsidR="0007716E" w:rsidRDefault="008F6710">
      <w:pPr>
        <w:pStyle w:val="Compact"/>
        <w:numPr>
          <w:ilvl w:val="0"/>
          <w:numId w:val="18"/>
        </w:numPr>
      </w:pPr>
      <w:r>
        <w:t xml:space="preserve">Mayer, R. E. (2009). </w:t>
      </w:r>
      <w:r>
        <w:rPr>
          <w:i/>
          <w:iCs/>
        </w:rPr>
        <w:t>Multimedia learning</w:t>
      </w:r>
      <w:r>
        <w:t xml:space="preserve"> (2nd ed.). Cambridge University Press.</w:t>
      </w:r>
    </w:p>
    <w:p w14:paraId="1118495F" w14:textId="77777777" w:rsidR="0007716E" w:rsidRDefault="008F6710">
      <w:pPr>
        <w:pStyle w:val="Compact"/>
        <w:numPr>
          <w:ilvl w:val="0"/>
          <w:numId w:val="18"/>
        </w:numPr>
      </w:pPr>
      <w:r>
        <w:t xml:space="preserve">Mozart, W. A. (1986). </w:t>
      </w:r>
      <w:r>
        <w:rPr>
          <w:i/>
          <w:iCs/>
        </w:rPr>
        <w:t>Neue Mozart-Ausgabe IX/25: Klaviersonaten Bd. 2.</w:t>
      </w:r>
      <w:r>
        <w:t xml:space="preserve"> Bärenreiter.</w:t>
      </w:r>
    </w:p>
    <w:p w14:paraId="11184960" w14:textId="77777777" w:rsidR="0007716E" w:rsidRDefault="008F6710">
      <w:pPr>
        <w:pStyle w:val="Compact"/>
        <w:numPr>
          <w:ilvl w:val="0"/>
          <w:numId w:val="18"/>
        </w:numPr>
      </w:pPr>
      <w:r>
        <w:t xml:space="preserve">Müller, M. (2015). </w:t>
      </w:r>
      <w:r>
        <w:rPr>
          <w:i/>
          <w:iCs/>
        </w:rPr>
        <w:t>Fundamentals of music processing: Audio, analysis, algorithms, applications.</w:t>
      </w:r>
      <w:r>
        <w:t xml:space="preserve"> Springer. https://doi.org/10.1007/978-3-319-21945-5</w:t>
      </w:r>
    </w:p>
    <w:p w14:paraId="11184961" w14:textId="77777777" w:rsidR="0007716E" w:rsidRDefault="008F6710">
      <w:pPr>
        <w:pStyle w:val="Compact"/>
        <w:numPr>
          <w:ilvl w:val="0"/>
          <w:numId w:val="18"/>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xml:space="preserve"> (pp. 347–353).</w:t>
      </w:r>
    </w:p>
    <w:p w14:paraId="11184962" w14:textId="77777777" w:rsidR="0007716E" w:rsidRDefault="008F6710">
      <w:pPr>
        <w:pStyle w:val="Compact"/>
        <w:numPr>
          <w:ilvl w:val="0"/>
          <w:numId w:val="18"/>
        </w:numPr>
      </w:pPr>
      <w:r>
        <w:t xml:space="preserve">North, A. C., &amp; Hargreaves, D. J. (2008). </w:t>
      </w:r>
      <w:r>
        <w:rPr>
          <w:i/>
          <w:iCs/>
        </w:rPr>
        <w:t>The social and applied psychology of music.</w:t>
      </w:r>
      <w:r>
        <w:t xml:space="preserve"> Oxford University Press.</w:t>
      </w:r>
    </w:p>
    <w:p w14:paraId="11184963" w14:textId="77777777" w:rsidR="0007716E" w:rsidRDefault="008F6710">
      <w:pPr>
        <w:pStyle w:val="Compact"/>
        <w:numPr>
          <w:ilvl w:val="0"/>
          <w:numId w:val="18"/>
        </w:numPr>
      </w:pPr>
      <w:r>
        <w:t xml:space="preserve">Paivio, A. (1991). Dual coding theory: Retrospect and current status. </w:t>
      </w:r>
      <w:r>
        <w:rPr>
          <w:i/>
          <w:iCs/>
        </w:rPr>
        <w:t>Canadian Journal of Psychology, 45</w:t>
      </w:r>
      <w:r>
        <w:t>(3), 255–287.</w:t>
      </w:r>
    </w:p>
    <w:p w14:paraId="11184964" w14:textId="77777777" w:rsidR="0007716E" w:rsidRDefault="008F6710">
      <w:pPr>
        <w:pStyle w:val="Compact"/>
        <w:numPr>
          <w:ilvl w:val="0"/>
          <w:numId w:val="18"/>
        </w:numPr>
      </w:pPr>
      <w:r>
        <w:t xml:space="preserve">Sapp, C. S. (2017). Verovio Humdrum Viewer. In </w:t>
      </w:r>
      <w:r>
        <w:rPr>
          <w:i/>
          <w:iCs/>
        </w:rPr>
        <w:t>Music Encoding Conference 2017</w:t>
      </w:r>
      <w:r>
        <w:t>.</w:t>
      </w:r>
    </w:p>
    <w:p w14:paraId="11184965" w14:textId="77777777" w:rsidR="0007716E" w:rsidRDefault="008F6710">
      <w:pPr>
        <w:pStyle w:val="1"/>
      </w:pPr>
      <w:bookmarkStart w:id="54" w:name="appendix-a.-screenshots"/>
      <w:bookmarkEnd w:id="53"/>
      <w:r>
        <w:t>Appendix A. Screenshots</w:t>
      </w:r>
    </w:p>
    <w:p w14:paraId="11184966" w14:textId="77777777" w:rsidR="0007716E" w:rsidRDefault="008F6710">
      <w:pPr>
        <w:pStyle w:val="FirstParagraph"/>
      </w:pPr>
      <w:r>
        <w:t xml:space="preserve">Three screenshots from the live deployment (https://rosyrosys.github.io/sonata-form-viz/en/) are included in the submission package under </w:t>
      </w:r>
      <w:r>
        <w:rPr>
          <w:rStyle w:val="VerbatimChar"/>
        </w:rPr>
        <w:t>figures/</w:t>
      </w:r>
      <w:r>
        <w:t>. Captions:</w:t>
      </w:r>
    </w:p>
    <w:p w14:paraId="11184967" w14:textId="77777777" w:rsidR="0007716E" w:rsidRDefault="008F6710">
      <w:pPr>
        <w:pStyle w:val="Compact"/>
        <w:numPr>
          <w:ilvl w:val="0"/>
          <w:numId w:val="19"/>
        </w:numPr>
      </w:pPr>
      <w:r>
        <w:rPr>
          <w:b/>
          <w:bCs/>
        </w:rPr>
        <w:t>Figure A.1.</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11184968" w14:textId="77777777" w:rsidR="0007716E" w:rsidRDefault="008F6710">
      <w:pPr>
        <w:pStyle w:val="Compact"/>
        <w:numPr>
          <w:ilvl w:val="0"/>
          <w:numId w:val="19"/>
        </w:numPr>
      </w:pPr>
      <w:r>
        <w:rPr>
          <w:b/>
          <w:bCs/>
        </w:rPr>
        <w:t>Figure A.2.</w:t>
      </w:r>
      <w:r>
        <w:t xml:space="preserve"> Active-listening control panel and demo-mode fallback. The yellow </w:t>
      </w:r>
      <w:r>
        <w:rPr>
          <w:i/>
          <w:iCs/>
        </w:rPr>
        <w:t>Demo mode</w:t>
      </w:r>
      <w:r>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11184969" w14:textId="77777777" w:rsidR="0007716E" w:rsidRDefault="008F6710">
      <w:pPr>
        <w:pStyle w:val="Compact"/>
        <w:numPr>
          <w:ilvl w:val="0"/>
          <w:numId w:val="19"/>
        </w:numPr>
      </w:pPr>
      <w:r>
        <w:rPr>
          <w:b/>
          <w:bCs/>
        </w:rPr>
        <w:t>Figure A.3.</w:t>
      </w:r>
      <w:r>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bookmarkEnd w:id="54"/>
    </w:p>
    <w:sectPr w:rsidR="0007716E" w:rsidSect="00F220FF">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F8DD0" w14:textId="77777777" w:rsidR="008F6710" w:rsidRDefault="008F6710" w:rsidP="00F220FF">
      <w:pPr>
        <w:spacing w:line="240" w:lineRule="auto"/>
      </w:pPr>
      <w:r>
        <w:separator/>
      </w:r>
    </w:p>
  </w:endnote>
  <w:endnote w:type="continuationSeparator" w:id="0">
    <w:p w14:paraId="74376AB9" w14:textId="77777777" w:rsidR="008F6710" w:rsidRDefault="008F6710" w:rsidP="00F220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58A05" w14:textId="77777777" w:rsidR="00F220FF" w:rsidRDefault="00F220FF" w:rsidP="000E7638">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19E93431" w14:textId="77777777" w:rsidR="00F220FF" w:rsidRDefault="00F220FF" w:rsidP="00F220FF">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CB7C3" w14:textId="6F92746D" w:rsidR="00F220FF" w:rsidRDefault="00F220FF" w:rsidP="000E7638">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19</w:t>
    </w:r>
    <w:r>
      <w:rPr>
        <w:rStyle w:val="af"/>
      </w:rPr>
      <w:fldChar w:fldCharType="end"/>
    </w:r>
  </w:p>
  <w:p w14:paraId="3CB86EDC" w14:textId="77777777" w:rsidR="00F220FF" w:rsidRDefault="00F220FF" w:rsidP="00F220FF">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25D35" w14:textId="77777777" w:rsidR="00F220FF" w:rsidRDefault="00F220FF">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CF011" w14:textId="77777777" w:rsidR="008F6710" w:rsidRDefault="008F6710" w:rsidP="00F220FF">
      <w:pPr>
        <w:spacing w:line="240" w:lineRule="auto"/>
      </w:pPr>
      <w:r>
        <w:separator/>
      </w:r>
    </w:p>
  </w:footnote>
  <w:footnote w:type="continuationSeparator" w:id="0">
    <w:p w14:paraId="6ACB6689" w14:textId="77777777" w:rsidR="008F6710" w:rsidRDefault="008F6710" w:rsidP="00F220F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57528" w14:textId="77777777" w:rsidR="00F220FF" w:rsidRDefault="00F220FF">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6E4DA" w14:textId="77777777" w:rsidR="00F220FF" w:rsidRDefault="00F220FF">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B6823" w14:textId="77777777" w:rsidR="00F220FF" w:rsidRDefault="00F220FF">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6AA8A0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14A0A9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2521F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27675183">
    <w:abstractNumId w:val="0"/>
  </w:num>
  <w:num w:numId="2" w16cid:durableId="914365695">
    <w:abstractNumId w:val="1"/>
  </w:num>
  <w:num w:numId="3" w16cid:durableId="754670298">
    <w:abstractNumId w:val="1"/>
  </w:num>
  <w:num w:numId="4" w16cid:durableId="20870672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198473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661675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429070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7980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6542074">
    <w:abstractNumId w:val="1"/>
  </w:num>
  <w:num w:numId="10" w16cid:durableId="12974178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29137831">
    <w:abstractNumId w:val="1"/>
  </w:num>
  <w:num w:numId="12" w16cid:durableId="10913154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201368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319115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54675375">
    <w:abstractNumId w:val="1"/>
  </w:num>
  <w:num w:numId="16" w16cid:durableId="1831093764">
    <w:abstractNumId w:val="1"/>
  </w:num>
  <w:num w:numId="17" w16cid:durableId="8697603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43656776">
    <w:abstractNumId w:val="1"/>
  </w:num>
  <w:num w:numId="19" w16cid:durableId="1201090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7716E"/>
    <w:rsid w:val="0007716E"/>
    <w:rsid w:val="006562DD"/>
    <w:rsid w:val="008F6710"/>
    <w:rsid w:val="00F220F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184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F4761" w:themeColor="accent1" w:themeShade="BF"/>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F4761" w:themeColor="accent1" w:themeShade="BF"/>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F4761" w:themeColor="accent1" w:themeShade="BF"/>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after="120"/>
      <w:contextualSpacing/>
      <w:jc w:val="center"/>
    </w:pPr>
    <w:rPr>
      <w:rFonts w:eastAsiaTheme="majorEastAsia"/>
      <w:b/>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F4761" w:themeColor="accent1" w:themeShade="BF"/>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F4761" w:themeColor="accent1" w:themeShade="BF"/>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F4761" w:themeColor="accent1" w:themeShade="BF"/>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F220FF"/>
    <w:pPr>
      <w:tabs>
        <w:tab w:val="center" w:pos="4513"/>
        <w:tab w:val="right" w:pos="9026"/>
      </w:tabs>
      <w:snapToGrid w:val="0"/>
    </w:pPr>
  </w:style>
  <w:style w:type="character" w:customStyle="1" w:styleId="Char2">
    <w:name w:val="머리글 Char"/>
    <w:basedOn w:val="a1"/>
    <w:link w:val="ad"/>
    <w:rsid w:val="00F220FF"/>
  </w:style>
  <w:style w:type="paragraph" w:styleId="ae">
    <w:name w:val="footer"/>
    <w:basedOn w:val="a"/>
    <w:link w:val="Char3"/>
    <w:rsid w:val="00F220FF"/>
    <w:pPr>
      <w:tabs>
        <w:tab w:val="center" w:pos="4513"/>
        <w:tab w:val="right" w:pos="9026"/>
      </w:tabs>
      <w:snapToGrid w:val="0"/>
    </w:pPr>
  </w:style>
  <w:style w:type="character" w:customStyle="1" w:styleId="Char3">
    <w:name w:val="바닥글 Char"/>
    <w:basedOn w:val="a1"/>
    <w:link w:val="ae"/>
    <w:rsid w:val="00F220FF"/>
  </w:style>
  <w:style w:type="character" w:styleId="af">
    <w:name w:val="page number"/>
    <w:basedOn w:val="a1"/>
    <w:rsid w:val="00F220FF"/>
  </w:style>
  <w:style w:type="character" w:styleId="af0">
    <w:name w:val="line number"/>
    <w:basedOn w:val="a1"/>
    <w:rsid w:val="00F220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7477</Words>
  <Characters>43419</Characters>
  <Application>Microsoft Office Word</Application>
  <DocSecurity>0</DocSecurity>
  <Lines>841</Lines>
  <Paragraphs>359</Paragraphs>
  <ScaleCrop>false</ScaleCrop>
  <Company/>
  <LinksUpToDate>false</LinksUpToDate>
  <CharactersWithSpaces>50694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2026-05-17T19:47:00Z</dcterms:created>
  <dcterms:modified xsi:type="dcterms:W3CDTF">2026-05-17T19:47:00Z</dcterms:modified>
</cp:coreProperties>
</file>