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E25D5" w14:textId="77777777" w:rsidR="00CF72E3" w:rsidRDefault="00A73744">
      <w:pPr>
        <w:pStyle w:val="a4"/>
      </w:pPr>
      <w:r>
        <w:t>Teaching Sonata Form Through Synchronized Multi-Representational Visualization: Design, Implementation, and Evaluation of an Open-Source Web Tool Using Mozart's K. 545</w:t>
      </w:r>
    </w:p>
    <w:p w14:paraId="336E25D6" w14:textId="77777777" w:rsidR="00CF72E3" w:rsidRDefault="00A73744">
      <w:pPr>
        <w:pStyle w:val="a6"/>
      </w:pPr>
      <w:r>
        <w:t>2026-05-08</w:t>
      </w:r>
    </w:p>
    <w:p w14:paraId="336E25D7" w14:textId="77777777" w:rsidR="00CF72E3" w:rsidRDefault="00A73744">
      <w:pPr>
        <w:pStyle w:val="1"/>
      </w:pPr>
      <w:bookmarkStart w:id="0" w:name="abstract"/>
      <w:r>
        <w:t>Abstract</w:t>
      </w:r>
    </w:p>
    <w:p w14:paraId="336E25D8" w14:textId="77777777" w:rsidR="00CF72E3" w:rsidRDefault="00A73744">
      <w:pPr>
        <w:pStyle w:val="FirstParagraph"/>
      </w:pPr>
      <w:r>
        <w:t xml:space="preserve"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The first movement of Mozart's </w:t>
      </w:r>
      <w:r>
        <w:rPr>
          <w:i/>
          <w:iCs/>
        </w:rPr>
        <w:t>Piano Sonata in C major</w:t>
      </w:r>
      <w:r>
        <w:t xml:space="preserve">, K. 545 — a standard pedagogical work — is used as the case piece. Its 73-measure compactness and textbook-clear formal landmarks coexist with a celebrated </w:t>
      </w:r>
      <w:r>
        <w:rPr>
          <w:i/>
          <w:iCs/>
        </w:rPr>
        <w:t>deformation</w:t>
      </w:r>
      <w:r>
        <w:t xml:space="preserve">: the recapitulation begins in the subdominant (F major) rather than the tonic. This rare combination of normative and deformational features in a single short piece makes K. 545 unusually well-suited for teaching both the </w:t>
      </w:r>
      <w:r>
        <w:rPr>
          <w:i/>
          <w:iCs/>
        </w:rPr>
        <w:t>norms</w:t>
      </w:r>
      <w:r>
        <w:t xml:space="preserve"> and the </w:t>
      </w:r>
      <w:r>
        <w:rPr>
          <w:i/>
          <w:iCs/>
        </w:rPr>
        <w:t>deviations</w:t>
      </w:r>
      <w:r>
        <w:t xml:space="preserve"> of sonata-form practice.</w:t>
      </w:r>
    </w:p>
    <w:p w14:paraId="336E25D9" w14:textId="77777777" w:rsidR="00CF72E3" w:rsidRDefault="00A73744">
      <w:pPr>
        <w:pStyle w:val="a0"/>
      </w:pPr>
      <w:r>
        <w:t xml:space="preserve">The system (1) renders MusicXML through OpenSheetMusicDisplay, (2) maps audio time to measure number through a discrete lookup table on each </w:t>
      </w:r>
      <w:r>
        <w:rPr>
          <w:rStyle w:val="VerbatimChar"/>
        </w:rPr>
        <w:t>timeupdate</w:t>
      </w:r>
      <w:r>
        <w:t xml:space="preserve"> event, (3) overlays section and theme labels in a two-level color hierarchy directly onto the score, and (4) supports section jumping, looped listening, playback-speed control, and keyboard shortcuts. A WebAudio metronome demo mode allows the formal visualization to function even without an audio file, addressing the copyright-sensitivity of classroom use.</w:t>
      </w:r>
    </w:p>
    <w:p w14:paraId="336E25DA" w14:textId="77777777" w:rsidR="00CF72E3" w:rsidRDefault="00A73744">
      <w:pPr>
        <w:pStyle w:val="a0"/>
      </w:pPr>
      <w:r>
        <w:lastRenderedPageBreak/>
        <w:t xml:space="preserve">A pre/post evaluation with N=18 undergraduate music-education majors showed a significant gain in formal-identification accuracy (47.2% → 71.8%, </w:t>
      </w:r>
      <w:r>
        <w:rPr>
          <w:i/>
          <w:iCs/>
        </w:rPr>
        <w:t>t</w:t>
      </w:r>
      <w:r>
        <w:t xml:space="preserve">(17)=4.92, </w:t>
      </w:r>
      <w:r>
        <w:rPr>
          <w:i/>
          <w:iCs/>
        </w:rPr>
        <w:t>p</w:t>
      </w:r>
      <w:r>
        <w:t xml:space="preserve">&lt;.01, Cohen's </w:t>
      </w:r>
      <w:r>
        <w:rPr>
          <w:i/>
          <w:iCs/>
        </w:rPr>
        <w:t>d</w:t>
      </w:r>
      <w:r>
        <w:t xml:space="preserve">=1.16, large effect) and a System Usability Scale (SUS) score of 81.4 (industry average: 68). Notably, free-response mention of the subdominant recapitulation rose from 0% pre-test to 78% post-test, suggesting that multi-representational visualization is effective not only for teaching formal </w:t>
      </w:r>
      <w:r>
        <w:rPr>
          <w:i/>
          <w:iCs/>
        </w:rPr>
        <w:t>norms</w:t>
      </w:r>
      <w:r>
        <w:t xml:space="preserve"> but also for surfacing the </w:t>
      </w:r>
      <w:r>
        <w:rPr>
          <w:i/>
          <w:iCs/>
        </w:rPr>
        <w:t>deformations</w:t>
      </w:r>
      <w:r>
        <w:t xml:space="preserve"> that animate the repertoire. The tool is released as MIT-licensed open source; its JSON schema for formal analysis is directly extensible to oth</w:t>
      </w:r>
      <w:r>
        <w:t>er works and forms.</w:t>
      </w:r>
    </w:p>
    <w:p w14:paraId="336E25DB" w14:textId="77777777" w:rsidR="00CF72E3" w:rsidRDefault="00A73744">
      <w:pPr>
        <w:pStyle w:val="a0"/>
      </w:pPr>
      <w:r>
        <w:rPr>
          <w:b/>
          <w:bCs/>
        </w:rPr>
        <w:t>Keywords:</w:t>
      </w:r>
      <w:r>
        <w:t xml:space="preserve"> music education technology, sonata form, score visualization, synchronized playback, MusicXML, OpenSheetMusicDisplay, multi-representational learning, Mozart K. 545</w:t>
      </w:r>
    </w:p>
    <w:p w14:paraId="336E25DC" w14:textId="77777777" w:rsidR="00CF72E3" w:rsidRDefault="00A73744">
      <w:pPr>
        <w:pStyle w:val="1"/>
      </w:pPr>
      <w:bookmarkStart w:id="1" w:name="Xe3d0fc0bea9a42ce7605565d0964033d7f6ee47"/>
      <w:bookmarkEnd w:id="0"/>
      <w:r>
        <w:t>1. Introduction</w:t>
      </w:r>
    </w:p>
    <w:p w14:paraId="336E25DD" w14:textId="77777777" w:rsidR="00CF72E3" w:rsidRDefault="00A73744">
      <w:pPr>
        <w:pStyle w:val="2"/>
      </w:pPr>
      <w:bookmarkStart w:id="2" w:name="X1bf71e34a5475eafa7691d512243933c189287b"/>
      <w:r>
        <w:t>1.1 Motivation</w:t>
      </w:r>
    </w:p>
    <w:p w14:paraId="336E25DE" w14:textId="77777777" w:rsidR="00CF72E3" w:rsidRDefault="00A73744">
      <w:pPr>
        <w:pStyle w:val="FirstParagraph"/>
      </w:pPr>
      <w:r>
        <w:t>Sonata form is the principal organizational principle of Western instrumental music from the late eighteenth century onwards and remains a central topic in music-theory and music-history curricula at both secondary and tertiary levels (Caplin, 2009; Hepokoski &amp; Darcy, 2006). Despite this curricular centrality, learners — including music-conservatory entrants — routinely report difficulty perceiving formal structure during listening (Cook, 1990; Margulis, 2014). This difficulty arises from at least three rep</w:t>
      </w:r>
      <w:r>
        <w:t>resentational gaps:</w:t>
      </w:r>
    </w:p>
    <w:p w14:paraId="336E25DF" w14:textId="77777777" w:rsidR="00CF72E3" w:rsidRDefault="00A73744">
      <w:pPr>
        <w:pStyle w:val="Compact"/>
        <w:numPr>
          <w:ilvl w:val="0"/>
          <w:numId w:val="2"/>
        </w:numPr>
      </w:pPr>
      <w:r>
        <w:rPr>
          <w:b/>
          <w:bCs/>
        </w:rPr>
        <w:t>The temporal–spatial gap.</w:t>
      </w:r>
      <w:r>
        <w:t xml:space="preserve"> Music unfolds in time, but notation is fixed in space. The learner must mentally bind the two.</w:t>
      </w:r>
    </w:p>
    <w:p w14:paraId="336E25E0" w14:textId="77777777" w:rsidR="00CF72E3" w:rsidRDefault="00A73744">
      <w:pPr>
        <w:pStyle w:val="Compact"/>
        <w:numPr>
          <w:ilvl w:val="0"/>
          <w:numId w:val="2"/>
        </w:numPr>
      </w:pPr>
      <w:r>
        <w:rPr>
          <w:b/>
          <w:bCs/>
        </w:rPr>
        <w:t>Absence of "you-are-here" cues.</w:t>
      </w:r>
      <w:r>
        <w:t xml:space="preserve"> Listeners typically receive no visual indication of their current position within the formal scheme.</w:t>
      </w:r>
    </w:p>
    <w:p w14:paraId="336E25E1" w14:textId="77777777" w:rsidR="00CF72E3" w:rsidRDefault="00A73744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Flattening of hierarchy.</w:t>
      </w:r>
      <w:r>
        <w:t xml:space="preserve"> The hierarchy of section → theme zone → motive is not directly legible from the printed score; it relies on verbal explanation or post-hoc analysis.</w:t>
      </w:r>
    </w:p>
    <w:p w14:paraId="336E25E2" w14:textId="77777777" w:rsidR="00CF72E3" w:rsidRDefault="00A73744">
      <w:pPr>
        <w:pStyle w:val="FirstParagraph"/>
      </w:pPr>
      <w:r>
        <w:t xml:space="preserve">Digital tools offer a route to closing these gaps through </w:t>
      </w:r>
      <w:r>
        <w:rPr>
          <w:i/>
          <w:iCs/>
        </w:rPr>
        <w:t>simultaneous representation</w:t>
      </w:r>
      <w:r>
        <w:t xml:space="preserve">. Sapp (2011) and Smith (2013) demonstrate the analytic potential of computational visualization, but their work is research-oriented and not aimed at classroom learners. Commercial platforms such as Soundslice and MuseScore Web provide score-following synchronized to audio, yet they do not treat </w:t>
      </w:r>
      <w:r>
        <w:rPr>
          <w:i/>
          <w:iCs/>
        </w:rPr>
        <w:t>formal analysis as a first-class data object</w:t>
      </w:r>
      <w:r>
        <w:t xml:space="preserve">: a learner cannot click a "secondary theme" label, jump to it, loop it, and see it foregrounded on the score in the same color it occupies on </w:t>
      </w:r>
      <w:r>
        <w:t>a timeline.</w:t>
      </w:r>
    </w:p>
    <w:p w14:paraId="336E25E3" w14:textId="77777777" w:rsidR="00CF72E3" w:rsidRDefault="00A73744">
      <w:pPr>
        <w:pStyle w:val="a0"/>
      </w:pPr>
      <w:r>
        <w:t>This paper presents an open-source tool designed precisely to close that gap, evaluates its educational effect on undergraduate music-education majors, and releases its analytical data and source code under permissive licenses for community reuse.</w:t>
      </w:r>
    </w:p>
    <w:p w14:paraId="336E25E4" w14:textId="77777777" w:rsidR="00CF72E3" w:rsidRDefault="00A73744">
      <w:pPr>
        <w:pStyle w:val="2"/>
      </w:pPr>
      <w:bookmarkStart w:id="3" w:name="Xe2513cbe4cec0b433ad043d7a2d5bcba3139b87"/>
      <w:bookmarkEnd w:id="2"/>
      <w:r>
        <w:t>1.2 Research Questions</w:t>
      </w:r>
    </w:p>
    <w:p w14:paraId="336E25E5" w14:textId="77777777" w:rsidR="00CF72E3" w:rsidRDefault="00A73744">
      <w:pPr>
        <w:pStyle w:val="Compact"/>
        <w:numPr>
          <w:ilvl w:val="0"/>
          <w:numId w:val="3"/>
        </w:numPr>
      </w:pPr>
      <w:r>
        <w:rPr>
          <w:b/>
          <w:bCs/>
        </w:rPr>
        <w:t>RQ1.</w:t>
      </w:r>
      <w:r>
        <w:t xml:space="preserve"> How should the synchronized visualization of score, audio, and formal analysis be designed to support effective learning of the hierarchical structure of sonata form?</w:t>
      </w:r>
    </w:p>
    <w:p w14:paraId="336E25E6" w14:textId="77777777" w:rsidR="00CF72E3" w:rsidRDefault="00A73744">
      <w:pPr>
        <w:pStyle w:val="Compact"/>
        <w:numPr>
          <w:ilvl w:val="0"/>
          <w:numId w:val="3"/>
        </w:numPr>
      </w:pPr>
      <w:r>
        <w:rPr>
          <w:b/>
          <w:bCs/>
        </w:rPr>
        <w:t>RQ2.</w:t>
      </w:r>
      <w:r>
        <w:t xml:space="preserve"> What pedagogical affordances does the first movement of Mozart's K. 545 offer as a case piece — particularly its subdominant-recapitulation deformation?</w:t>
      </w:r>
    </w:p>
    <w:p w14:paraId="336E25E7" w14:textId="77777777" w:rsidR="00CF72E3" w:rsidRDefault="00A73744">
      <w:pPr>
        <w:pStyle w:val="Compact"/>
        <w:numPr>
          <w:ilvl w:val="0"/>
          <w:numId w:val="3"/>
        </w:numPr>
      </w:pPr>
      <w:r>
        <w:rPr>
          <w:b/>
          <w:bCs/>
        </w:rPr>
        <w:t>RQ3.</w:t>
      </w:r>
      <w:r>
        <w:t xml:space="preserve"> How does the implemented system perform with respect to (a) formal-identification accuracy and (b) system usability?</w:t>
      </w:r>
    </w:p>
    <w:p w14:paraId="336E25E8" w14:textId="77777777" w:rsidR="00CF72E3" w:rsidRDefault="00A73744">
      <w:pPr>
        <w:pStyle w:val="2"/>
      </w:pPr>
      <w:bookmarkStart w:id="4" w:name="Xb1c59bf1c3438cfd31a3fec8cade6ebe9aa841c"/>
      <w:bookmarkEnd w:id="3"/>
      <w:r>
        <w:t>1.3 Contributions</w:t>
      </w:r>
    </w:p>
    <w:p w14:paraId="336E25E9" w14:textId="77777777" w:rsidR="00CF72E3" w:rsidRDefault="00A73744">
      <w:pPr>
        <w:pStyle w:val="FirstParagraph"/>
      </w:pPr>
      <w:r>
        <w:t>This work contributes:</w:t>
      </w:r>
    </w:p>
    <w:p w14:paraId="336E25EA" w14:textId="77777777" w:rsidR="00CF72E3" w:rsidRDefault="00A73744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A learner-facing open-source tool</w:t>
      </w:r>
      <w:r>
        <w:t xml:space="preserve"> that synchronizes score, audio, and a hierarchical formal-analysis layer in the browser, requiring only a single external dependency.</w:t>
      </w:r>
    </w:p>
    <w:p w14:paraId="336E25EB" w14:textId="77777777" w:rsidR="00CF72E3" w:rsidRDefault="00A73744">
      <w:pPr>
        <w:pStyle w:val="Compact"/>
        <w:numPr>
          <w:ilvl w:val="0"/>
          <w:numId w:val="4"/>
        </w:numPr>
      </w:pPr>
      <w:r>
        <w:rPr>
          <w:b/>
          <w:bCs/>
        </w:rPr>
        <w:t>A machine-readable, peer-reviewable JSON schema</w:t>
      </w:r>
      <w:r>
        <w:t xml:space="preserve"> for sonata-form analysis, populated for K. 545 mvt. I and released under CC BY 4.0 for direct reuse and extension.</w:t>
      </w:r>
    </w:p>
    <w:p w14:paraId="336E25EC" w14:textId="77777777" w:rsidR="00CF72E3" w:rsidRDefault="00A73744">
      <w:pPr>
        <w:pStyle w:val="Compact"/>
        <w:numPr>
          <w:ilvl w:val="0"/>
          <w:numId w:val="4"/>
        </w:numPr>
      </w:pPr>
      <w:r>
        <w:rPr>
          <w:b/>
          <w:bCs/>
        </w:rPr>
        <w:t>An empirical evaluation</w:t>
      </w:r>
      <w:r>
        <w:t xml:space="preserve"> showing a large effect-size gain in formal-identification accuracy and an "Excellent" SUS score, with particular evidence that multi-representational visualization surfaces formal deformations that traditional verbal teaching often underplays.</w:t>
      </w:r>
    </w:p>
    <w:p w14:paraId="336E25ED" w14:textId="77777777" w:rsidR="00CF72E3" w:rsidRDefault="00A73744">
      <w:pPr>
        <w:pStyle w:val="1"/>
      </w:pPr>
      <w:bookmarkStart w:id="5" w:name="X619ba3478f1480a9208e2b421efeeeaa187dd54"/>
      <w:bookmarkEnd w:id="1"/>
      <w:bookmarkEnd w:id="4"/>
      <w:r>
        <w:t>2. Background</w:t>
      </w:r>
    </w:p>
    <w:p w14:paraId="336E25EE" w14:textId="77777777" w:rsidR="00CF72E3" w:rsidRDefault="00A73744">
      <w:pPr>
        <w:pStyle w:val="2"/>
      </w:pPr>
      <w:bookmarkStart w:id="6" w:name="X636afad0aabef8e19e5b2a066aedeb36b31e26b"/>
      <w:r>
        <w:t>2.1 Hierarchical Analysis of Sonata Form</w:t>
      </w:r>
    </w:p>
    <w:p w14:paraId="336E25EF" w14:textId="77777777" w:rsidR="00CF72E3" w:rsidRDefault="00A73744">
      <w:pPr>
        <w:pStyle w:val="FirstParagraph"/>
      </w:pPr>
      <w:r>
        <w:t>We adopt a two-level hierarchy that combines the rotational perspective of Sonata Theory (Hepokoski &amp; Darcy, 2006) with the formal-function account of Caplin (1998).</w:t>
      </w:r>
    </w:p>
    <w:p w14:paraId="336E25F0" w14:textId="77777777" w:rsidR="00CF72E3" w:rsidRDefault="00A73744">
      <w:pPr>
        <w:pStyle w:val="a0"/>
      </w:pPr>
      <w:r>
        <w:rPr>
          <w:b/>
          <w:bCs/>
        </w:rPr>
        <w:t>Large sections.</w:t>
      </w:r>
    </w:p>
    <w:p w14:paraId="336E25F1" w14:textId="77777777" w:rsidR="00CF72E3" w:rsidRDefault="00A73744">
      <w:pPr>
        <w:pStyle w:val="Compact"/>
        <w:numPr>
          <w:ilvl w:val="0"/>
          <w:numId w:val="5"/>
        </w:numPr>
      </w:pPr>
      <w:r>
        <w:t>Exposition — presents two thematic complexes in two key areas.</w:t>
      </w:r>
    </w:p>
    <w:p w14:paraId="336E25F2" w14:textId="77777777" w:rsidR="00CF72E3" w:rsidRDefault="00A73744">
      <w:pPr>
        <w:pStyle w:val="Compact"/>
        <w:numPr>
          <w:ilvl w:val="0"/>
          <w:numId w:val="5"/>
        </w:numPr>
      </w:pPr>
      <w:r>
        <w:t>Development — recasts and modulates the exposition's material.</w:t>
      </w:r>
    </w:p>
    <w:p w14:paraId="336E25F3" w14:textId="77777777" w:rsidR="00CF72E3" w:rsidRDefault="00A73744">
      <w:pPr>
        <w:pStyle w:val="Compact"/>
        <w:numPr>
          <w:ilvl w:val="0"/>
          <w:numId w:val="5"/>
        </w:numPr>
      </w:pPr>
      <w:r>
        <w:t>Recapitulation — restates both thematic complexes in the tonic.</w:t>
      </w:r>
    </w:p>
    <w:p w14:paraId="336E25F4" w14:textId="77777777" w:rsidR="00CF72E3" w:rsidRDefault="00A73744">
      <w:pPr>
        <w:pStyle w:val="Compact"/>
        <w:numPr>
          <w:ilvl w:val="0"/>
          <w:numId w:val="5"/>
        </w:numPr>
      </w:pPr>
      <w:r>
        <w:t>Coda — optional closing section (absent in K. 545 mvt. I).</w:t>
      </w:r>
    </w:p>
    <w:p w14:paraId="336E25F5" w14:textId="77777777" w:rsidR="00CF72E3" w:rsidRDefault="00A73744">
      <w:pPr>
        <w:pStyle w:val="FirstParagraph"/>
      </w:pPr>
      <w:r>
        <w:rPr>
          <w:b/>
          <w:bCs/>
        </w:rPr>
        <w:t>Theme zones.</w:t>
      </w:r>
    </w:p>
    <w:p w14:paraId="336E25F6" w14:textId="77777777" w:rsidR="00CF72E3" w:rsidRDefault="00A73744">
      <w:pPr>
        <w:pStyle w:val="Compact"/>
        <w:numPr>
          <w:ilvl w:val="0"/>
          <w:numId w:val="6"/>
        </w:numPr>
      </w:pPr>
      <w:r>
        <w:t>P (Primary theme zone)</w:t>
      </w:r>
    </w:p>
    <w:p w14:paraId="336E25F7" w14:textId="77777777" w:rsidR="00CF72E3" w:rsidRDefault="00A73744">
      <w:pPr>
        <w:pStyle w:val="Compact"/>
        <w:numPr>
          <w:ilvl w:val="0"/>
          <w:numId w:val="6"/>
        </w:numPr>
      </w:pPr>
      <w:r>
        <w:t>T (Transition)</w:t>
      </w:r>
    </w:p>
    <w:p w14:paraId="336E25F8" w14:textId="77777777" w:rsidR="00CF72E3" w:rsidRDefault="00A73744">
      <w:pPr>
        <w:pStyle w:val="Compact"/>
        <w:numPr>
          <w:ilvl w:val="0"/>
          <w:numId w:val="6"/>
        </w:numPr>
      </w:pPr>
      <w:r>
        <w:lastRenderedPageBreak/>
        <w:t>S (Secondary theme zone)</w:t>
      </w:r>
    </w:p>
    <w:p w14:paraId="336E25F9" w14:textId="77777777" w:rsidR="00CF72E3" w:rsidRDefault="00A73744">
      <w:pPr>
        <w:pStyle w:val="Compact"/>
        <w:numPr>
          <w:ilvl w:val="0"/>
          <w:numId w:val="6"/>
        </w:numPr>
      </w:pPr>
      <w:r>
        <w:t>K (Closing theme / codetta)</w:t>
      </w:r>
    </w:p>
    <w:p w14:paraId="336E25FA" w14:textId="77777777" w:rsidR="00CF72E3" w:rsidRDefault="00A73744">
      <w:pPr>
        <w:pStyle w:val="FirstParagraph"/>
      </w:pPr>
      <w:r>
        <w:t xml:space="preserve">This two-level hierarchy is directly compatible with both Hepokoski &amp; Darcy's </w:t>
      </w:r>
      <w:r>
        <w:rPr>
          <w:i/>
          <w:iCs/>
        </w:rPr>
        <w:t>rotational</w:t>
      </w:r>
      <w:r>
        <w:t xml:space="preserve"> analysis and Caplin's </w:t>
      </w:r>
      <w:r>
        <w:rPr>
          <w:i/>
          <w:iCs/>
        </w:rPr>
        <w:t>formal-function</w:t>
      </w:r>
      <w:r>
        <w:t xml:space="preserve"> analysis, and it offers learners </w:t>
      </w:r>
      <w:r>
        <w:rPr>
          <w:i/>
          <w:iCs/>
        </w:rPr>
        <w:t>two simultaneous resolutions of "where am I?"</w:t>
      </w:r>
      <w:r>
        <w:t>: which large section, and which thematic role within it.</w:t>
      </w:r>
    </w:p>
    <w:p w14:paraId="336E25FB" w14:textId="77777777" w:rsidR="00CF72E3" w:rsidRDefault="00A73744">
      <w:pPr>
        <w:pStyle w:val="2"/>
      </w:pPr>
      <w:bookmarkStart w:id="7" w:name="Xcdbd97658319399ff5ffd3a85fd0bd39d0734e1"/>
      <w:bookmarkEnd w:id="6"/>
      <w:r>
        <w:t>2.2 Dual Coding and the Cognitive Theory of Multimedia Learning</w:t>
      </w:r>
    </w:p>
    <w:p w14:paraId="336E25FC" w14:textId="77777777" w:rsidR="00CF72E3" w:rsidRDefault="00A73744">
      <w:pPr>
        <w:pStyle w:val="FirstParagraph"/>
      </w:pPr>
      <w:r>
        <w:t xml:space="preserve">Paivio's (1991) dual coding theory holds that verbal and non-verbal representations are processed through </w:t>
      </w:r>
      <w:r>
        <w:rPr>
          <w:i/>
          <w:iCs/>
        </w:rPr>
        <w:t>separate cognitive channels</w:t>
      </w:r>
      <w:r>
        <w:t>, and that activating both channels increases learning efficiency. Mayer's (2009) cognitive theory of multimedia learning extends this to instructional design through three principles particularly relevant here: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019"/>
        <w:gridCol w:w="6478"/>
      </w:tblGrid>
      <w:tr w:rsidR="00CF72E3" w:rsidRPr="00A25EFB" w14:paraId="336E25FF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5FD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Mayer's 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5FE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Implementation in This Tool</w:t>
            </w:r>
          </w:p>
        </w:tc>
      </w:tr>
      <w:tr w:rsidR="00CF72E3" w:rsidRPr="00A25EFB" w14:paraId="336E2602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60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Modality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0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Audio (auditory) + score (visual) + label (verbal) co-presented</w:t>
            </w:r>
          </w:p>
        </w:tc>
      </w:tr>
      <w:tr w:rsidR="00CF72E3" w:rsidRPr="00A25EFB" w14:paraId="336E2605" w14:textId="77777777" w:rsidTr="00A25EFB">
        <w:trPr>
          <w:jc w:val="center"/>
        </w:trPr>
        <w:tc>
          <w:tcPr>
            <w:tcW w:w="0" w:type="auto"/>
          </w:tcPr>
          <w:p w14:paraId="336E260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Temporal contiguity</w:t>
            </w:r>
          </w:p>
        </w:tc>
        <w:tc>
          <w:tcPr>
            <w:tcW w:w="0" w:type="auto"/>
          </w:tcPr>
          <w:p w14:paraId="336E260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 xml:space="preserve">All representations updated within a single render frame on </w:t>
            </w:r>
            <w:r w:rsidRPr="00A25EFB">
              <w:rPr>
                <w:rStyle w:val="VerbatimChar"/>
                <w:rFonts w:ascii="Times New Roman" w:hAnsi="Times New Roman"/>
                <w:sz w:val="22"/>
              </w:rPr>
              <w:t>timeupdate</w:t>
            </w:r>
          </w:p>
        </w:tc>
      </w:tr>
      <w:tr w:rsidR="00CF72E3" w:rsidRPr="00A25EFB" w14:paraId="336E2608" w14:textId="77777777" w:rsidTr="00A25EFB">
        <w:trPr>
          <w:jc w:val="center"/>
        </w:trPr>
        <w:tc>
          <w:tcPr>
            <w:tcW w:w="0" w:type="auto"/>
          </w:tcPr>
          <w:p w14:paraId="336E260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Spatial contiguity</w:t>
            </w:r>
          </w:p>
        </w:tc>
        <w:tc>
          <w:tcPr>
            <w:tcW w:w="0" w:type="auto"/>
          </w:tcPr>
          <w:p w14:paraId="336E260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 xml:space="preserve">Color overlay drawn </w:t>
            </w:r>
            <w:r w:rsidRPr="00A25EFB">
              <w:rPr>
                <w:i/>
                <w:iCs/>
                <w:sz w:val="22"/>
              </w:rPr>
              <w:t>directly on the score itself</w:t>
            </w:r>
            <w:r w:rsidRPr="00A25EFB">
              <w:rPr>
                <w:sz w:val="22"/>
              </w:rPr>
              <w:t>, not in a separate panel</w:t>
            </w:r>
          </w:p>
        </w:tc>
      </w:tr>
    </w:tbl>
    <w:p w14:paraId="336E2609" w14:textId="77777777" w:rsidR="00CF72E3" w:rsidRDefault="00A73744">
      <w:pPr>
        <w:pStyle w:val="a0"/>
      </w:pPr>
      <w:r>
        <w:t>Plazak (2014) shows empirically that color-mapped form visualization improves form-identification accuracy by 14–23% in non-major learners, suggesting that hierarchical color encoding distributes cognitive load effectively.</w:t>
      </w:r>
    </w:p>
    <w:p w14:paraId="336E260A" w14:textId="77777777" w:rsidR="00CF72E3" w:rsidRDefault="00A73744">
      <w:pPr>
        <w:pStyle w:val="2"/>
      </w:pPr>
      <w:bookmarkStart w:id="8" w:name="X6784453bfb3fc20011e6020596635d203a2a71e"/>
      <w:bookmarkEnd w:id="7"/>
      <w:r>
        <w:t>2.3 Active Learning and Comparative Listening</w:t>
      </w:r>
    </w:p>
    <w:p w14:paraId="336E260B" w14:textId="77777777" w:rsidR="00CF72E3" w:rsidRDefault="00A73744">
      <w:pPr>
        <w:pStyle w:val="FirstParagraph"/>
      </w:pPr>
      <w:r>
        <w:t xml:space="preserve">Hargreaves (1986) and North &amp; Hargreaves (2008) document that form-learning is strengthened by </w:t>
      </w:r>
      <w:r>
        <w:rPr>
          <w:i/>
          <w:iCs/>
        </w:rPr>
        <w:t>repeated listening</w:t>
      </w:r>
      <w:r>
        <w:t xml:space="preserve"> and </w:t>
      </w:r>
      <w:r>
        <w:rPr>
          <w:i/>
          <w:iCs/>
        </w:rPr>
        <w:t>active comparison</w:t>
      </w:r>
      <w:r>
        <w:t xml:space="preserve">. The present tool therefore supports section-level jumping, section looping, playback-speed control, and keyboard shortcuts so </w:t>
      </w:r>
      <w:r>
        <w:lastRenderedPageBreak/>
        <w:t xml:space="preserve">that learners can perform </w:t>
      </w:r>
      <w:r>
        <w:rPr>
          <w:i/>
          <w:iCs/>
        </w:rPr>
        <w:t>A–B comparison</w:t>
      </w:r>
      <w:r>
        <w:t xml:space="preserve"> of, for example, P in the exposition versus P in the recapitulation — a comparison that is precisely what reveals the K. 545 subdominant recapitulation as such.</w:t>
      </w:r>
    </w:p>
    <w:p w14:paraId="336E260C" w14:textId="77777777" w:rsidR="00CF72E3" w:rsidRDefault="00A73744">
      <w:pPr>
        <w:pStyle w:val="2"/>
      </w:pPr>
      <w:bookmarkStart w:id="9" w:name="Xf4d637e68613cffa17c84978bce4794819ef246"/>
      <w:bookmarkEnd w:id="8"/>
      <w:r>
        <w:t>2.4 Related Tools</w:t>
      </w:r>
    </w:p>
    <w:p w14:paraId="336E260D" w14:textId="77777777" w:rsidR="00CF72E3" w:rsidRDefault="00A73744">
      <w:pPr>
        <w:pStyle w:val="FirstParagraph"/>
      </w:pPr>
      <w:r>
        <w:t>Table 1 positions the present work against close prior systems.</w:t>
      </w:r>
    </w:p>
    <w:p w14:paraId="336E260E" w14:textId="77777777" w:rsidR="00CF72E3" w:rsidRDefault="00A73744">
      <w:pPr>
        <w:pStyle w:val="a0"/>
      </w:pPr>
      <w:r>
        <w:rPr>
          <w:b/>
          <w:bCs/>
        </w:rPr>
        <w:t>Table 1.</w:t>
      </w:r>
      <w:r>
        <w:t xml:space="preserve"> Comparison with related visualization and score-following tools.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266"/>
        <w:gridCol w:w="1866"/>
        <w:gridCol w:w="1175"/>
        <w:gridCol w:w="1274"/>
        <w:gridCol w:w="1102"/>
        <w:gridCol w:w="1560"/>
      </w:tblGrid>
      <w:tr w:rsidR="00CF72E3" w:rsidRPr="00A25EFB" w14:paraId="336E2615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0F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Tool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10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Hierarchical formal labels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11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Score-audio sync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12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Color encoding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13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Section jump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14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Open source</w:t>
            </w:r>
          </w:p>
        </w:tc>
      </w:tr>
      <w:tr w:rsidR="00CF72E3" w:rsidRPr="00A25EFB" w14:paraId="336E261C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61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Sonic Visualiser (Cannam et al.,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1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△ (annotation only)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1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1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1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1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✓</w:t>
            </w:r>
          </w:p>
        </w:tc>
      </w:tr>
      <w:tr w:rsidR="00CF72E3" w:rsidRPr="00A25EFB" w14:paraId="336E2623" w14:textId="77777777" w:rsidTr="00A25EFB">
        <w:trPr>
          <w:jc w:val="center"/>
        </w:trPr>
        <w:tc>
          <w:tcPr>
            <w:tcW w:w="0" w:type="auto"/>
          </w:tcPr>
          <w:p w14:paraId="336E261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Soundslice (commercial)</w:t>
            </w:r>
          </w:p>
        </w:tc>
        <w:tc>
          <w:tcPr>
            <w:tcW w:w="0" w:type="auto"/>
          </w:tcPr>
          <w:p w14:paraId="336E261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36E261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36E262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36E262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336E262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</w:tr>
      <w:tr w:rsidR="00CF72E3" w:rsidRPr="00A25EFB" w14:paraId="336E262A" w14:textId="77777777" w:rsidTr="00A25EFB">
        <w:trPr>
          <w:jc w:val="center"/>
        </w:trPr>
        <w:tc>
          <w:tcPr>
            <w:tcW w:w="0" w:type="auto"/>
          </w:tcPr>
          <w:p w14:paraId="336E262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iAnalyse (Couprie, 2008)</w:t>
            </w:r>
          </w:p>
        </w:tc>
        <w:tc>
          <w:tcPr>
            <w:tcW w:w="0" w:type="auto"/>
          </w:tcPr>
          <w:p w14:paraId="336E262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36E262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336E262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36E262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36E262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✓</w:t>
            </w:r>
          </w:p>
        </w:tc>
      </w:tr>
      <w:tr w:rsidR="00CF72E3" w:rsidRPr="00A25EFB" w14:paraId="336E2631" w14:textId="77777777" w:rsidTr="00A25EFB">
        <w:trPr>
          <w:jc w:val="center"/>
        </w:trPr>
        <w:tc>
          <w:tcPr>
            <w:tcW w:w="0" w:type="auto"/>
          </w:tcPr>
          <w:p w14:paraId="336E262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Verovio Humdrum Viewer (Sapp, 2017)</w:t>
            </w:r>
          </w:p>
        </w:tc>
        <w:tc>
          <w:tcPr>
            <w:tcW w:w="0" w:type="auto"/>
          </w:tcPr>
          <w:p w14:paraId="336E262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336E262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336E262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36E262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36E263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✓</w:t>
            </w:r>
          </w:p>
        </w:tc>
      </w:tr>
      <w:tr w:rsidR="00CF72E3" w:rsidRPr="00A25EFB" w14:paraId="336E2638" w14:textId="77777777" w:rsidTr="00A25EFB">
        <w:trPr>
          <w:jc w:val="center"/>
        </w:trPr>
        <w:tc>
          <w:tcPr>
            <w:tcW w:w="0" w:type="auto"/>
          </w:tcPr>
          <w:p w14:paraId="336E263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MuseScore Web (commercial)</w:t>
            </w:r>
          </w:p>
        </w:tc>
        <w:tc>
          <w:tcPr>
            <w:tcW w:w="0" w:type="auto"/>
          </w:tcPr>
          <w:p w14:paraId="336E263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36E263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36E263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36E263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36E263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× (free reader, closed source)</w:t>
            </w:r>
          </w:p>
        </w:tc>
      </w:tr>
      <w:tr w:rsidR="00CF72E3" w:rsidRPr="00A25EFB" w14:paraId="336E263F" w14:textId="77777777" w:rsidTr="00A25EFB">
        <w:trPr>
          <w:jc w:val="center"/>
        </w:trPr>
        <w:tc>
          <w:tcPr>
            <w:tcW w:w="0" w:type="auto"/>
          </w:tcPr>
          <w:p w14:paraId="336E263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b/>
                <w:bCs/>
                <w:sz w:val="22"/>
              </w:rPr>
              <w:t>This work</w:t>
            </w:r>
          </w:p>
        </w:tc>
        <w:tc>
          <w:tcPr>
            <w:tcW w:w="0" w:type="auto"/>
          </w:tcPr>
          <w:p w14:paraId="336E263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b/>
                <w:bCs/>
                <w:sz w:val="22"/>
              </w:rPr>
              <w:t>✓</w:t>
            </w:r>
            <w:r w:rsidRPr="00A25EFB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336E263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336E263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b/>
                <w:bCs/>
                <w:sz w:val="22"/>
              </w:rPr>
              <w:t>✓</w:t>
            </w:r>
            <w:r w:rsidRPr="00A25EFB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336E263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336E263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b/>
                <w:bCs/>
                <w:sz w:val="22"/>
              </w:rPr>
              <w:t>✓</w:t>
            </w:r>
          </w:p>
        </w:tc>
      </w:tr>
    </w:tbl>
    <w:p w14:paraId="336E2640" w14:textId="77777777" w:rsidR="00CF72E3" w:rsidRDefault="00A73744">
      <w:pPr>
        <w:pStyle w:val="a0"/>
      </w:pPr>
      <w:r>
        <w:lastRenderedPageBreak/>
        <w:t xml:space="preserve">To our knowledge, this is the first </w:t>
      </w:r>
      <w:r>
        <w:rPr>
          <w:i/>
          <w:iCs/>
        </w:rPr>
        <w:t>open-source</w:t>
      </w:r>
      <w:r>
        <w:t xml:space="preserve"> tool to combine hierarchical color-coded formal labels, score-audio synchronization, and section-level interaction in a single learner-facing interface.</w:t>
      </w:r>
    </w:p>
    <w:p w14:paraId="336E2641" w14:textId="77777777" w:rsidR="00CF72E3" w:rsidRDefault="00A73744">
      <w:pPr>
        <w:pStyle w:val="1"/>
      </w:pPr>
      <w:bookmarkStart w:id="10" w:name="X22b19702d34576da8b32320cefe87a134a1534c"/>
      <w:bookmarkEnd w:id="5"/>
      <w:bookmarkEnd w:id="9"/>
      <w:r>
        <w:t>3. Case Piece: Mozart's K. 545, Movement I</w:t>
      </w:r>
    </w:p>
    <w:p w14:paraId="336E2642" w14:textId="77777777" w:rsidR="00CF72E3" w:rsidRDefault="00A73744">
      <w:pPr>
        <w:pStyle w:val="2"/>
      </w:pPr>
      <w:bookmarkStart w:id="11" w:name="X90037fffeb0517eb9be28959be4b42079adccec"/>
      <w:r>
        <w:t>3.1 Overview</w:t>
      </w:r>
    </w:p>
    <w:p w14:paraId="336E2643" w14:textId="77777777" w:rsidR="00CF72E3" w:rsidRDefault="00A73744">
      <w:pPr>
        <w:pStyle w:val="FirstParagraph"/>
      </w:pPr>
      <w:r>
        <w:t>Composed in Vienna in 1788 and self-described by Mozart as "</w:t>
      </w:r>
      <w:r>
        <w:rPr>
          <w:i/>
          <w:iCs/>
        </w:rPr>
        <w:t>für Anfänger</w:t>
      </w:r>
      <w:r>
        <w:t xml:space="preserve">" (for beginners; the now-conventional title </w:t>
      </w:r>
      <w:r>
        <w:rPr>
          <w:i/>
          <w:iCs/>
        </w:rPr>
        <w:t>Sonata facile</w:t>
      </w:r>
      <w:r>
        <w:t xml:space="preserve"> is a posthumous attribution), the movement is in C major, common time, </w:t>
      </w:r>
      <w:r>
        <w:rPr>
          <w:i/>
          <w:iCs/>
        </w:rPr>
        <w:t>Allegro</w:t>
      </w:r>
      <w:r>
        <w:t>, and runs 73 measures (Mozart, 1986/NMA IX/25). Its near-canonical status in piano pedagogy makes it familiar to most learners, which controls for prior-exposure effects in evaluation.</w:t>
      </w:r>
    </w:p>
    <w:p w14:paraId="336E2644" w14:textId="77777777" w:rsidR="00CF72E3" w:rsidRDefault="00A73744">
      <w:pPr>
        <w:pStyle w:val="2"/>
      </w:pPr>
      <w:bookmarkStart w:id="12" w:name="X5114b9a8810654ce1b996f5cb0cc61b16e32533"/>
      <w:bookmarkEnd w:id="11"/>
      <w:r>
        <w:t>3.2 Formal Analysis</w:t>
      </w:r>
    </w:p>
    <w:p w14:paraId="336E2645" w14:textId="77777777" w:rsidR="00CF72E3" w:rsidRDefault="00A73744">
      <w:pPr>
        <w:pStyle w:val="FirstParagraph"/>
      </w:pPr>
      <w:r>
        <w:t>Table 2 presents the analysis adopted by the tool.</w:t>
      </w:r>
    </w:p>
    <w:p w14:paraId="336E2646" w14:textId="77777777" w:rsidR="00CF72E3" w:rsidRDefault="00A73744">
      <w:pPr>
        <w:pStyle w:val="a0"/>
      </w:pPr>
      <w:r>
        <w:rPr>
          <w:b/>
          <w:bCs/>
        </w:rPr>
        <w:t>Table 2.</w:t>
      </w:r>
      <w:r>
        <w:t xml:space="preserve"> Two-level formal analysis of K. 545, mvt. I (73 measures).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1750"/>
        <w:gridCol w:w="1121"/>
        <w:gridCol w:w="1335"/>
        <w:gridCol w:w="1449"/>
      </w:tblGrid>
      <w:tr w:rsidR="00CF72E3" w:rsidRPr="00A25EFB" w14:paraId="336E264C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47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Section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48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Theme zone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49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Measures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4A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Key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4B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Time (♩=132)</w:t>
            </w:r>
          </w:p>
        </w:tc>
      </w:tr>
      <w:tr w:rsidR="00CF72E3" w:rsidRPr="00A25EFB" w14:paraId="336E2652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64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4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P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4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5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 major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5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0:00 – 0:25</w:t>
            </w:r>
          </w:p>
        </w:tc>
      </w:tr>
      <w:tr w:rsidR="00CF72E3" w:rsidRPr="00A25EFB" w14:paraId="336E2658" w14:textId="77777777" w:rsidTr="00A25EFB">
        <w:trPr>
          <w:jc w:val="center"/>
        </w:trPr>
        <w:tc>
          <w:tcPr>
            <w:tcW w:w="0" w:type="auto"/>
          </w:tcPr>
          <w:p w14:paraId="336E2653" w14:textId="77777777" w:rsidR="00CF72E3" w:rsidRPr="00A25EFB" w:rsidRDefault="00CF72E3" w:rsidP="00A25EFB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36E265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336E265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13</w:t>
            </w:r>
          </w:p>
        </w:tc>
        <w:tc>
          <w:tcPr>
            <w:tcW w:w="0" w:type="auto"/>
          </w:tcPr>
          <w:p w14:paraId="336E265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 → G</w:t>
            </w:r>
          </w:p>
        </w:tc>
        <w:tc>
          <w:tcPr>
            <w:tcW w:w="0" w:type="auto"/>
          </w:tcPr>
          <w:p w14:paraId="336E265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0:25 – 0:28</w:t>
            </w:r>
          </w:p>
        </w:tc>
      </w:tr>
      <w:tr w:rsidR="00CF72E3" w:rsidRPr="00A25EFB" w14:paraId="336E265E" w14:textId="77777777" w:rsidTr="00A25EFB">
        <w:trPr>
          <w:jc w:val="center"/>
        </w:trPr>
        <w:tc>
          <w:tcPr>
            <w:tcW w:w="0" w:type="auto"/>
          </w:tcPr>
          <w:p w14:paraId="336E2659" w14:textId="77777777" w:rsidR="00CF72E3" w:rsidRPr="00A25EFB" w:rsidRDefault="00CF72E3" w:rsidP="00A25EFB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36E265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336E265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14–22</w:t>
            </w:r>
          </w:p>
        </w:tc>
        <w:tc>
          <w:tcPr>
            <w:tcW w:w="0" w:type="auto"/>
          </w:tcPr>
          <w:p w14:paraId="336E265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336E265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0:28 – 0:47</w:t>
            </w:r>
          </w:p>
        </w:tc>
      </w:tr>
      <w:tr w:rsidR="00CF72E3" w:rsidRPr="00A25EFB" w14:paraId="336E2664" w14:textId="77777777" w:rsidTr="00A25EFB">
        <w:trPr>
          <w:jc w:val="center"/>
        </w:trPr>
        <w:tc>
          <w:tcPr>
            <w:tcW w:w="0" w:type="auto"/>
          </w:tcPr>
          <w:p w14:paraId="336E265F" w14:textId="77777777" w:rsidR="00CF72E3" w:rsidRPr="00A25EFB" w:rsidRDefault="00CF72E3" w:rsidP="00A25EFB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36E266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336E266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22–28</w:t>
            </w:r>
          </w:p>
        </w:tc>
        <w:tc>
          <w:tcPr>
            <w:tcW w:w="0" w:type="auto"/>
          </w:tcPr>
          <w:p w14:paraId="336E266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336E266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0:47 – 1:00</w:t>
            </w:r>
          </w:p>
        </w:tc>
      </w:tr>
      <w:tr w:rsidR="00CF72E3" w:rsidRPr="00A25EFB" w14:paraId="336E266A" w14:textId="77777777" w:rsidTr="00A25EFB">
        <w:trPr>
          <w:jc w:val="center"/>
        </w:trPr>
        <w:tc>
          <w:tcPr>
            <w:tcW w:w="0" w:type="auto"/>
          </w:tcPr>
          <w:p w14:paraId="336E266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336E266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P-onset</w:t>
            </w:r>
          </w:p>
        </w:tc>
        <w:tc>
          <w:tcPr>
            <w:tcW w:w="0" w:type="auto"/>
          </w:tcPr>
          <w:p w14:paraId="336E266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29–33</w:t>
            </w:r>
          </w:p>
        </w:tc>
        <w:tc>
          <w:tcPr>
            <w:tcW w:w="0" w:type="auto"/>
          </w:tcPr>
          <w:p w14:paraId="336E266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g minor</w:t>
            </w:r>
          </w:p>
        </w:tc>
        <w:tc>
          <w:tcPr>
            <w:tcW w:w="0" w:type="auto"/>
          </w:tcPr>
          <w:p w14:paraId="336E266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1:00 – 1:11</w:t>
            </w:r>
          </w:p>
        </w:tc>
      </w:tr>
      <w:tr w:rsidR="00CF72E3" w:rsidRPr="00A25EFB" w14:paraId="336E2670" w14:textId="77777777" w:rsidTr="00A25EFB">
        <w:trPr>
          <w:jc w:val="center"/>
        </w:trPr>
        <w:tc>
          <w:tcPr>
            <w:tcW w:w="0" w:type="auto"/>
          </w:tcPr>
          <w:p w14:paraId="336E266B" w14:textId="77777777" w:rsidR="00CF72E3" w:rsidRPr="00A25EFB" w:rsidRDefault="00CF72E3" w:rsidP="00A25EFB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36E266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Sequence</w:t>
            </w:r>
          </w:p>
        </w:tc>
        <w:tc>
          <w:tcPr>
            <w:tcW w:w="0" w:type="auto"/>
          </w:tcPr>
          <w:p w14:paraId="336E266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34–38</w:t>
            </w:r>
          </w:p>
        </w:tc>
        <w:tc>
          <w:tcPr>
            <w:tcW w:w="0" w:type="auto"/>
          </w:tcPr>
          <w:p w14:paraId="336E266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d → a minor</w:t>
            </w:r>
          </w:p>
        </w:tc>
        <w:tc>
          <w:tcPr>
            <w:tcW w:w="0" w:type="auto"/>
          </w:tcPr>
          <w:p w14:paraId="336E266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1:11 – 1:22</w:t>
            </w:r>
          </w:p>
        </w:tc>
      </w:tr>
      <w:tr w:rsidR="00CF72E3" w:rsidRPr="00A25EFB" w14:paraId="336E2676" w14:textId="77777777" w:rsidTr="00A25EFB">
        <w:trPr>
          <w:jc w:val="center"/>
        </w:trPr>
        <w:tc>
          <w:tcPr>
            <w:tcW w:w="0" w:type="auto"/>
          </w:tcPr>
          <w:p w14:paraId="336E2671" w14:textId="77777777" w:rsidR="00CF72E3" w:rsidRPr="00A25EFB" w:rsidRDefault="00CF72E3" w:rsidP="00A25EFB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36E267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Retransition</w:t>
            </w:r>
          </w:p>
        </w:tc>
        <w:tc>
          <w:tcPr>
            <w:tcW w:w="0" w:type="auto"/>
          </w:tcPr>
          <w:p w14:paraId="336E267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39–41</w:t>
            </w:r>
          </w:p>
        </w:tc>
        <w:tc>
          <w:tcPr>
            <w:tcW w:w="0" w:type="auto"/>
          </w:tcPr>
          <w:p w14:paraId="336E267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C: V (G⁷)</w:t>
            </w:r>
          </w:p>
        </w:tc>
        <w:tc>
          <w:tcPr>
            <w:tcW w:w="0" w:type="auto"/>
          </w:tcPr>
          <w:p w14:paraId="336E267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1:22 – 1:30</w:t>
            </w:r>
          </w:p>
        </w:tc>
      </w:tr>
      <w:tr w:rsidR="00CF72E3" w:rsidRPr="00A25EFB" w14:paraId="336E267C" w14:textId="77777777" w:rsidTr="00A25EFB">
        <w:trPr>
          <w:jc w:val="center"/>
        </w:trPr>
        <w:tc>
          <w:tcPr>
            <w:tcW w:w="0" w:type="auto"/>
          </w:tcPr>
          <w:p w14:paraId="336E267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336E267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P (subdominant!)</w:t>
            </w:r>
          </w:p>
        </w:tc>
        <w:tc>
          <w:tcPr>
            <w:tcW w:w="0" w:type="auto"/>
          </w:tcPr>
          <w:p w14:paraId="336E267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42–49</w:t>
            </w:r>
          </w:p>
        </w:tc>
        <w:tc>
          <w:tcPr>
            <w:tcW w:w="0" w:type="auto"/>
          </w:tcPr>
          <w:p w14:paraId="336E267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b/>
                <w:bCs/>
                <w:sz w:val="22"/>
              </w:rPr>
              <w:t>F major</w:t>
            </w:r>
          </w:p>
        </w:tc>
        <w:tc>
          <w:tcPr>
            <w:tcW w:w="0" w:type="auto"/>
          </w:tcPr>
          <w:p w14:paraId="336E267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1:30 – 1:50</w:t>
            </w:r>
          </w:p>
        </w:tc>
      </w:tr>
      <w:tr w:rsidR="00CF72E3" w:rsidRPr="00A25EFB" w14:paraId="336E2682" w14:textId="77777777" w:rsidTr="00A25EFB">
        <w:trPr>
          <w:jc w:val="center"/>
        </w:trPr>
        <w:tc>
          <w:tcPr>
            <w:tcW w:w="0" w:type="auto"/>
          </w:tcPr>
          <w:p w14:paraId="336E267D" w14:textId="77777777" w:rsidR="00CF72E3" w:rsidRPr="00A25EFB" w:rsidRDefault="00CF72E3" w:rsidP="00A25EFB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36E267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336E267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50–57</w:t>
            </w:r>
          </w:p>
        </w:tc>
        <w:tc>
          <w:tcPr>
            <w:tcW w:w="0" w:type="auto"/>
          </w:tcPr>
          <w:p w14:paraId="336E268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F → C</w:t>
            </w:r>
          </w:p>
        </w:tc>
        <w:tc>
          <w:tcPr>
            <w:tcW w:w="0" w:type="auto"/>
          </w:tcPr>
          <w:p w14:paraId="336E268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1:50 – 2:10</w:t>
            </w:r>
          </w:p>
        </w:tc>
      </w:tr>
      <w:tr w:rsidR="00CF72E3" w:rsidRPr="00A25EFB" w14:paraId="336E2688" w14:textId="77777777" w:rsidTr="00A25EFB">
        <w:trPr>
          <w:jc w:val="center"/>
        </w:trPr>
        <w:tc>
          <w:tcPr>
            <w:tcW w:w="0" w:type="auto"/>
          </w:tcPr>
          <w:p w14:paraId="336E2683" w14:textId="77777777" w:rsidR="00CF72E3" w:rsidRPr="00A25EFB" w:rsidRDefault="00CF72E3" w:rsidP="00A25EFB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36E268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336E268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58–66</w:t>
            </w:r>
          </w:p>
        </w:tc>
        <w:tc>
          <w:tcPr>
            <w:tcW w:w="0" w:type="auto"/>
          </w:tcPr>
          <w:p w14:paraId="336E268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336E268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2:10 – 2:45</w:t>
            </w:r>
          </w:p>
        </w:tc>
      </w:tr>
      <w:tr w:rsidR="00CF72E3" w:rsidRPr="00A25EFB" w14:paraId="336E268E" w14:textId="77777777" w:rsidTr="00A25EFB">
        <w:trPr>
          <w:jc w:val="center"/>
        </w:trPr>
        <w:tc>
          <w:tcPr>
            <w:tcW w:w="0" w:type="auto"/>
          </w:tcPr>
          <w:p w14:paraId="336E2689" w14:textId="77777777" w:rsidR="00CF72E3" w:rsidRPr="00A25EFB" w:rsidRDefault="00CF72E3" w:rsidP="00A25EFB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36E268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336E268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66–73</w:t>
            </w:r>
          </w:p>
        </w:tc>
        <w:tc>
          <w:tcPr>
            <w:tcW w:w="0" w:type="auto"/>
          </w:tcPr>
          <w:p w14:paraId="336E268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336E268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2:45 – 3:15</w:t>
            </w:r>
          </w:p>
        </w:tc>
      </w:tr>
    </w:tbl>
    <w:p w14:paraId="336E268F" w14:textId="77777777" w:rsidR="00CF72E3" w:rsidRDefault="00A73744">
      <w:pPr>
        <w:pStyle w:val="2"/>
      </w:pPr>
      <w:bookmarkStart w:id="13" w:name="X22345862c5d429ecd2382d6ef2da7ccf6968f1d"/>
      <w:bookmarkEnd w:id="12"/>
      <w:r>
        <w:t>3.3 Pedagogical Significance: The Subdominant Recapitulation</w:t>
      </w:r>
    </w:p>
    <w:p w14:paraId="336E2690" w14:textId="77777777" w:rsidR="00CF72E3" w:rsidRDefault="00A73744">
      <w:pPr>
        <w:pStyle w:val="FirstParagraph"/>
      </w:pPr>
      <w:r>
        <w:t xml:space="preserve">K. 545's recapitulation famously begins in F major rather than the expected tonic. Hepokoski &amp; Darcy (2006: ch. 17) classify this as a </w:t>
      </w:r>
      <w:r>
        <w:rPr>
          <w:i/>
          <w:iCs/>
        </w:rPr>
        <w:t>subdominant recapitulation</w:t>
      </w:r>
      <w:r>
        <w:t>, a recognized but unusual deformation. Its functional motivation, often glossed in textbooks, is illuminating:</w:t>
      </w:r>
    </w:p>
    <w:p w14:paraId="336E2691" w14:textId="77777777" w:rsidR="00CF72E3" w:rsidRDefault="00A73744">
      <w:pPr>
        <w:pStyle w:val="a8"/>
      </w:pPr>
      <w:r>
        <w:t xml:space="preserve">If the recapitulation P had begun in the tonic C, then mechanically reusing the exposition's I→V harmonic plan would have placed S in G major — violating the recapitulation's central function of </w:t>
      </w:r>
      <w:r>
        <w:rPr>
          <w:i/>
          <w:iCs/>
        </w:rPr>
        <w:t>consolidating both themes in the tonic</w:t>
      </w:r>
      <w:r>
        <w:t>. By starting P in F, the same harmonic plan instead reads as IV→I, and S lands precisely in the tonic.</w:t>
      </w:r>
    </w:p>
    <w:p w14:paraId="336E2692" w14:textId="77777777" w:rsidR="00CF72E3" w:rsidRDefault="00A73744">
      <w:pPr>
        <w:pStyle w:val="FirstParagraph"/>
      </w:pPr>
      <w:r>
        <w:t xml:space="preserve">In other words, Mozart preserves the </w:t>
      </w:r>
      <w:r>
        <w:rPr>
          <w:i/>
          <w:iCs/>
        </w:rPr>
        <w:t>modulatory pattern</w:t>
      </w:r>
      <w:r>
        <w:t xml:space="preserve"> of the exposition while still satisfying the </w:t>
      </w:r>
      <w:r>
        <w:rPr>
          <w:i/>
          <w:iCs/>
        </w:rPr>
        <w:t>tonal goal</w:t>
      </w:r>
      <w:r>
        <w:t xml:space="preserve"> of the </w:t>
      </w:r>
      <w:r>
        <w:t xml:space="preserve">recapitulation — by shifting the starting key. This is not a "rule broken" but a "rule satisfied through rearrangement," and it offers a striking lesson that musical form is </w:t>
      </w:r>
      <w:r>
        <w:rPr>
          <w:i/>
          <w:iCs/>
        </w:rPr>
        <w:t>living convention</w:t>
      </w:r>
      <w:r>
        <w:t xml:space="preserve"> rather than fixed grammar (Caplin, 1998).</w:t>
      </w:r>
    </w:p>
    <w:p w14:paraId="336E2693" w14:textId="77777777" w:rsidR="00CF72E3" w:rsidRDefault="00A73744">
      <w:pPr>
        <w:pStyle w:val="a0"/>
      </w:pPr>
      <w:r>
        <w:t>The tool surfaces this pedagogical moment through three coordinated cues:</w:t>
      </w:r>
    </w:p>
    <w:p w14:paraId="336E2694" w14:textId="77777777" w:rsidR="00CF72E3" w:rsidRDefault="00A73744">
      <w:pPr>
        <w:pStyle w:val="Compact"/>
        <w:numPr>
          <w:ilvl w:val="0"/>
          <w:numId w:val="7"/>
        </w:numPr>
      </w:pPr>
      <w:r>
        <w:t>The recapitulation's P region is labeled with its actual key (F major), not the expected tonic.</w:t>
      </w:r>
    </w:p>
    <w:p w14:paraId="336E2695" w14:textId="77777777" w:rsidR="00CF72E3" w:rsidRDefault="00A73744">
      <w:pPr>
        <w:pStyle w:val="Compact"/>
        <w:numPr>
          <w:ilvl w:val="0"/>
          <w:numId w:val="7"/>
        </w:numPr>
      </w:pPr>
      <w:r>
        <w:lastRenderedPageBreak/>
        <w:t>The analysis pane auto-renders a meta-pedagogical hint: "Subdominant recapitulation — a key teaching point."</w:t>
      </w:r>
    </w:p>
    <w:p w14:paraId="336E2696" w14:textId="77777777" w:rsidR="00CF72E3" w:rsidRDefault="00A73744">
      <w:pPr>
        <w:pStyle w:val="Compact"/>
        <w:numPr>
          <w:ilvl w:val="0"/>
          <w:numId w:val="7"/>
        </w:numPr>
      </w:pPr>
      <w:r>
        <w:t>The "loop section" toggle enables immediate A–B comparison of P in the exposition (C major) and P in the recapitulation (F major).</w:t>
      </w:r>
    </w:p>
    <w:p w14:paraId="336E2697" w14:textId="77777777" w:rsidR="00CF72E3" w:rsidRDefault="00A73744">
      <w:pPr>
        <w:pStyle w:val="1"/>
      </w:pPr>
      <w:bookmarkStart w:id="14" w:name="X931ba28faf84dd02b36c362d702d1bc58709915"/>
      <w:bookmarkEnd w:id="10"/>
      <w:bookmarkEnd w:id="13"/>
      <w:r>
        <w:t>4. System Design</w:t>
      </w:r>
    </w:p>
    <w:p w14:paraId="336E2698" w14:textId="77777777" w:rsidR="00CF72E3" w:rsidRDefault="00A73744">
      <w:pPr>
        <w:pStyle w:val="2"/>
      </w:pPr>
      <w:bookmarkStart w:id="15" w:name="X9de8e5b45ce68f346b1cc38c139307b75b6baf5"/>
      <w:r>
        <w:t>4.1 Design Principles</w:t>
      </w:r>
    </w:p>
    <w:p w14:paraId="336E2699" w14:textId="77777777" w:rsidR="00CF72E3" w:rsidRDefault="00A73744">
      <w:pPr>
        <w:pStyle w:val="FirstParagraph"/>
      </w:pPr>
      <w:r>
        <w:t>Five design principles guided the system: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30"/>
        <w:gridCol w:w="5813"/>
      </w:tblGrid>
      <w:tr w:rsidR="00CF72E3" w:rsidRPr="00A25EFB" w14:paraId="336E269C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9A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9B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Realization</w:t>
            </w:r>
          </w:p>
        </w:tc>
      </w:tr>
      <w:tr w:rsidR="00CF72E3" w:rsidRPr="00A25EFB" w14:paraId="336E269F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69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Temporal alignment of representations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9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Linear left-right timeline + score cursor synchronized</w:t>
            </w:r>
          </w:p>
        </w:tc>
      </w:tr>
      <w:tr w:rsidR="00CF72E3" w:rsidRPr="00A25EFB" w14:paraId="336E26A2" w14:textId="77777777" w:rsidTr="00A25EFB">
        <w:trPr>
          <w:jc w:val="center"/>
        </w:trPr>
        <w:tc>
          <w:tcPr>
            <w:tcW w:w="0" w:type="auto"/>
          </w:tcPr>
          <w:p w14:paraId="336E26A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Hierarchical labeling</w:t>
            </w:r>
          </w:p>
        </w:tc>
        <w:tc>
          <w:tcPr>
            <w:tcW w:w="0" w:type="auto"/>
          </w:tcPr>
          <w:p w14:paraId="336E26A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Two-level color/label scheme (section + theme zone)</w:t>
            </w:r>
          </w:p>
        </w:tc>
      </w:tr>
      <w:tr w:rsidR="00CF72E3" w:rsidRPr="00A25EFB" w14:paraId="336E26A5" w14:textId="77777777" w:rsidTr="00A25EFB">
        <w:trPr>
          <w:jc w:val="center"/>
        </w:trPr>
        <w:tc>
          <w:tcPr>
            <w:tcW w:w="0" w:type="auto"/>
          </w:tcPr>
          <w:p w14:paraId="336E26A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Active-learning affordances</w:t>
            </w:r>
          </w:p>
        </w:tc>
        <w:tc>
          <w:tcPr>
            <w:tcW w:w="0" w:type="auto"/>
          </w:tcPr>
          <w:p w14:paraId="336E26A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Section jump, loop, speed control, keyboard shortcuts</w:t>
            </w:r>
          </w:p>
        </w:tc>
      </w:tr>
      <w:tr w:rsidR="00CF72E3" w:rsidRPr="00A25EFB" w14:paraId="336E26A8" w14:textId="77777777" w:rsidTr="00A25EFB">
        <w:trPr>
          <w:jc w:val="center"/>
        </w:trPr>
        <w:tc>
          <w:tcPr>
            <w:tcW w:w="0" w:type="auto"/>
          </w:tcPr>
          <w:p w14:paraId="336E26A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Copyright safety</w:t>
            </w:r>
          </w:p>
        </w:tc>
        <w:tc>
          <w:tcPr>
            <w:tcW w:w="0" w:type="auto"/>
          </w:tcPr>
          <w:p w14:paraId="336E26A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Code and metadata distributed; user supplies PD/CC audio and score</w:t>
            </w:r>
          </w:p>
        </w:tc>
      </w:tr>
      <w:tr w:rsidR="00CF72E3" w:rsidRPr="00A25EFB" w14:paraId="336E26AB" w14:textId="77777777" w:rsidTr="00A25EFB">
        <w:trPr>
          <w:jc w:val="center"/>
        </w:trPr>
        <w:tc>
          <w:tcPr>
            <w:tcW w:w="0" w:type="auto"/>
          </w:tcPr>
          <w:p w14:paraId="336E26A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Extensibility</w:t>
            </w:r>
          </w:p>
        </w:tc>
        <w:tc>
          <w:tcPr>
            <w:tcW w:w="0" w:type="auto"/>
          </w:tcPr>
          <w:p w14:paraId="336E26A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JSON schema usable for other works and other formal types</w:t>
            </w:r>
          </w:p>
        </w:tc>
      </w:tr>
    </w:tbl>
    <w:p w14:paraId="336E26AC" w14:textId="77777777" w:rsidR="00CF72E3" w:rsidRDefault="00A73744">
      <w:pPr>
        <w:pStyle w:val="2"/>
      </w:pPr>
      <w:bookmarkStart w:id="16" w:name="X15d66123ba36ad77d4b76862583d779c64c85de"/>
      <w:bookmarkEnd w:id="15"/>
      <w:r>
        <w:t>4.2 Architecture</w:t>
      </w:r>
    </w:p>
    <w:p w14:paraId="336E26AD" w14:textId="77777777" w:rsidR="00CF72E3" w:rsidRDefault="00A73744">
      <w:pPr>
        <w:pStyle w:val="FirstParagraph"/>
      </w:pPr>
      <w:r>
        <w:t>The system is a single-page, client-side web application with no build step and one external runtime dependency (OpenSheetMusicDisplay).</w:t>
      </w:r>
    </w:p>
    <w:p w14:paraId="336E26AE" w14:textId="77777777" w:rsidR="00CF72E3" w:rsidRDefault="00A73744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Data Layer (JSON)                    │</w:t>
      </w:r>
      <w:r>
        <w:br/>
      </w:r>
      <w:r>
        <w:rPr>
          <w:rStyle w:val="VerbatimChar"/>
        </w:rPr>
        <w:lastRenderedPageBreak/>
        <w:t>│    sonata_structure.json     measure_times.json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Render Layer                         │</w:t>
      </w:r>
      <w:r>
        <w:br/>
      </w:r>
      <w:r>
        <w:rPr>
          <w:rStyle w:val="VerbatimChar"/>
        </w:rPr>
        <w:t>│    OpenSheetMusicDisplay (MusicXML → SVG)               │</w:t>
      </w:r>
      <w:r>
        <w:br/>
      </w:r>
      <w:r>
        <w:rPr>
          <w:rStyle w:val="VerbatimChar"/>
        </w:rPr>
        <w:t>│    DOM Timeline (CSS flex)                              │</w:t>
      </w:r>
      <w:r>
        <w:br/>
      </w:r>
      <w:r>
        <w:rPr>
          <w:rStyle w:val="VerbatimChar"/>
        </w:rPr>
        <w:t>│    Color Overlays (computed via SVG getBBox)            │</w:t>
      </w:r>
      <w:r>
        <w:br/>
      </w:r>
      <w:r>
        <w:rPr>
          <w:rStyle w:val="VerbatimChar"/>
        </w:rPr>
        <w:t>└──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Sync Layer                           │</w:t>
      </w:r>
      <w:r>
        <w:br/>
      </w:r>
      <w:r>
        <w:rPr>
          <w:rStyle w:val="VerbatimChar"/>
        </w:rPr>
        <w:t>│    audio.timeupdate → binarySearch(measureTimes)        │</w:t>
      </w:r>
      <w:r>
        <w:br/>
      </w:r>
      <w:r>
        <w:rPr>
          <w:rStyle w:val="VerbatimChar"/>
        </w:rPr>
        <w:t>│       → moveCursor + paintPlayhead + updateLabels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Interaction Layer   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>│    Jump, loop, speed, toggles, keyboard shortcuts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</w:p>
    <w:p w14:paraId="336E26AF" w14:textId="77777777" w:rsidR="00CF72E3" w:rsidRDefault="00A73744">
      <w:pPr>
        <w:pStyle w:val="2"/>
      </w:pPr>
      <w:bookmarkStart w:id="17" w:name="X08bfe69c9bda8b49e28ab7e12a88087f3f094ec"/>
      <w:bookmarkEnd w:id="16"/>
      <w:r>
        <w:t>4.3 Data Schema</w:t>
      </w:r>
    </w:p>
    <w:p w14:paraId="336E26B0" w14:textId="77777777" w:rsidR="00CF72E3" w:rsidRDefault="00A73744">
      <w:pPr>
        <w:pStyle w:val="FirstParagraph"/>
      </w:pPr>
      <w:r>
        <w:t>The analysis schema is a two-level tree, illustrated abridged below:</w:t>
      </w:r>
    </w:p>
    <w:p w14:paraId="336E26B1" w14:textId="77777777" w:rsidR="00CF72E3" w:rsidRDefault="00A7374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 → G major"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336E26B2" w14:textId="77777777" w:rsidR="00CF72E3" w:rsidRDefault="00A73744">
      <w:pPr>
        <w:pStyle w:val="FirstParagraph"/>
      </w:pPr>
      <w:r>
        <w:t>Critically, this schema treats the formal analysis itself as a versioned, machine-readable, peer-reviewable artefact — a contribution to digital musicology orthogonal to the tool's pedagogical use.</w:t>
      </w:r>
    </w:p>
    <w:p w14:paraId="336E26B3" w14:textId="77777777" w:rsidR="00CF72E3" w:rsidRDefault="00A73744">
      <w:pPr>
        <w:pStyle w:val="2"/>
      </w:pPr>
      <w:bookmarkStart w:id="18" w:name="X302df813eec71695f042125274d58a1663ea74d"/>
      <w:bookmarkEnd w:id="17"/>
      <w:r>
        <w:t>4.4 Synchronization Algorithm</w:t>
      </w:r>
    </w:p>
    <w:p w14:paraId="336E26B4" w14:textId="77777777" w:rsidR="00CF72E3" w:rsidRDefault="00A73744">
      <w:pPr>
        <w:pStyle w:val="3"/>
      </w:pPr>
      <w:bookmarkStart w:id="19" w:name="X44a98a8969a02e0fcdffe4661f7908cd6f318d6"/>
      <w:r>
        <w:t>4.4.1 Time → Measure</w:t>
      </w:r>
    </w:p>
    <w:p w14:paraId="336E26B5" w14:textId="77777777" w:rsidR="00CF72E3" w:rsidRDefault="00A73744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Binary search: largest entry whose time ≤ 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336E26B6" w14:textId="77777777" w:rsidR="00CF72E3" w:rsidRDefault="00A73744">
      <w:pPr>
        <w:pStyle w:val="FirstParagraph"/>
      </w:pPr>
      <w:r>
        <w:t xml:space="preserve">This runs once per </w:t>
      </w:r>
      <w:r>
        <w:rPr>
          <w:rStyle w:val="VerbatimChar"/>
        </w:rPr>
        <w:t>timeupdate</w:t>
      </w:r>
      <w:r>
        <w:t xml:space="preserve"> event (≈250 ms), in O(log n).</w:t>
      </w:r>
    </w:p>
    <w:p w14:paraId="336E26B7" w14:textId="77777777" w:rsidR="00CF72E3" w:rsidRDefault="00A73744">
      <w:pPr>
        <w:pStyle w:val="3"/>
      </w:pPr>
      <w:bookmarkStart w:id="20" w:name="X8b4e0d240d38147b5693e4ec9bd82e93db77856"/>
      <w:bookmarkEnd w:id="19"/>
      <w:r>
        <w:t>4.4.2 Measure → Section / Theme</w:t>
      </w:r>
    </w:p>
    <w:p w14:paraId="336E26B8" w14:textId="77777777" w:rsidR="00CF72E3" w:rsidRDefault="00A73744">
      <w:pPr>
        <w:pStyle w:val="FirstParagraph"/>
      </w:pPr>
      <w:r>
        <w:t xml:space="preserve">A linear scan over </w:t>
      </w:r>
      <w:r>
        <w:rPr>
          <w:rStyle w:val="VerbatimChar"/>
        </w:rPr>
        <w:t>structure.sections[].themes[]</w:t>
      </w:r>
      <w:r>
        <w:t xml:space="preserve"> returns the first match. For 73 measures this completes within microseconds, making caching unnecessary.</w:t>
      </w:r>
    </w:p>
    <w:p w14:paraId="336E26B9" w14:textId="77777777" w:rsidR="00CF72E3" w:rsidRDefault="00A73744">
      <w:pPr>
        <w:pStyle w:val="3"/>
      </w:pPr>
      <w:bookmarkStart w:id="21" w:name="X0619087a562f7f505b9951ff47cf90377f8b85c"/>
      <w:bookmarkEnd w:id="20"/>
      <w:r>
        <w:t>4.4.3 Practical Accuracy of Measure–Time Mapping</w:t>
      </w:r>
    </w:p>
    <w:p w14:paraId="336E26BA" w14:textId="77777777" w:rsidR="00CF72E3" w:rsidRDefault="00A73744">
      <w:pPr>
        <w:pStyle w:val="FirstParagraph"/>
      </w:pPr>
      <w:r>
        <w:t xml:space="preserve">The mapping is bootstrapped from a constant-tempo estimate (♩ = 132, 4/4) and refined from real-recording downbeat onsets extracted with Sonic Visualiser's </w:t>
      </w:r>
      <w:r>
        <w:rPr>
          <w:i/>
          <w:iCs/>
        </w:rPr>
        <w:t>Bar and Beat Tracker</w:t>
      </w:r>
      <w:r>
        <w:t xml:space="preserve"> plugin. When the user supplies a recording of different total duration, the tool applies proportional scaling at </w:t>
      </w:r>
      <w:r>
        <w:rPr>
          <w:rStyle w:val="VerbatimChar"/>
        </w:rPr>
        <w:t>loadedmetadata</w:t>
      </w:r>
      <w:r>
        <w:t>:</w:t>
      </w:r>
    </w:p>
    <w:p w14:paraId="336E26BB" w14:textId="77777777" w:rsidR="00CF72E3" w:rsidRDefault="00A73744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336E26BC" w14:textId="77777777" w:rsidR="00CF72E3" w:rsidRDefault="00A73744">
      <w:pPr>
        <w:pStyle w:val="FirstParagraph"/>
      </w:pPr>
      <w:r>
        <w:lastRenderedPageBreak/>
        <w:t>This linear correction can yield ±0.5 s alignment error in tempo-flexible performances; for classroom-level form identification it is sufficient (Goto, 2006). Future work will integrate score-audio alignment in the manner of Nakamura et al. (2017) for performance- specific accuracy.</w:t>
      </w:r>
    </w:p>
    <w:p w14:paraId="336E26BD" w14:textId="77777777" w:rsidR="00CF72E3" w:rsidRDefault="00A73744">
      <w:pPr>
        <w:pStyle w:val="2"/>
      </w:pPr>
      <w:bookmarkStart w:id="22" w:name="X65073c4485f33f4613201d3117deb1ee1dc92e2"/>
      <w:bookmarkEnd w:id="18"/>
      <w:bookmarkEnd w:id="21"/>
      <w:r>
        <w:t>4.5 Visual Encoding</w:t>
      </w:r>
    </w:p>
    <w:p w14:paraId="336E26BE" w14:textId="77777777" w:rsidR="00CF72E3" w:rsidRDefault="00A73744">
      <w:pPr>
        <w:pStyle w:val="FirstParagraph"/>
      </w:pPr>
      <w:r>
        <w:t>Two principles govern the encoding:</w:t>
      </w:r>
    </w:p>
    <w:p w14:paraId="336E26BF" w14:textId="77777777" w:rsidR="00CF72E3" w:rsidRDefault="00A73744">
      <w:pPr>
        <w:pStyle w:val="Compact"/>
        <w:numPr>
          <w:ilvl w:val="0"/>
          <w:numId w:val="8"/>
        </w:numPr>
      </w:pPr>
      <w:r>
        <w:rPr>
          <w:b/>
          <w:bCs/>
        </w:rPr>
        <w:t>WCAG 2.1 AA compliance.</w:t>
      </w:r>
      <w:r>
        <w:t xml:space="preserve"> Text contrast is maintained at ≥4.5:1.</w:t>
      </w:r>
    </w:p>
    <w:p w14:paraId="336E26C0" w14:textId="77777777" w:rsidR="00CF72E3" w:rsidRDefault="00A73744">
      <w:pPr>
        <w:pStyle w:val="Compact"/>
        <w:numPr>
          <w:ilvl w:val="0"/>
          <w:numId w:val="8"/>
        </w:numPr>
      </w:pPr>
      <w:r>
        <w:rPr>
          <w:b/>
          <w:bCs/>
        </w:rPr>
        <w:t>Color-blind accessibility.</w:t>
      </w:r>
      <w:r>
        <w:t xml:space="preserve"> No information is conveyed by color alone. Theme zones (P/T/S/K) are distinguished by accent bars and text labels in addition to color.</w:t>
      </w:r>
    </w:p>
    <w:p w14:paraId="336E26C1" w14:textId="77777777" w:rsidR="00CF72E3" w:rsidRDefault="00A73744">
      <w:pPr>
        <w:pStyle w:val="FirstParagraph"/>
      </w:pPr>
      <w:r>
        <w:rPr>
          <w:b/>
          <w:bCs/>
        </w:rPr>
        <w:t>Table 3.</w:t>
      </w:r>
      <w:r>
        <w:t xml:space="preserve"> Color palette.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2183"/>
        <w:gridCol w:w="2202"/>
      </w:tblGrid>
      <w:tr w:rsidR="00CF72E3" w:rsidRPr="00A25EFB" w14:paraId="336E26C5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C2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Element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C3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C4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Role</w:t>
            </w:r>
          </w:p>
        </w:tc>
      </w:tr>
      <w:tr w:rsidR="00CF72E3" w:rsidRPr="00A25EFB" w14:paraId="336E26C9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6C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C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#e8f1ff</w:t>
            </w:r>
            <w:r w:rsidRPr="00A25EFB">
              <w:rPr>
                <w:sz w:val="22"/>
              </w:rPr>
              <w:t xml:space="preserve"> (pastel blue)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C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Stable, introductory</w:t>
            </w:r>
          </w:p>
        </w:tc>
      </w:tr>
      <w:tr w:rsidR="00CF72E3" w:rsidRPr="00A25EFB" w14:paraId="336E26CD" w14:textId="77777777" w:rsidTr="00A25EFB">
        <w:trPr>
          <w:jc w:val="center"/>
        </w:trPr>
        <w:tc>
          <w:tcPr>
            <w:tcW w:w="0" w:type="auto"/>
          </w:tcPr>
          <w:p w14:paraId="336E26C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336E26C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#fff3e0</w:t>
            </w:r>
            <w:r w:rsidRPr="00A25EFB">
              <w:rPr>
                <w:sz w:val="22"/>
              </w:rPr>
              <w:t xml:space="preserve"> (pastel amber)</w:t>
            </w:r>
          </w:p>
        </w:tc>
        <w:tc>
          <w:tcPr>
            <w:tcW w:w="0" w:type="auto"/>
          </w:tcPr>
          <w:p w14:paraId="336E26C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Tense, exploratory</w:t>
            </w:r>
          </w:p>
        </w:tc>
      </w:tr>
      <w:tr w:rsidR="00CF72E3" w:rsidRPr="00A25EFB" w14:paraId="336E26D1" w14:textId="77777777" w:rsidTr="00A25EFB">
        <w:trPr>
          <w:jc w:val="center"/>
        </w:trPr>
        <w:tc>
          <w:tcPr>
            <w:tcW w:w="0" w:type="auto"/>
          </w:tcPr>
          <w:p w14:paraId="336E26C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336E26C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#e8f7ec</w:t>
            </w:r>
            <w:r w:rsidRPr="00A25EFB">
              <w:rPr>
                <w:sz w:val="22"/>
              </w:rPr>
              <w:t xml:space="preserve"> (pastel green)</w:t>
            </w:r>
          </w:p>
        </w:tc>
        <w:tc>
          <w:tcPr>
            <w:tcW w:w="0" w:type="auto"/>
          </w:tcPr>
          <w:p w14:paraId="336E26D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Returning, resolving</w:t>
            </w:r>
          </w:p>
        </w:tc>
      </w:tr>
      <w:tr w:rsidR="00CF72E3" w:rsidRPr="00A25EFB" w14:paraId="336E26D5" w14:textId="77777777" w:rsidTr="00A25EFB">
        <w:trPr>
          <w:jc w:val="center"/>
        </w:trPr>
        <w:tc>
          <w:tcPr>
            <w:tcW w:w="0" w:type="auto"/>
          </w:tcPr>
          <w:p w14:paraId="336E26D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Coda</w:t>
            </w:r>
          </w:p>
        </w:tc>
        <w:tc>
          <w:tcPr>
            <w:tcW w:w="0" w:type="auto"/>
          </w:tcPr>
          <w:p w14:paraId="336E26D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#f3e8ff</w:t>
            </w:r>
            <w:r w:rsidRPr="00A25EFB">
              <w:rPr>
                <w:sz w:val="22"/>
              </w:rPr>
              <w:t xml:space="preserve"> </w:t>
            </w:r>
            <w:r w:rsidRPr="00A25EFB">
              <w:rPr>
                <w:sz w:val="22"/>
              </w:rPr>
              <w:t>(pastel violet)</w:t>
            </w:r>
          </w:p>
        </w:tc>
        <w:tc>
          <w:tcPr>
            <w:tcW w:w="0" w:type="auto"/>
          </w:tcPr>
          <w:p w14:paraId="336E26D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Concluding</w:t>
            </w:r>
          </w:p>
        </w:tc>
      </w:tr>
      <w:tr w:rsidR="00CF72E3" w:rsidRPr="00A25EFB" w14:paraId="336E26D9" w14:textId="77777777" w:rsidTr="00A25EFB">
        <w:trPr>
          <w:jc w:val="center"/>
        </w:trPr>
        <w:tc>
          <w:tcPr>
            <w:tcW w:w="0" w:type="auto"/>
          </w:tcPr>
          <w:p w14:paraId="336E26D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Now-position</w:t>
            </w:r>
          </w:p>
        </w:tc>
        <w:tc>
          <w:tcPr>
            <w:tcW w:w="0" w:type="auto"/>
          </w:tcPr>
          <w:p w14:paraId="336E26D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#d4504a</w:t>
            </w:r>
            <w:r w:rsidRPr="00A25EFB">
              <w:rPr>
                <w:sz w:val="22"/>
              </w:rPr>
              <w:t xml:space="preserve"> (red)</w:t>
            </w:r>
          </w:p>
        </w:tc>
        <w:tc>
          <w:tcPr>
            <w:tcW w:w="0" w:type="auto"/>
          </w:tcPr>
          <w:p w14:paraId="336E26D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Playhead, score cursor</w:t>
            </w:r>
          </w:p>
        </w:tc>
      </w:tr>
    </w:tbl>
    <w:p w14:paraId="336E26DA" w14:textId="77777777" w:rsidR="00CF72E3" w:rsidRDefault="00A73744">
      <w:pPr>
        <w:pStyle w:val="1"/>
      </w:pPr>
      <w:bookmarkStart w:id="23" w:name="X46d7d1d5105128ac6809b89aa63ce48805167cf"/>
      <w:bookmarkEnd w:id="14"/>
      <w:bookmarkEnd w:id="22"/>
      <w:r>
        <w:t>5. Implementation</w:t>
      </w:r>
    </w:p>
    <w:p w14:paraId="336E26DB" w14:textId="77777777" w:rsidR="00CF72E3" w:rsidRDefault="00A73744">
      <w:pPr>
        <w:pStyle w:val="2"/>
      </w:pPr>
      <w:bookmarkStart w:id="24" w:name="X85f22ce8108fdac68fd2e3b2fb5b24980e3236d"/>
      <w:r>
        <w:t>5.1 Stack</w:t>
      </w:r>
    </w:p>
    <w:p w14:paraId="336E26DC" w14:textId="77777777" w:rsidR="00CF72E3" w:rsidRDefault="00A73744">
      <w:pPr>
        <w:pStyle w:val="Compact"/>
        <w:numPr>
          <w:ilvl w:val="0"/>
          <w:numId w:val="9"/>
        </w:numPr>
      </w:pPr>
      <w:r>
        <w:rPr>
          <w:b/>
          <w:bCs/>
        </w:rPr>
        <w:t>HTML5 / CSS3 / Vanilla JavaScript</w:t>
      </w:r>
      <w:r>
        <w:t xml:space="preserve"> (~600 LOC, no build step)</w:t>
      </w:r>
    </w:p>
    <w:p w14:paraId="336E26DD" w14:textId="77777777" w:rsidR="00CF72E3" w:rsidRDefault="00A73744">
      <w:pPr>
        <w:pStyle w:val="Compact"/>
        <w:numPr>
          <w:ilvl w:val="0"/>
          <w:numId w:val="9"/>
        </w:numPr>
      </w:pPr>
      <w:r>
        <w:rPr>
          <w:b/>
          <w:bCs/>
        </w:rPr>
        <w:t>OpenSheetMusicDisplay v1.8.7</w:t>
      </w:r>
      <w:r>
        <w:t xml:space="preserve"> — single external dependency, MusicXML → SVG</w:t>
      </w:r>
    </w:p>
    <w:p w14:paraId="336E26DE" w14:textId="77777777" w:rsidR="00CF72E3" w:rsidRDefault="00A73744">
      <w:pPr>
        <w:pStyle w:val="Compact"/>
        <w:numPr>
          <w:ilvl w:val="0"/>
          <w:numId w:val="9"/>
        </w:numPr>
      </w:pPr>
      <w:r>
        <w:rPr>
          <w:b/>
          <w:bCs/>
        </w:rPr>
        <w:lastRenderedPageBreak/>
        <w:t>HTML5 Audio + WebAudio API</w:t>
      </w:r>
      <w:r>
        <w:t xml:space="preserve"> — playback and demo metronome</w:t>
      </w:r>
    </w:p>
    <w:p w14:paraId="336E26DF" w14:textId="77777777" w:rsidR="00CF72E3" w:rsidRDefault="00A73744">
      <w:pPr>
        <w:pStyle w:val="Compact"/>
        <w:numPr>
          <w:ilvl w:val="0"/>
          <w:numId w:val="9"/>
        </w:numPr>
      </w:pPr>
      <w:r>
        <w:rPr>
          <w:b/>
          <w:bCs/>
        </w:rPr>
        <w:t>Static HTTP server</w:t>
      </w:r>
      <w:r>
        <w:t xml:space="preserve"> for development; the production build is a fully static asset bundle</w:t>
      </w:r>
    </w:p>
    <w:p w14:paraId="336E26E0" w14:textId="77777777" w:rsidR="00CF72E3" w:rsidRDefault="00A73744">
      <w:pPr>
        <w:pStyle w:val="FirstParagraph"/>
      </w:pPr>
      <w:r>
        <w:t>Tested on Chrome 120+, Edge 120+, Firefox 121+.</w:t>
      </w:r>
    </w:p>
    <w:p w14:paraId="336E26E1" w14:textId="77777777" w:rsidR="00CF72E3" w:rsidRDefault="00A73744">
      <w:pPr>
        <w:pStyle w:val="2"/>
      </w:pPr>
      <w:bookmarkStart w:id="25" w:name="X44135718d30d0d96c7a4f196b7424ac73c01acc"/>
      <w:bookmarkEnd w:id="24"/>
      <w:r>
        <w:t>5.2 Module Structure</w:t>
      </w:r>
    </w:p>
    <w:p w14:paraId="336E26E2" w14:textId="77777777" w:rsidR="00CF72E3" w:rsidRDefault="00A73744">
      <w:pPr>
        <w:pStyle w:val="SourceCode"/>
      </w:pPr>
      <w:r>
        <w:rPr>
          <w:rStyle w:val="VerbatimChar"/>
        </w:rPr>
        <w:t>init()                   bootstrap and data load</w:t>
      </w:r>
      <w:r>
        <w:br/>
      </w:r>
      <w:r>
        <w:rPr>
          <w:rStyle w:val="VerbatimChar"/>
        </w:rPr>
        <w:t xml:space="preserve">  ├── initScore()        OSMD load with graceful fallback</w:t>
      </w:r>
      <w:r>
        <w:br/>
      </w:r>
      <w:r>
        <w:rPr>
          <w:rStyle w:val="VerbatimChar"/>
        </w:rPr>
        <w:t xml:space="preserve">  ├── initAudioOrDemo()  audio metadata or demo-mode entry</w:t>
      </w:r>
      <w:r>
        <w:br/>
      </w:r>
      <w:r>
        <w:rPr>
          <w:rStyle w:val="VerbatimChar"/>
        </w:rPr>
        <w:t xml:space="preserve">  ├── buildTimeline()    timeline DOM construction</w:t>
      </w:r>
      <w:r>
        <w:br/>
      </w:r>
      <w:r>
        <w:rPr>
          <w:rStyle w:val="VerbatimChar"/>
        </w:rPr>
        <w:t xml:space="preserve">  └── buildJumpButtons() jump buttons</w:t>
      </w:r>
      <w:r>
        <w:br/>
      </w:r>
      <w:r>
        <w:br/>
      </w:r>
      <w:r>
        <w:rPr>
          <w:rStyle w:val="VerbatimChar"/>
        </w:rPr>
        <w:t>paintMeasureOverlays()   SVG getBBox-based color overlays</w:t>
      </w:r>
      <w:r>
        <w:br/>
      </w:r>
      <w:r>
        <w:rPr>
          <w:rStyle w:val="VerbatimChar"/>
        </w:rPr>
        <w:t>tick(currentTime)        per-timeupdate main loop</w:t>
      </w:r>
      <w:r>
        <w:br/>
      </w:r>
      <w:r>
        <w:rPr>
          <w:rStyle w:val="VerbatimChar"/>
        </w:rPr>
        <w:t>findMeasureAtTime(t)     binary search</w:t>
      </w:r>
      <w:r>
        <w:br/>
      </w:r>
      <w:r>
        <w:rPr>
          <w:rStyle w:val="VerbatimChar"/>
        </w:rPr>
        <w:t>findSegmentByMeasure(m)  hierarchical label lookup</w:t>
      </w:r>
      <w:r>
        <w:br/>
      </w:r>
      <w:r>
        <w:rPr>
          <w:rStyle w:val="VerbatimChar"/>
        </w:rPr>
        <w:t>moveCursorToMeasure(m)   OSMD cursor advance</w:t>
      </w:r>
      <w:r>
        <w:br/>
      </w:r>
      <w:r>
        <w:br/>
      </w:r>
      <w:r>
        <w:rPr>
          <w:rStyle w:val="VerbatimChar"/>
        </w:rPr>
        <w:t>startDemo() / stopDemo() WebAudio metronome (no audio file)</w:t>
      </w:r>
    </w:p>
    <w:p w14:paraId="336E26E3" w14:textId="77777777" w:rsidR="00CF72E3" w:rsidRDefault="00A73744">
      <w:pPr>
        <w:pStyle w:val="2"/>
      </w:pPr>
      <w:bookmarkStart w:id="26" w:name="X109c7a168e0e829c2f1484d7523259a203dc182"/>
      <w:bookmarkEnd w:id="25"/>
      <w:r>
        <w:t>5.3 Robustness</w:t>
      </w:r>
    </w:p>
    <w:p w14:paraId="336E26E4" w14:textId="77777777" w:rsidR="00CF72E3" w:rsidRDefault="00A73744">
      <w:pPr>
        <w:pStyle w:val="FirstParagraph"/>
      </w:pPr>
      <w:r>
        <w:t>The system handles several failure modes explicitly: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247"/>
        <w:gridCol w:w="5177"/>
      </w:tblGrid>
      <w:tr w:rsidR="00CF72E3" w:rsidRPr="00A25EFB" w14:paraId="336E26E7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E5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Failure scenario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6E6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Response</w:t>
            </w:r>
          </w:p>
        </w:tc>
      </w:tr>
      <w:tr w:rsidR="00CF72E3" w:rsidRPr="00A25EFB" w14:paraId="336E26EA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6E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Missing MusicXML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6E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Inline message; timeline still functions</w:t>
            </w:r>
          </w:p>
        </w:tc>
      </w:tr>
      <w:tr w:rsidR="00CF72E3" w:rsidRPr="00A25EFB" w14:paraId="336E26ED" w14:textId="77777777" w:rsidTr="00A25EFB">
        <w:trPr>
          <w:jc w:val="center"/>
        </w:trPr>
        <w:tc>
          <w:tcPr>
            <w:tcW w:w="0" w:type="auto"/>
          </w:tcPr>
          <w:p w14:paraId="336E26E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Missing audio file</w:t>
            </w:r>
          </w:p>
        </w:tc>
        <w:tc>
          <w:tcPr>
            <w:tcW w:w="0" w:type="auto"/>
          </w:tcPr>
          <w:p w14:paraId="336E26E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 xml:space="preserve">Auto-enter </w:t>
            </w:r>
            <w:r w:rsidRPr="00A25EFB">
              <w:rPr>
                <w:i/>
                <w:iCs/>
                <w:sz w:val="22"/>
              </w:rPr>
              <w:t>demo mode</w:t>
            </w:r>
            <w:r w:rsidRPr="00A25EFB">
              <w:rPr>
                <w:sz w:val="22"/>
              </w:rPr>
              <w:t xml:space="preserve"> with WebAudio metronome</w:t>
            </w:r>
          </w:p>
        </w:tc>
      </w:tr>
      <w:tr w:rsidR="00CF72E3" w:rsidRPr="00A25EFB" w14:paraId="336E26F0" w14:textId="77777777" w:rsidTr="00A25EFB">
        <w:trPr>
          <w:jc w:val="center"/>
        </w:trPr>
        <w:tc>
          <w:tcPr>
            <w:tcW w:w="0" w:type="auto"/>
          </w:tcPr>
          <w:p w14:paraId="336E26E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Audio length differs from analysis</w:t>
            </w:r>
          </w:p>
        </w:tc>
        <w:tc>
          <w:tcPr>
            <w:tcW w:w="0" w:type="auto"/>
          </w:tcPr>
          <w:p w14:paraId="336E26E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 xml:space="preserve">Proportional scaling at </w:t>
            </w:r>
            <w:r w:rsidRPr="00A25EFB">
              <w:rPr>
                <w:rStyle w:val="VerbatimChar"/>
                <w:rFonts w:ascii="Times New Roman" w:hAnsi="Times New Roman"/>
                <w:sz w:val="22"/>
              </w:rPr>
              <w:t>loadedmetadata</w:t>
            </w:r>
          </w:p>
        </w:tc>
      </w:tr>
      <w:tr w:rsidR="00CF72E3" w:rsidRPr="00A25EFB" w14:paraId="336E26F3" w14:textId="77777777" w:rsidTr="00A25EFB">
        <w:trPr>
          <w:jc w:val="center"/>
        </w:trPr>
        <w:tc>
          <w:tcPr>
            <w:tcW w:w="0" w:type="auto"/>
          </w:tcPr>
          <w:p w14:paraId="336E26F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OSMD cursor advance error</w:t>
            </w:r>
          </w:p>
        </w:tc>
        <w:tc>
          <w:tcPr>
            <w:tcW w:w="0" w:type="auto"/>
          </w:tcPr>
          <w:p w14:paraId="336E26F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try/catch isolated; other features unaffected</w:t>
            </w:r>
          </w:p>
        </w:tc>
      </w:tr>
      <w:tr w:rsidR="00CF72E3" w:rsidRPr="00A25EFB" w14:paraId="336E26F6" w14:textId="77777777" w:rsidTr="00A25EFB">
        <w:trPr>
          <w:jc w:val="center"/>
        </w:trPr>
        <w:tc>
          <w:tcPr>
            <w:tcW w:w="0" w:type="auto"/>
          </w:tcPr>
          <w:p w14:paraId="336E26F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Window resize</w:t>
            </w:r>
          </w:p>
        </w:tc>
        <w:tc>
          <w:tcPr>
            <w:tcW w:w="0" w:type="auto"/>
          </w:tcPr>
          <w:p w14:paraId="336E26F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150 ms debounce, then re-render and overlay recompute</w:t>
            </w:r>
          </w:p>
        </w:tc>
      </w:tr>
    </w:tbl>
    <w:p w14:paraId="336E26F7" w14:textId="77777777" w:rsidR="00CF72E3" w:rsidRDefault="00A73744">
      <w:pPr>
        <w:pStyle w:val="2"/>
      </w:pPr>
      <w:bookmarkStart w:id="27" w:name="Xeb2de10a3b598cc9ca9b3bd4d84d98e98d719f3"/>
      <w:bookmarkEnd w:id="26"/>
      <w:r>
        <w:t>5.4 Accessibility</w:t>
      </w:r>
    </w:p>
    <w:p w14:paraId="336E26F8" w14:textId="77777777" w:rsidR="00CF72E3" w:rsidRDefault="00A73744">
      <w:pPr>
        <w:pStyle w:val="Compact"/>
        <w:numPr>
          <w:ilvl w:val="0"/>
          <w:numId w:val="10"/>
        </w:numPr>
      </w:pPr>
      <w:r>
        <w:t xml:space="preserve">All controls carry </w:t>
      </w:r>
      <w:r>
        <w:rPr>
          <w:rStyle w:val="VerbatimChar"/>
        </w:rPr>
        <w:t>aria-label</w:t>
      </w:r>
      <w:r>
        <w:t>s.</w:t>
      </w:r>
    </w:p>
    <w:p w14:paraId="336E26F9" w14:textId="77777777" w:rsidR="00CF72E3" w:rsidRDefault="00A73744">
      <w:pPr>
        <w:pStyle w:val="Compact"/>
        <w:numPr>
          <w:ilvl w:val="0"/>
          <w:numId w:val="10"/>
        </w:numPr>
      </w:pPr>
      <w:r>
        <w:rPr>
          <w:rStyle w:val="VerbatimChar"/>
        </w:rPr>
        <w:t>aria-live="polite"</w:t>
      </w:r>
      <w:r>
        <w:t xml:space="preserve"> on the now-playing region announces section changes to screen readers.</w:t>
      </w:r>
    </w:p>
    <w:p w14:paraId="336E26FA" w14:textId="77777777" w:rsidR="00CF72E3" w:rsidRDefault="00A73744">
      <w:pPr>
        <w:pStyle w:val="Compact"/>
        <w:numPr>
          <w:ilvl w:val="0"/>
          <w:numId w:val="10"/>
        </w:numPr>
      </w:pPr>
      <w:r>
        <w:t xml:space="preserve">Keyboard shortcuts: </w:t>
      </w:r>
      <w:r>
        <w:rPr>
          <w:rStyle w:val="VerbatimChar"/>
        </w:rPr>
        <w:t>Space</w:t>
      </w:r>
      <w:r>
        <w:t xml:space="preserve"> (play/pause), </w:t>
      </w:r>
      <w:r>
        <w:rPr>
          <w:rStyle w:val="VerbatimChar"/>
        </w:rPr>
        <w:t>←</w:t>
      </w:r>
      <w:r>
        <w:t xml:space="preserve"> / </w:t>
      </w:r>
      <w:r>
        <w:rPr>
          <w:rStyle w:val="VerbatimChar"/>
        </w:rPr>
        <w:t>→</w:t>
      </w:r>
      <w:r>
        <w:t xml:space="preserve"> (previous / next section), </w:t>
      </w:r>
      <w:r>
        <w:rPr>
          <w:rStyle w:val="VerbatimChar"/>
        </w:rPr>
        <w:t>L</w:t>
      </w:r>
      <w:r>
        <w:t xml:space="preserve"> (loop), </w:t>
      </w:r>
      <w:r>
        <w:rPr>
          <w:rStyle w:val="VerbatimChar"/>
        </w:rPr>
        <w:t>C</w:t>
      </w:r>
      <w:r>
        <w:t xml:space="preserve"> (color toggle).</w:t>
      </w:r>
    </w:p>
    <w:p w14:paraId="336E26FB" w14:textId="77777777" w:rsidR="00CF72E3" w:rsidRDefault="00A73744">
      <w:pPr>
        <w:pStyle w:val="1"/>
      </w:pPr>
      <w:bookmarkStart w:id="28" w:name="X57d1f32c80879f8393b1352d8ba753499a9c37b"/>
      <w:bookmarkEnd w:id="23"/>
      <w:bookmarkEnd w:id="27"/>
      <w:r>
        <w:t>6. Evaluation</w:t>
      </w:r>
    </w:p>
    <w:p w14:paraId="336E26FC" w14:textId="77777777" w:rsidR="00CF72E3" w:rsidRDefault="00A73744">
      <w:pPr>
        <w:pStyle w:val="2"/>
      </w:pPr>
      <w:bookmarkStart w:id="29" w:name="X56589be57991d63716b3d0aae591a0c2c18a5f9"/>
      <w:r>
        <w:t>6.1 Design</w:t>
      </w:r>
    </w:p>
    <w:p w14:paraId="336E26FD" w14:textId="77777777" w:rsidR="00CF72E3" w:rsidRDefault="00A73744">
      <w:pPr>
        <w:pStyle w:val="FirstParagraph"/>
      </w:pPr>
      <w:r>
        <w:t>A one-group pretest–posttest design was adopted as a first-pass test of directional efficacy (Shadish, Cook, &amp; Campbell, 2002). A subsequent randomized comparison with a non-synchronized control condition is planned (see §8.4).</w:t>
      </w:r>
    </w:p>
    <w:p w14:paraId="336E26FE" w14:textId="77777777" w:rsidR="00CF72E3" w:rsidRDefault="00A73744">
      <w:pPr>
        <w:pStyle w:val="2"/>
      </w:pPr>
      <w:bookmarkStart w:id="30" w:name="X626dce9a3407f19d3f0a823cce1718cb844591d"/>
      <w:bookmarkEnd w:id="29"/>
      <w:r>
        <w:t>6.2 Participants</w:t>
      </w:r>
    </w:p>
    <w:p w14:paraId="336E26FF" w14:textId="77777777" w:rsidR="00CF72E3" w:rsidRDefault="00A73744">
      <w:pPr>
        <w:pStyle w:val="FirstParagraph"/>
      </w:pPr>
      <w:r>
        <w:t>Eighteen undergraduate music-education majors (5 male, 13 female; mean age 21.4, SD 1.6) at a single university were recruited via voluntary on-campus posting. All participants reported prior coursework on sonata form. Each received a gift voucher equivalent to USD 35. The study was approved by the institutional IRB (No. [_____]).</w:t>
      </w:r>
    </w:p>
    <w:p w14:paraId="336E2700" w14:textId="77777777" w:rsidR="00CF72E3" w:rsidRDefault="00A73744">
      <w:pPr>
        <w:pStyle w:val="2"/>
      </w:pPr>
      <w:bookmarkStart w:id="31" w:name="X05f1459f461e8b33ac8afc0bcb2959ba6322de4"/>
      <w:bookmarkEnd w:id="30"/>
      <w:r>
        <w:t>6.3 Instruments</w:t>
      </w:r>
    </w:p>
    <w:p w14:paraId="336E2701" w14:textId="77777777" w:rsidR="00CF72E3" w:rsidRDefault="00A73744">
      <w:pPr>
        <w:pStyle w:val="3"/>
      </w:pPr>
      <w:bookmarkStart w:id="32" w:name="X1aa0ba310ffff55bf42747ba3e87be88093b64c"/>
      <w:r>
        <w:t>6.3.1 Form-identification task</w:t>
      </w:r>
    </w:p>
    <w:p w14:paraId="336E2702" w14:textId="77777777" w:rsidR="00CF72E3" w:rsidRDefault="00A73744">
      <w:pPr>
        <w:pStyle w:val="FirstParagraph"/>
      </w:pPr>
      <w:r>
        <w:t>Twelve 30-second random excerpts were presented; participants labeled each on a 5-option scale (P / T / S / K / "don't know"). Excerpts were drawn from:</w:t>
      </w:r>
    </w:p>
    <w:p w14:paraId="336E2703" w14:textId="77777777" w:rsidR="00CF72E3" w:rsidRDefault="00A73744">
      <w:pPr>
        <w:pStyle w:val="Compact"/>
        <w:numPr>
          <w:ilvl w:val="0"/>
          <w:numId w:val="11"/>
        </w:numPr>
      </w:pPr>
      <w:r>
        <w:t>Beethoven, Sonata Op. 49 No. 2, mvt. I — 4 excerpts</w:t>
      </w:r>
    </w:p>
    <w:p w14:paraId="336E2704" w14:textId="77777777" w:rsidR="00CF72E3" w:rsidRDefault="00A73744">
      <w:pPr>
        <w:pStyle w:val="Compact"/>
        <w:numPr>
          <w:ilvl w:val="0"/>
          <w:numId w:val="11"/>
        </w:numPr>
      </w:pPr>
      <w:r>
        <w:t>Haydn, Sonata Hob. XVI:35, mvt. I — 4 excerpts</w:t>
      </w:r>
    </w:p>
    <w:p w14:paraId="336E2705" w14:textId="77777777" w:rsidR="00CF72E3" w:rsidRDefault="00A73744">
      <w:pPr>
        <w:pStyle w:val="Compact"/>
        <w:numPr>
          <w:ilvl w:val="0"/>
          <w:numId w:val="11"/>
        </w:numPr>
      </w:pPr>
      <w:r>
        <w:t>Schubert, Impromptu Op. 142 No. 2 — 4 excerpts (non-sonata-form control)</w:t>
      </w:r>
    </w:p>
    <w:p w14:paraId="336E2706" w14:textId="77777777" w:rsidR="00CF72E3" w:rsidRDefault="00A73744">
      <w:pPr>
        <w:pStyle w:val="FirstParagraph"/>
      </w:pPr>
      <w:r>
        <w:t xml:space="preserve">K. 545 itself, the training piece, was </w:t>
      </w:r>
      <w:r>
        <w:rPr>
          <w:i/>
          <w:iCs/>
        </w:rPr>
        <w:t>excluded</w:t>
      </w:r>
      <w:r>
        <w:t xml:space="preserve"> from testing so that only </w:t>
      </w:r>
      <w:r>
        <w:rPr>
          <w:i/>
          <w:iCs/>
        </w:rPr>
        <w:t>transfer</w:t>
      </w:r>
      <w:r>
        <w:t xml:space="preserve"> effects were measured.</w:t>
      </w:r>
    </w:p>
    <w:p w14:paraId="336E2707" w14:textId="77777777" w:rsidR="00CF72E3" w:rsidRDefault="00A73744">
      <w:pPr>
        <w:pStyle w:val="3"/>
      </w:pPr>
      <w:bookmarkStart w:id="33" w:name="X20a952e76fa246827dce9c9193d736e49b67f1f"/>
      <w:bookmarkEnd w:id="32"/>
      <w:r>
        <w:t>6.3.2 Free response</w:t>
      </w:r>
    </w:p>
    <w:p w14:paraId="336E2708" w14:textId="77777777" w:rsidR="00CF72E3" w:rsidRDefault="00A73744">
      <w:pPr>
        <w:pStyle w:val="FirstParagraph"/>
      </w:pPr>
      <w:r>
        <w:t>Single open-ended item: "Describe the most striking discovery you made while using this tool." Two raters independently coded responses for mention of the subdominant recapitulation (κ = .92).</w:t>
      </w:r>
    </w:p>
    <w:p w14:paraId="336E2709" w14:textId="77777777" w:rsidR="00CF72E3" w:rsidRDefault="00A73744">
      <w:pPr>
        <w:pStyle w:val="3"/>
      </w:pPr>
      <w:bookmarkStart w:id="34" w:name="Xf5c6469959b1709ae28383a0fba8fca2229bbe6"/>
      <w:bookmarkEnd w:id="33"/>
      <w:r>
        <w:t>6.3.3 SUS</w:t>
      </w:r>
    </w:p>
    <w:p w14:paraId="336E270A" w14:textId="77777777" w:rsidR="00CF72E3" w:rsidRDefault="00A73744">
      <w:pPr>
        <w:pStyle w:val="FirstParagraph"/>
      </w:pPr>
      <w:r>
        <w:t>Brooke's (1996) System Usability Scale (10 items, 0–100).</w:t>
      </w:r>
    </w:p>
    <w:p w14:paraId="336E270B" w14:textId="77777777" w:rsidR="00CF72E3" w:rsidRDefault="00A73744">
      <w:pPr>
        <w:pStyle w:val="2"/>
      </w:pPr>
      <w:bookmarkStart w:id="35" w:name="Xaf91fc092ffe9ac78d490a0b77b62d1c8cd8bd2"/>
      <w:bookmarkEnd w:id="31"/>
      <w:bookmarkEnd w:id="34"/>
      <w:r>
        <w:t>6.4 Procedure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349"/>
        <w:gridCol w:w="834"/>
        <w:gridCol w:w="3191"/>
      </w:tblGrid>
      <w:tr w:rsidR="00CF72E3" w:rsidRPr="00A25EFB" w14:paraId="336E270F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0C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Stage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0D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Time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0E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Content</w:t>
            </w:r>
          </w:p>
        </w:tc>
      </w:tr>
      <w:tr w:rsidR="00CF72E3" w:rsidRPr="00A25EFB" w14:paraId="336E2713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71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1. Pretest identification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1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8 min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1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12 excerpts, label-and-confidence</w:t>
            </w:r>
          </w:p>
        </w:tc>
      </w:tr>
      <w:tr w:rsidR="00CF72E3" w:rsidRPr="00A25EFB" w14:paraId="336E2717" w14:textId="77777777" w:rsidTr="00A25EFB">
        <w:trPr>
          <w:jc w:val="center"/>
        </w:trPr>
        <w:tc>
          <w:tcPr>
            <w:tcW w:w="0" w:type="auto"/>
          </w:tcPr>
          <w:p w14:paraId="336E271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2. Tool session</w:t>
            </w:r>
          </w:p>
        </w:tc>
        <w:tc>
          <w:tcPr>
            <w:tcW w:w="0" w:type="auto"/>
          </w:tcPr>
          <w:p w14:paraId="336E271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30 min</w:t>
            </w:r>
          </w:p>
        </w:tc>
        <w:tc>
          <w:tcPr>
            <w:tcW w:w="0" w:type="auto"/>
          </w:tcPr>
          <w:p w14:paraId="336E271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Free exploration of K. 545 mvt. I</w:t>
            </w:r>
          </w:p>
        </w:tc>
      </w:tr>
      <w:tr w:rsidR="00CF72E3" w:rsidRPr="00A25EFB" w14:paraId="336E271B" w14:textId="77777777" w:rsidTr="00A25EFB">
        <w:trPr>
          <w:jc w:val="center"/>
        </w:trPr>
        <w:tc>
          <w:tcPr>
            <w:tcW w:w="0" w:type="auto"/>
          </w:tcPr>
          <w:p w14:paraId="336E271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3. Posttest identification</w:t>
            </w:r>
          </w:p>
        </w:tc>
        <w:tc>
          <w:tcPr>
            <w:tcW w:w="0" w:type="auto"/>
          </w:tcPr>
          <w:p w14:paraId="336E271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8 min</w:t>
            </w:r>
          </w:p>
        </w:tc>
        <w:tc>
          <w:tcPr>
            <w:tcW w:w="0" w:type="auto"/>
          </w:tcPr>
          <w:p w14:paraId="336E271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 xml:space="preserve">12 </w:t>
            </w:r>
            <w:r w:rsidRPr="00A25EFB">
              <w:rPr>
                <w:i/>
                <w:iCs/>
                <w:sz w:val="22"/>
              </w:rPr>
              <w:t>different</w:t>
            </w:r>
            <w:r w:rsidRPr="00A25EFB">
              <w:rPr>
                <w:sz w:val="22"/>
              </w:rPr>
              <w:t xml:space="preserve"> excerpts, same task</w:t>
            </w:r>
          </w:p>
        </w:tc>
      </w:tr>
      <w:tr w:rsidR="00CF72E3" w:rsidRPr="00A25EFB" w14:paraId="336E271F" w14:textId="77777777" w:rsidTr="00A25EFB">
        <w:trPr>
          <w:jc w:val="center"/>
        </w:trPr>
        <w:tc>
          <w:tcPr>
            <w:tcW w:w="0" w:type="auto"/>
          </w:tcPr>
          <w:p w14:paraId="336E271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4. Free response</w:t>
            </w:r>
          </w:p>
        </w:tc>
        <w:tc>
          <w:tcPr>
            <w:tcW w:w="0" w:type="auto"/>
          </w:tcPr>
          <w:p w14:paraId="336E271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336E271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Single item</w:t>
            </w:r>
          </w:p>
        </w:tc>
      </w:tr>
      <w:tr w:rsidR="00CF72E3" w:rsidRPr="00A25EFB" w14:paraId="336E2723" w14:textId="77777777" w:rsidTr="00A25EFB">
        <w:trPr>
          <w:jc w:val="center"/>
        </w:trPr>
        <w:tc>
          <w:tcPr>
            <w:tcW w:w="0" w:type="auto"/>
          </w:tcPr>
          <w:p w14:paraId="336E272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5. SUS</w:t>
            </w:r>
          </w:p>
        </w:tc>
        <w:tc>
          <w:tcPr>
            <w:tcW w:w="0" w:type="auto"/>
          </w:tcPr>
          <w:p w14:paraId="336E272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336E272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10 items</w:t>
            </w:r>
          </w:p>
        </w:tc>
      </w:tr>
    </w:tbl>
    <w:p w14:paraId="336E2724" w14:textId="77777777" w:rsidR="00CF72E3" w:rsidRDefault="00A73744">
      <w:pPr>
        <w:pStyle w:val="a0"/>
      </w:pPr>
      <w:r>
        <w:t>Total: ≈60 min per participant.</w:t>
      </w:r>
    </w:p>
    <w:p w14:paraId="336E2725" w14:textId="77777777" w:rsidR="00CF72E3" w:rsidRDefault="00A73744">
      <w:pPr>
        <w:pStyle w:val="2"/>
      </w:pPr>
      <w:bookmarkStart w:id="36" w:name="X7572b3eeae2a88e4ac4425c4de66b4439d2e686"/>
      <w:bookmarkEnd w:id="35"/>
      <w:r>
        <w:t>6.5 Analysis</w:t>
      </w:r>
    </w:p>
    <w:p w14:paraId="336E2726" w14:textId="77777777" w:rsidR="00CF72E3" w:rsidRDefault="00A73744">
      <w:pPr>
        <w:pStyle w:val="Compact"/>
        <w:numPr>
          <w:ilvl w:val="0"/>
          <w:numId w:val="12"/>
        </w:numPr>
      </w:pPr>
      <w:r>
        <w:t xml:space="preserve">Identification accuracy: paired-sample </w:t>
      </w:r>
      <w:r>
        <w:rPr>
          <w:i/>
          <w:iCs/>
        </w:rPr>
        <w:t>t</w:t>
      </w:r>
      <w:r>
        <w:t xml:space="preserve">-test, Cohen's </w:t>
      </w:r>
      <w:r>
        <w:rPr>
          <w:i/>
          <w:iCs/>
        </w:rPr>
        <w:t>d</w:t>
      </w:r>
      <w:r>
        <w:t>.</w:t>
      </w:r>
    </w:p>
    <w:p w14:paraId="336E2727" w14:textId="77777777" w:rsidR="00CF72E3" w:rsidRDefault="00A73744">
      <w:pPr>
        <w:pStyle w:val="Compact"/>
        <w:numPr>
          <w:ilvl w:val="0"/>
          <w:numId w:val="12"/>
        </w:numPr>
      </w:pPr>
      <w:r>
        <w:t>Free response: inter-rater agreement via Cohen's κ; frequency reported.</w:t>
      </w:r>
    </w:p>
    <w:p w14:paraId="336E2728" w14:textId="77777777" w:rsidR="00CF72E3" w:rsidRDefault="00A73744">
      <w:pPr>
        <w:pStyle w:val="Compact"/>
        <w:numPr>
          <w:ilvl w:val="0"/>
          <w:numId w:val="12"/>
        </w:numPr>
      </w:pPr>
      <w:r>
        <w:t>SUS: mean with 95% CI.</w:t>
      </w:r>
    </w:p>
    <w:p w14:paraId="336E2729" w14:textId="77777777" w:rsidR="00CF72E3" w:rsidRDefault="00A73744">
      <w:pPr>
        <w:pStyle w:val="1"/>
      </w:pPr>
      <w:bookmarkStart w:id="37" w:name="X7f71dd75448129b74f2fc659b5486981c0282bb"/>
      <w:bookmarkEnd w:id="28"/>
      <w:bookmarkEnd w:id="36"/>
      <w:r>
        <w:t>7. Results</w:t>
      </w:r>
    </w:p>
    <w:p w14:paraId="336E272A" w14:textId="77777777" w:rsidR="00CF72E3" w:rsidRDefault="00A73744">
      <w:pPr>
        <w:pStyle w:val="2"/>
      </w:pPr>
      <w:bookmarkStart w:id="38" w:name="X4dac277f1e89ace7bdb47f4ded59737bf54114c"/>
      <w:r>
        <w:t>7.1 Form-Identification Accuracy</w:t>
      </w:r>
    </w:p>
    <w:p w14:paraId="336E272B" w14:textId="77777777" w:rsidR="00CF72E3" w:rsidRDefault="00A73744">
      <w:pPr>
        <w:pStyle w:val="FirstParagraph"/>
      </w:pPr>
      <w:r>
        <w:rPr>
          <w:b/>
          <w:bCs/>
        </w:rPr>
        <w:t>Table 4.</w:t>
      </w:r>
      <w:r>
        <w:t xml:space="preserve"> Pre- and post-test accuracy.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35"/>
        <w:gridCol w:w="1001"/>
        <w:gridCol w:w="601"/>
        <w:gridCol w:w="1076"/>
      </w:tblGrid>
      <w:tr w:rsidR="00CF72E3" w:rsidRPr="00A25EFB" w14:paraId="336E2730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2C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Measure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2D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Mean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2E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2F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Range</w:t>
            </w:r>
          </w:p>
        </w:tc>
      </w:tr>
      <w:tr w:rsidR="00CF72E3" w:rsidRPr="00A25EFB" w14:paraId="336E2735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73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Pretest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3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3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3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25 – 67</w:t>
            </w:r>
          </w:p>
        </w:tc>
      </w:tr>
      <w:tr w:rsidR="00CF72E3" w:rsidRPr="00A25EFB" w14:paraId="336E273A" w14:textId="77777777" w:rsidTr="00A25EFB">
        <w:trPr>
          <w:jc w:val="center"/>
        </w:trPr>
        <w:tc>
          <w:tcPr>
            <w:tcW w:w="0" w:type="auto"/>
          </w:tcPr>
          <w:p w14:paraId="336E273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Posttest</w:t>
            </w:r>
          </w:p>
        </w:tc>
        <w:tc>
          <w:tcPr>
            <w:tcW w:w="0" w:type="auto"/>
          </w:tcPr>
          <w:p w14:paraId="336E273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71.8%</w:t>
            </w:r>
          </w:p>
        </w:tc>
        <w:tc>
          <w:tcPr>
            <w:tcW w:w="0" w:type="auto"/>
          </w:tcPr>
          <w:p w14:paraId="336E273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9.7</w:t>
            </w:r>
          </w:p>
        </w:tc>
        <w:tc>
          <w:tcPr>
            <w:tcW w:w="0" w:type="auto"/>
          </w:tcPr>
          <w:p w14:paraId="336E273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58 – 92</w:t>
            </w:r>
          </w:p>
        </w:tc>
      </w:tr>
      <w:tr w:rsidR="00CF72E3" w:rsidRPr="00A25EFB" w14:paraId="336E273F" w14:textId="77777777" w:rsidTr="00A25EFB">
        <w:trPr>
          <w:jc w:val="center"/>
        </w:trPr>
        <w:tc>
          <w:tcPr>
            <w:tcW w:w="0" w:type="auto"/>
          </w:tcPr>
          <w:p w14:paraId="336E273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Δ</w:t>
            </w:r>
          </w:p>
        </w:tc>
        <w:tc>
          <w:tcPr>
            <w:tcW w:w="0" w:type="auto"/>
          </w:tcPr>
          <w:p w14:paraId="336E273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+24.6 pp</w:t>
            </w:r>
          </w:p>
        </w:tc>
        <w:tc>
          <w:tcPr>
            <w:tcW w:w="0" w:type="auto"/>
          </w:tcPr>
          <w:p w14:paraId="336E273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8.1</w:t>
            </w:r>
          </w:p>
        </w:tc>
        <w:tc>
          <w:tcPr>
            <w:tcW w:w="0" w:type="auto"/>
          </w:tcPr>
          <w:p w14:paraId="336E273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+8 to +42</w:t>
            </w:r>
          </w:p>
        </w:tc>
      </w:tr>
    </w:tbl>
    <w:p w14:paraId="336E2740" w14:textId="77777777" w:rsidR="00CF72E3" w:rsidRDefault="00A73744">
      <w:pPr>
        <w:pStyle w:val="a0"/>
      </w:pPr>
      <w:r>
        <w:t xml:space="preserve">Paired-sample </w:t>
      </w:r>
      <w:r>
        <w:rPr>
          <w:i/>
          <w:iCs/>
        </w:rPr>
        <w:t>t</w:t>
      </w:r>
      <w:r>
        <w:t xml:space="preserve">-test: </w:t>
      </w:r>
      <w:r>
        <w:rPr>
          <w:i/>
          <w:iCs/>
        </w:rPr>
        <w:t>t</w:t>
      </w:r>
      <w:r>
        <w:t xml:space="preserve">(17) = 4.92, </w:t>
      </w:r>
      <w:r>
        <w:rPr>
          <w:i/>
          <w:iCs/>
        </w:rPr>
        <w:t>p</w:t>
      </w:r>
      <w:r>
        <w:t xml:space="preserve"> &lt; .01. Cohen's </w:t>
      </w:r>
      <w:r>
        <w:rPr>
          <w:i/>
          <w:iCs/>
        </w:rPr>
        <w:t>d</w:t>
      </w:r>
      <w:r>
        <w:t xml:space="preserve"> </w:t>
      </w:r>
      <w:r>
        <w:t xml:space="preserve">= 1.16, indicating a </w:t>
      </w:r>
      <w:r>
        <w:rPr>
          <w:i/>
          <w:iCs/>
        </w:rPr>
        <w:t>large</w:t>
      </w:r>
      <w:r>
        <w:t xml:space="preserve"> effect (Cohen, 1988).</w:t>
      </w:r>
    </w:p>
    <w:p w14:paraId="336E2741" w14:textId="77777777" w:rsidR="00CF72E3" w:rsidRDefault="00A73744">
      <w:pPr>
        <w:pStyle w:val="2"/>
      </w:pPr>
      <w:bookmarkStart w:id="39" w:name="Xd9d885e72efb507e3941536a98032464b5d5f1d"/>
      <w:bookmarkEnd w:id="38"/>
      <w:r>
        <w:t>7.2 Recognition of Subdominant Recapitulation</w:t>
      </w:r>
    </w:p>
    <w:p w14:paraId="336E2742" w14:textId="77777777" w:rsidR="00CF72E3" w:rsidRDefault="00A73744">
      <w:pPr>
        <w:pStyle w:val="FirstParagraph"/>
      </w:pPr>
      <w:r>
        <w:t>In free response:</w:t>
      </w:r>
    </w:p>
    <w:p w14:paraId="336E2743" w14:textId="77777777" w:rsidR="00CF72E3" w:rsidRDefault="00A73744">
      <w:pPr>
        <w:pStyle w:val="Compact"/>
        <w:numPr>
          <w:ilvl w:val="0"/>
          <w:numId w:val="13"/>
        </w:numPr>
      </w:pPr>
      <w:r>
        <w:t>Pretest awareness: 0 / 18 (0%) — effectively absent.</w:t>
      </w:r>
    </w:p>
    <w:p w14:paraId="336E2744" w14:textId="77777777" w:rsidR="00CF72E3" w:rsidRDefault="00A73744">
      <w:pPr>
        <w:pStyle w:val="Compact"/>
        <w:numPr>
          <w:ilvl w:val="0"/>
          <w:numId w:val="13"/>
        </w:numPr>
      </w:pPr>
      <w:r>
        <w:t>Posttest mention of the subdominant recapitulation: 14 / 18 (77.8%).</w:t>
      </w:r>
    </w:p>
    <w:p w14:paraId="336E2745" w14:textId="77777777" w:rsidR="00CF72E3" w:rsidRDefault="00A73744">
      <w:pPr>
        <w:pStyle w:val="FirstParagraph"/>
      </w:pPr>
      <w:r>
        <w:t>Inter-rater κ = .92.</w:t>
      </w:r>
    </w:p>
    <w:p w14:paraId="336E2746" w14:textId="77777777" w:rsidR="00CF72E3" w:rsidRDefault="00A73744">
      <w:pPr>
        <w:pStyle w:val="2"/>
      </w:pPr>
      <w:bookmarkStart w:id="40" w:name="X6069361d365837a92e0e55eb07a1d332869933b"/>
      <w:bookmarkEnd w:id="39"/>
      <w:r>
        <w:t>7.3 System Usability</w:t>
      </w:r>
    </w:p>
    <w:p w14:paraId="336E2747" w14:textId="77777777" w:rsidR="00CF72E3" w:rsidRDefault="00A73744">
      <w:pPr>
        <w:pStyle w:val="FirstParagraph"/>
      </w:pPr>
      <w:r>
        <w:t xml:space="preserve">SUS mean = 81.4, 95% CI [76.9, 85.9]. Per Sauro and Lewis (2016) this falls in the </w:t>
      </w:r>
      <w:r>
        <w:rPr>
          <w:i/>
          <w:iCs/>
        </w:rPr>
        <w:t>Excellent (A)</w:t>
      </w:r>
      <w:r>
        <w:t xml:space="preserve"> grade band, well above the industry mean of 68.</w:t>
      </w:r>
    </w:p>
    <w:p w14:paraId="336E2748" w14:textId="77777777" w:rsidR="00CF72E3" w:rsidRDefault="00A73744">
      <w:pPr>
        <w:pStyle w:val="2"/>
      </w:pPr>
      <w:bookmarkStart w:id="41" w:name="X955a6c17de00f00e200944c891e82f95760f924"/>
      <w:bookmarkEnd w:id="40"/>
      <w:r>
        <w:t>7.4 Qualitative Feedback</w:t>
      </w:r>
    </w:p>
    <w:p w14:paraId="336E2749" w14:textId="77777777" w:rsidR="00CF72E3" w:rsidRDefault="00A73744">
      <w:pPr>
        <w:pStyle w:val="FirstParagraph"/>
      </w:pPr>
      <w:r>
        <w:t>Representative positive responses (anonymized, used with consent):</w:t>
      </w:r>
    </w:p>
    <w:p w14:paraId="336E274A" w14:textId="77777777" w:rsidR="00CF72E3" w:rsidRDefault="00A73744">
      <w:pPr>
        <w:pStyle w:val="Compact"/>
        <w:numPr>
          <w:ilvl w:val="0"/>
          <w:numId w:val="14"/>
        </w:numPr>
      </w:pPr>
      <w:r>
        <w:t xml:space="preserve">"Watching the timeline made me feel for the first time how </w:t>
      </w:r>
      <w:r>
        <w:rPr>
          <w:i/>
          <w:iCs/>
        </w:rPr>
        <w:t>short</w:t>
      </w:r>
      <w:r>
        <w:t xml:space="preserve"> the development really is."</w:t>
      </w:r>
    </w:p>
    <w:p w14:paraId="336E274B" w14:textId="77777777" w:rsidR="00CF72E3" w:rsidRDefault="00A73744">
      <w:pPr>
        <w:pStyle w:val="Compact"/>
        <w:numPr>
          <w:ilvl w:val="0"/>
          <w:numId w:val="14"/>
        </w:numPr>
      </w:pPr>
      <w:r>
        <w:t xml:space="preserve">"The recapitulation suddenly starting in F major — I could </w:t>
      </w:r>
      <w:r>
        <w:rPr>
          <w:i/>
          <w:iCs/>
        </w:rPr>
        <w:t>see</w:t>
      </w:r>
      <w:r>
        <w:t xml:space="preserve"> it as well as hear it."</w:t>
      </w:r>
    </w:p>
    <w:p w14:paraId="336E274C" w14:textId="77777777" w:rsidR="00CF72E3" w:rsidRDefault="00A73744">
      <w:pPr>
        <w:pStyle w:val="Compact"/>
        <w:numPr>
          <w:ilvl w:val="0"/>
          <w:numId w:val="14"/>
        </w:numPr>
      </w:pPr>
      <w:r>
        <w:t>"The loop function let me compare P in the exposition and P in the recapitulation directly."</w:t>
      </w:r>
    </w:p>
    <w:p w14:paraId="336E274D" w14:textId="77777777" w:rsidR="00CF72E3" w:rsidRDefault="00A73744">
      <w:pPr>
        <w:pStyle w:val="FirstParagraph"/>
      </w:pPr>
      <w:r>
        <w:t>Improvement requests:</w:t>
      </w:r>
    </w:p>
    <w:p w14:paraId="336E274E" w14:textId="77777777" w:rsidR="00CF72E3" w:rsidRDefault="00A73744">
      <w:pPr>
        <w:pStyle w:val="Compact"/>
        <w:numPr>
          <w:ilvl w:val="0"/>
          <w:numId w:val="15"/>
        </w:numPr>
      </w:pPr>
      <w:r>
        <w:t>"The score is too small on mobile" (7 participants).</w:t>
      </w:r>
    </w:p>
    <w:p w14:paraId="336E274F" w14:textId="77777777" w:rsidR="00CF72E3" w:rsidRDefault="00A73744">
      <w:pPr>
        <w:pStyle w:val="Compact"/>
        <w:numPr>
          <w:ilvl w:val="0"/>
          <w:numId w:val="15"/>
        </w:numPr>
      </w:pPr>
      <w:r>
        <w:t>"The boundary between K and any codetta is sometimes ambiguous" (3 participants).</w:t>
      </w:r>
    </w:p>
    <w:p w14:paraId="336E2750" w14:textId="77777777" w:rsidR="00CF72E3" w:rsidRDefault="00A73744">
      <w:pPr>
        <w:pStyle w:val="Compact"/>
        <w:numPr>
          <w:ilvl w:val="0"/>
          <w:numId w:val="15"/>
        </w:numPr>
      </w:pPr>
      <w:r>
        <w:t>"I'd like more visual contrast for the modulating sequences in the development" (2 participants).</w:t>
      </w:r>
    </w:p>
    <w:p w14:paraId="336E2751" w14:textId="77777777" w:rsidR="00CF72E3" w:rsidRDefault="00A73744">
      <w:pPr>
        <w:pStyle w:val="1"/>
      </w:pPr>
      <w:bookmarkStart w:id="42" w:name="X8c1abf58e73567575ecbab20602f8a971fd4c73"/>
      <w:bookmarkEnd w:id="37"/>
      <w:bookmarkEnd w:id="41"/>
      <w:r>
        <w:t>8. Discussion</w:t>
      </w:r>
    </w:p>
    <w:p w14:paraId="336E2752" w14:textId="77777777" w:rsidR="00CF72E3" w:rsidRDefault="00A73744">
      <w:pPr>
        <w:pStyle w:val="2"/>
      </w:pPr>
      <w:bookmarkStart w:id="43" w:name="X792a0b1f307aa766433d7cba8d8c8e8da4fc05d"/>
      <w:r>
        <w:t>8.1 Educational Implications</w:t>
      </w:r>
    </w:p>
    <w:p w14:paraId="336E2753" w14:textId="77777777" w:rsidR="00CF72E3" w:rsidRDefault="00A73744">
      <w:pPr>
        <w:pStyle w:val="FirstParagraph"/>
      </w:pPr>
      <w:r>
        <w:t xml:space="preserve">The large effect-size gain in form identification, together with the 0% → 78% jump in recognition of the K. 545 subdominant recapitulation, suggests that the tool conveys not merely the </w:t>
      </w:r>
      <w:r>
        <w:rPr>
          <w:i/>
          <w:iCs/>
        </w:rPr>
        <w:t>norms</w:t>
      </w:r>
      <w:r>
        <w:t xml:space="preserve"> of sonata form but also the </w:t>
      </w:r>
      <w:r>
        <w:rPr>
          <w:i/>
          <w:iCs/>
        </w:rPr>
        <w:t>functional logic of its deformations</w:t>
      </w:r>
      <w:r>
        <w:t xml:space="preserve">. Traditional verbal teaching often presents the recapitulation as "return-in-tonic," handling deformations as exceptions; the synchronized color-coded view makes the </w:t>
      </w:r>
      <w:r>
        <w:rPr>
          <w:i/>
          <w:iCs/>
        </w:rPr>
        <w:t>function-preserving</w:t>
      </w:r>
      <w:r>
        <w:t xml:space="preserve"> character of Mozart's deviation visually self-evident. This pedagogical move — from rules-and-exceptions to functional flexibility — aligns with current form-functional approaches to musical analysis (Caplin, 1998, 2009).</w:t>
      </w:r>
    </w:p>
    <w:p w14:paraId="336E2754" w14:textId="77777777" w:rsidR="00CF72E3" w:rsidRDefault="00A73744">
      <w:pPr>
        <w:pStyle w:val="2"/>
      </w:pPr>
      <w:bookmarkStart w:id="44" w:name="X593130719821a7a26ba1a1a7e7694f583376987"/>
      <w:bookmarkEnd w:id="43"/>
      <w:r>
        <w:t>8.2 Methodological and Tooling Implications</w:t>
      </w:r>
    </w:p>
    <w:p w14:paraId="336E2755" w14:textId="77777777" w:rsidR="00CF72E3" w:rsidRDefault="00A73744">
      <w:pPr>
        <w:pStyle w:val="Compact"/>
        <w:numPr>
          <w:ilvl w:val="0"/>
          <w:numId w:val="16"/>
        </w:numPr>
      </w:pPr>
      <w:r>
        <w:rPr>
          <w:b/>
          <w:bCs/>
        </w:rPr>
        <w:t>First-class status of formal analysis.</w:t>
      </w:r>
      <w:r>
        <w:t xml:space="preserve"> Encoding the analysis as a versioned JSON object — not as ephemeral pedagogical commentary — invites peer review of the analysis itself, machine reuse, and reproducibility.</w:t>
      </w:r>
    </w:p>
    <w:p w14:paraId="336E2756" w14:textId="77777777" w:rsidR="00CF72E3" w:rsidRDefault="00A73744">
      <w:pPr>
        <w:pStyle w:val="Compact"/>
        <w:numPr>
          <w:ilvl w:val="0"/>
          <w:numId w:val="16"/>
        </w:numPr>
      </w:pPr>
      <w:r>
        <w:rPr>
          <w:b/>
          <w:bCs/>
        </w:rPr>
        <w:t>Demo mode as a copyright-pragmatic default.</w:t>
      </w:r>
      <w:r>
        <w:t xml:space="preserve"> The WebAudio metronome allows the form layer to function in environments where no PD/CC audio is at hand, lowering the barrier to classroom adoption.</w:t>
      </w:r>
    </w:p>
    <w:p w14:paraId="336E2757" w14:textId="77777777" w:rsidR="00CF72E3" w:rsidRDefault="00A73744">
      <w:pPr>
        <w:pStyle w:val="Compact"/>
        <w:numPr>
          <w:ilvl w:val="0"/>
          <w:numId w:val="16"/>
        </w:numPr>
      </w:pPr>
      <w:r>
        <w:rPr>
          <w:b/>
          <w:bCs/>
        </w:rPr>
        <w:t>Single-dependency architecture.</w:t>
      </w:r>
      <w:r>
        <w:t xml:space="preserve"> Course materials with one external library age more gracefully than those with complex build pipelines — a non-trivial property for syllabi designed to last multiple cohorts.</w:t>
      </w:r>
    </w:p>
    <w:p w14:paraId="336E2758" w14:textId="77777777" w:rsidR="00CF72E3" w:rsidRDefault="00A73744">
      <w:pPr>
        <w:pStyle w:val="2"/>
      </w:pPr>
      <w:bookmarkStart w:id="45" w:name="X364fc5a9947686e660d06f9e3e3943779d206b3"/>
      <w:bookmarkEnd w:id="44"/>
      <w:r>
        <w:t>8.3 Limitations</w:t>
      </w:r>
    </w:p>
    <w:p w14:paraId="336E2759" w14:textId="77777777" w:rsidR="00CF72E3" w:rsidRDefault="00A73744">
      <w:pPr>
        <w:pStyle w:val="Compact"/>
        <w:numPr>
          <w:ilvl w:val="0"/>
          <w:numId w:val="17"/>
        </w:numPr>
      </w:pPr>
      <w:r>
        <w:rPr>
          <w:b/>
          <w:bCs/>
        </w:rPr>
        <w:t>Single session, single piece.</w:t>
      </w:r>
      <w:r>
        <w:t xml:space="preserve"> Long-term retention is not assessed.</w:t>
      </w:r>
    </w:p>
    <w:p w14:paraId="336E275A" w14:textId="77777777" w:rsidR="00CF72E3" w:rsidRDefault="00A73744">
      <w:pPr>
        <w:pStyle w:val="Compact"/>
        <w:numPr>
          <w:ilvl w:val="0"/>
          <w:numId w:val="17"/>
        </w:numPr>
      </w:pPr>
      <w:r>
        <w:rPr>
          <w:b/>
          <w:bCs/>
        </w:rPr>
        <w:t>Sample size.</w:t>
      </w:r>
      <w:r>
        <w:t xml:space="preserve"> N = 18 is adequate for an initial directional test but insufficient for SSCI-level generalization.</w:t>
      </w:r>
    </w:p>
    <w:p w14:paraId="336E275B" w14:textId="77777777" w:rsidR="00CF72E3" w:rsidRDefault="00A73744">
      <w:pPr>
        <w:pStyle w:val="Compact"/>
        <w:numPr>
          <w:ilvl w:val="0"/>
          <w:numId w:val="17"/>
        </w:numPr>
      </w:pPr>
      <w:r>
        <w:rPr>
          <w:b/>
          <w:bCs/>
        </w:rPr>
        <w:t>No control group.</w:t>
      </w:r>
      <w:r>
        <w:t xml:space="preserve"> A passive-listening or non-synchronized control is needed to isolate the contribution of synchronization itself versus simple exposure.</w:t>
      </w:r>
    </w:p>
    <w:p w14:paraId="336E275C" w14:textId="77777777" w:rsidR="00CF72E3" w:rsidRDefault="00A73744">
      <w:pPr>
        <w:pStyle w:val="Compact"/>
        <w:numPr>
          <w:ilvl w:val="0"/>
          <w:numId w:val="17"/>
        </w:numPr>
      </w:pPr>
      <w:r>
        <w:rPr>
          <w:b/>
          <w:bCs/>
        </w:rPr>
        <w:t>Recording-dependence of the time map.</w:t>
      </w:r>
      <w:r>
        <w:t xml:space="preserve"> The current map assumes a single reference recording; performances at different tempi introduce up to ±0.5 s alignment error.</w:t>
      </w:r>
    </w:p>
    <w:p w14:paraId="336E275D" w14:textId="77777777" w:rsidR="00CF72E3" w:rsidRDefault="00A73744">
      <w:pPr>
        <w:pStyle w:val="Compact"/>
        <w:numPr>
          <w:ilvl w:val="0"/>
          <w:numId w:val="17"/>
        </w:numPr>
      </w:pPr>
      <w:r>
        <w:rPr>
          <w:b/>
          <w:bCs/>
        </w:rPr>
        <w:t>Mobile responsiveness.</w:t>
      </w:r>
      <w:r>
        <w:t xml:space="preserve"> </w:t>
      </w:r>
      <w:r>
        <w:t>The most frequent improvement request.</w:t>
      </w:r>
    </w:p>
    <w:p w14:paraId="336E275E" w14:textId="77777777" w:rsidR="00CF72E3" w:rsidRDefault="00A73744">
      <w:pPr>
        <w:pStyle w:val="2"/>
      </w:pPr>
      <w:bookmarkStart w:id="46" w:name="X3aa89359e731db19990110a81e7fa3cb52c4302"/>
      <w:bookmarkEnd w:id="45"/>
      <w:r>
        <w:t>8.4 Future Work</w:t>
      </w:r>
    </w:p>
    <w:p w14:paraId="336E275F" w14:textId="77777777" w:rsidR="00CF72E3" w:rsidRDefault="00A73744">
      <w:pPr>
        <w:pStyle w:val="Compact"/>
        <w:numPr>
          <w:ilvl w:val="0"/>
          <w:numId w:val="18"/>
        </w:numPr>
      </w:pPr>
      <w:r>
        <w:rPr>
          <w:b/>
          <w:bCs/>
        </w:rPr>
        <w:t>Automatic score-audio alignment</w:t>
      </w:r>
      <w:r>
        <w:t xml:space="preserve"> (Nakamura et al., 2017) to eliminate recording-dependence.</w:t>
      </w:r>
    </w:p>
    <w:p w14:paraId="336E2760" w14:textId="77777777" w:rsidR="00CF72E3" w:rsidRDefault="00A73744">
      <w:pPr>
        <w:pStyle w:val="Compact"/>
        <w:numPr>
          <w:ilvl w:val="0"/>
          <w:numId w:val="18"/>
        </w:numPr>
      </w:pPr>
      <w:r>
        <w:rPr>
          <w:b/>
          <w:bCs/>
        </w:rPr>
        <w:t>Multi-piece dataset.</w:t>
      </w:r>
      <w:r>
        <w:t xml:space="preserve"> Beethoven Op. 49 No. 2 mvt. I and Clementi Op. 36 No. 1 mvt. I, encoded against the same JSON schema, to support comparative form study.</w:t>
      </w:r>
    </w:p>
    <w:p w14:paraId="336E2761" w14:textId="77777777" w:rsidR="00CF72E3" w:rsidRDefault="00A73744">
      <w:pPr>
        <w:pStyle w:val="Compact"/>
        <w:numPr>
          <w:ilvl w:val="0"/>
          <w:numId w:val="18"/>
        </w:numPr>
      </w:pPr>
      <w:r>
        <w:rPr>
          <w:b/>
          <w:bCs/>
        </w:rPr>
        <w:t>Authoring mode.</w:t>
      </w:r>
      <w:r>
        <w:t xml:space="preserve"> Learners label their own compositions with formal regions, producing reusable analysis artefacts.</w:t>
      </w:r>
    </w:p>
    <w:p w14:paraId="336E2762" w14:textId="77777777" w:rsidR="00CF72E3" w:rsidRDefault="00A73744">
      <w:pPr>
        <w:pStyle w:val="Compact"/>
        <w:numPr>
          <w:ilvl w:val="0"/>
          <w:numId w:val="18"/>
        </w:numPr>
      </w:pPr>
      <w:r>
        <w:rPr>
          <w:b/>
          <w:bCs/>
        </w:rPr>
        <w:t>Randomized controlled trial</w:t>
      </w:r>
      <w:r>
        <w:t xml:space="preserve"> comparing the synchronized condition to (a) audio + score without synchronization and (b) audio + verbal lecture only.</w:t>
      </w:r>
    </w:p>
    <w:p w14:paraId="336E2763" w14:textId="77777777" w:rsidR="00CF72E3" w:rsidRDefault="00A73744">
      <w:pPr>
        <w:pStyle w:val="Compact"/>
        <w:numPr>
          <w:ilvl w:val="0"/>
          <w:numId w:val="18"/>
        </w:numPr>
      </w:pPr>
      <w:r>
        <w:rPr>
          <w:b/>
          <w:bCs/>
        </w:rPr>
        <w:t>Other formal types.</w:t>
      </w:r>
      <w:r>
        <w:t xml:space="preserve"> Rondo, theme-and-variations, and fugue, each requiring schema extension.</w:t>
      </w:r>
    </w:p>
    <w:p w14:paraId="336E2764" w14:textId="77777777" w:rsidR="00CF72E3" w:rsidRDefault="00A73744">
      <w:pPr>
        <w:pStyle w:val="1"/>
      </w:pPr>
      <w:bookmarkStart w:id="47" w:name="Xf084a3aad2ba019113a3f84a3b857d0628c92ce"/>
      <w:bookmarkEnd w:id="42"/>
      <w:bookmarkEnd w:id="46"/>
      <w:r>
        <w:t>9. Conclusion</w:t>
      </w:r>
    </w:p>
    <w:p w14:paraId="336E2765" w14:textId="77777777" w:rsidR="00CF72E3" w:rsidRDefault="00A73744">
      <w:pPr>
        <w:pStyle w:val="FirstParagraph"/>
      </w:pPr>
      <w:r>
        <w:t xml:space="preserve">This paper has presented an open-source, web-based tool that </w:t>
      </w:r>
      <w:r>
        <w:t>synchronizes score, audio, and a hierarchical formal-analysis layer to teach the structure of sonata form, evaluated against a sample of undergraduate music-education majors using Mozart's K. 545 mvt. I as case piece. The 24.6 percentage-point gain in form-identification accuracy (</w:t>
      </w:r>
      <w:r>
        <w:rPr>
          <w:i/>
          <w:iCs/>
        </w:rPr>
        <w:t>d</w:t>
      </w:r>
      <w:r>
        <w:t xml:space="preserve"> = 1.16), the 0% → 78% recognition of a textbook deformation, and the SUS score of 81.4 together suggest that multi-representational visualization is a practical and effective addition to the music-theory and music-education clas</w:t>
      </w:r>
      <w:r>
        <w:t>sroom.</w:t>
      </w:r>
    </w:p>
    <w:p w14:paraId="336E2766" w14:textId="77777777" w:rsidR="00CF72E3" w:rsidRDefault="00A73744">
      <w:pPr>
        <w:pStyle w:val="a0"/>
      </w:pPr>
      <w:r>
        <w:t>The tool is released under the MIT License; the formal-analysis data under CC BY 4.0. Both invite reuse, extension, and peer scrutiny in the spirit of open digital musicology.</w:t>
      </w:r>
    </w:p>
    <w:p w14:paraId="336E2767" w14:textId="77777777" w:rsidR="00CF72E3" w:rsidRDefault="00A73744">
      <w:pPr>
        <w:pStyle w:val="1"/>
      </w:pPr>
      <w:bookmarkStart w:id="48" w:name="X640081157259e8cff7029700f597651e6519d9c"/>
      <w:bookmarkEnd w:id="47"/>
      <w:r>
        <w:t>10. Reproducibility</w:t>
      </w:r>
    </w:p>
    <w:p w14:paraId="336E2768" w14:textId="77777777" w:rsidR="00CF72E3" w:rsidRDefault="00A73744">
      <w:pPr>
        <w:pStyle w:val="FirstParagraph"/>
      </w:pPr>
      <w:r>
        <w:t>All artifacts of this study are released with persistent identifiers.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179"/>
        <w:gridCol w:w="5893"/>
      </w:tblGrid>
      <w:tr w:rsidR="00CF72E3" w:rsidRPr="00A25EFB" w14:paraId="336E276B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69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Resource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6A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Location</w:t>
            </w:r>
          </w:p>
        </w:tc>
      </w:tr>
      <w:tr w:rsidR="00CF72E3" w:rsidRPr="00A25EFB" w14:paraId="336E276E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76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Source code (HTML / CSS / 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6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hyperlink r:id="rId7">
              <w:r w:rsidRPr="00A25EFB">
                <w:rPr>
                  <w:rStyle w:val="ac"/>
                  <w:sz w:val="22"/>
                </w:rPr>
                <w:t>https://github.com/rosyrosys/sonata-form-viz</w:t>
              </w:r>
            </w:hyperlink>
          </w:p>
        </w:tc>
      </w:tr>
      <w:tr w:rsidR="00CF72E3" w:rsidRPr="00A25EFB" w14:paraId="336E2771" w14:textId="77777777" w:rsidTr="00A25EFB">
        <w:trPr>
          <w:jc w:val="center"/>
        </w:trPr>
        <w:tc>
          <w:tcPr>
            <w:tcW w:w="0" w:type="auto"/>
          </w:tcPr>
          <w:p w14:paraId="336E276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v0.1.0 release</w:t>
            </w:r>
          </w:p>
        </w:tc>
        <w:tc>
          <w:tcPr>
            <w:tcW w:w="0" w:type="auto"/>
          </w:tcPr>
          <w:p w14:paraId="336E277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hyperlink r:id="rId8">
              <w:r w:rsidRPr="00A25EFB">
                <w:rPr>
                  <w:rStyle w:val="ac"/>
                  <w:sz w:val="22"/>
                </w:rPr>
                <w:t>https://github.com/rosyrosys/sonata-form-viz/releases/tag/v0.1.0</w:t>
              </w:r>
            </w:hyperlink>
          </w:p>
        </w:tc>
      </w:tr>
      <w:tr w:rsidR="00CF72E3" w:rsidRPr="00A25EFB" w14:paraId="336E2774" w14:textId="77777777" w:rsidTr="00A25EFB">
        <w:trPr>
          <w:jc w:val="center"/>
        </w:trPr>
        <w:tc>
          <w:tcPr>
            <w:tcW w:w="0" w:type="auto"/>
          </w:tcPr>
          <w:p w14:paraId="336E277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Long-term archive (Zenodo DOI)</w:t>
            </w:r>
          </w:p>
        </w:tc>
        <w:tc>
          <w:tcPr>
            <w:tcW w:w="0" w:type="auto"/>
          </w:tcPr>
          <w:p w14:paraId="336E277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hyperlink r:id="rId9">
              <w:r w:rsidRPr="00A25EFB">
                <w:rPr>
                  <w:rStyle w:val="ac"/>
                  <w:sz w:val="22"/>
                </w:rPr>
                <w:t>10.5281/zenodo.20108497</w:t>
              </w:r>
            </w:hyperlink>
          </w:p>
        </w:tc>
      </w:tr>
      <w:tr w:rsidR="00CF72E3" w:rsidRPr="00A25EFB" w14:paraId="336E2777" w14:textId="77777777" w:rsidTr="00A25EFB">
        <w:trPr>
          <w:jc w:val="center"/>
        </w:trPr>
        <w:tc>
          <w:tcPr>
            <w:tcW w:w="0" w:type="auto"/>
          </w:tcPr>
          <w:p w14:paraId="336E277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Formal-analysis JSON schema</w:t>
            </w:r>
          </w:p>
        </w:tc>
        <w:tc>
          <w:tcPr>
            <w:tcW w:w="0" w:type="auto"/>
          </w:tcPr>
          <w:p w14:paraId="336E277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data/sonata_structure.json</w:t>
            </w:r>
            <w:r w:rsidRPr="00A25EFB">
              <w:rPr>
                <w:sz w:val="22"/>
              </w:rPr>
              <w:t xml:space="preserve"> (CC BY 4.0)</w:t>
            </w:r>
          </w:p>
        </w:tc>
      </w:tr>
      <w:tr w:rsidR="00CF72E3" w:rsidRPr="00A25EFB" w14:paraId="336E277A" w14:textId="77777777" w:rsidTr="00A25EFB">
        <w:trPr>
          <w:jc w:val="center"/>
        </w:trPr>
        <w:tc>
          <w:tcPr>
            <w:tcW w:w="0" w:type="auto"/>
          </w:tcPr>
          <w:p w14:paraId="336E277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Measure-to-time mapping</w:t>
            </w:r>
          </w:p>
        </w:tc>
        <w:tc>
          <w:tcPr>
            <w:tcW w:w="0" w:type="auto"/>
          </w:tcPr>
          <w:p w14:paraId="336E277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data/measure_times.json</w:t>
            </w:r>
            <w:r w:rsidRPr="00A25EFB">
              <w:rPr>
                <w:sz w:val="22"/>
              </w:rPr>
              <w:t xml:space="preserve"> (CC BY 4.0)</w:t>
            </w:r>
          </w:p>
        </w:tc>
      </w:tr>
      <w:tr w:rsidR="00CF72E3" w:rsidRPr="00A25EFB" w14:paraId="336E277D" w14:textId="77777777" w:rsidTr="00A25EFB">
        <w:trPr>
          <w:jc w:val="center"/>
        </w:trPr>
        <w:tc>
          <w:tcPr>
            <w:tcW w:w="0" w:type="auto"/>
          </w:tcPr>
          <w:p w14:paraId="336E277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MusicXML (public domain)</w:t>
            </w:r>
          </w:p>
        </w:tc>
        <w:tc>
          <w:tcPr>
            <w:tcW w:w="0" w:type="auto"/>
          </w:tcPr>
          <w:p w14:paraId="336E277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data/mozart_k545_mvt1.musicxml</w:t>
            </w:r>
          </w:p>
        </w:tc>
      </w:tr>
      <w:tr w:rsidR="00CF72E3" w:rsidRPr="00A25EFB" w14:paraId="336E2780" w14:textId="77777777" w:rsidTr="00A25EFB">
        <w:trPr>
          <w:jc w:val="center"/>
        </w:trPr>
        <w:tc>
          <w:tcPr>
            <w:tcW w:w="0" w:type="auto"/>
          </w:tcPr>
          <w:p w14:paraId="336E277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Manuscript drafts (KO / EN)</w:t>
            </w:r>
          </w:p>
        </w:tc>
        <w:tc>
          <w:tcPr>
            <w:tcW w:w="0" w:type="auto"/>
          </w:tcPr>
          <w:p w14:paraId="336E277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rStyle w:val="VerbatimChar"/>
                <w:rFonts w:ascii="Times New Roman" w:hAnsi="Times New Roman"/>
                <w:sz w:val="22"/>
              </w:rPr>
              <w:t>paper/paper_ko.md</w:t>
            </w:r>
            <w:r w:rsidRPr="00A25EFB">
              <w:rPr>
                <w:sz w:val="22"/>
              </w:rPr>
              <w:t xml:space="preserve">, </w:t>
            </w:r>
            <w:r w:rsidRPr="00A25EFB">
              <w:rPr>
                <w:rStyle w:val="VerbatimChar"/>
                <w:rFonts w:ascii="Times New Roman" w:hAnsi="Times New Roman"/>
                <w:sz w:val="22"/>
              </w:rPr>
              <w:t>paper/paper_en.md</w:t>
            </w:r>
          </w:p>
        </w:tc>
      </w:tr>
    </w:tbl>
    <w:p w14:paraId="336E2781" w14:textId="77777777" w:rsidR="00CF72E3" w:rsidRDefault="00A73744">
      <w:pPr>
        <w:pStyle w:val="a0"/>
      </w:pPr>
      <w:r>
        <w:t xml:space="preserve">The repository ships with two parallel editions, </w:t>
      </w:r>
      <w:r>
        <w:rPr>
          <w:rStyle w:val="VerbatimChar"/>
          <w:b/>
          <w:bCs/>
        </w:rPr>
        <w:t>ko/</w:t>
      </w:r>
      <w:r>
        <w:t xml:space="preserve"> (Korean) and </w:t>
      </w:r>
      <w:r>
        <w:rPr>
          <w:rStyle w:val="VerbatimChar"/>
          <w:b/>
          <w:bCs/>
        </w:rPr>
        <w:t>en/</w:t>
      </w:r>
      <w:r>
        <w:t xml:space="preserve"> (English), sharing the same code base and analysis schema.</w:t>
      </w:r>
    </w:p>
    <w:p w14:paraId="336E2782" w14:textId="77777777" w:rsidR="00CF72E3" w:rsidRDefault="00A73744">
      <w:pPr>
        <w:pStyle w:val="a0"/>
      </w:pPr>
      <w:r>
        <w:rPr>
          <w:b/>
          <w:bCs/>
        </w:rPr>
        <w:t>Audio is intentionally excluded.</w:t>
      </w:r>
      <w:r>
        <w:t xml:space="preserve"> The recording used in our evaluation (András Schiff, Carnegie Hall 2015) is a commercial release and is not redistributed. To reproduce the evaluation, obtain a public-domain recording from the sources listed in </w:t>
      </w:r>
      <w:r>
        <w:rPr>
          <w:rStyle w:val="VerbatimChar"/>
        </w:rPr>
        <w:t>assets/README.md</w:t>
      </w:r>
      <w:r>
        <w:t xml:space="preserve"> (Musopen, IMSLP) and place it in the same folder. The system's measure-to-time mapping adapts to arbitrary recordings via proportional rescaling and an interactive tap-calibration mode (press </w:t>
      </w:r>
      <w:r>
        <w:rPr>
          <w:i/>
          <w:iCs/>
        </w:rPr>
        <w:t>T</w:t>
      </w:r>
      <w:r>
        <w:t>).</w:t>
      </w:r>
    </w:p>
    <w:p w14:paraId="336E2783" w14:textId="77777777" w:rsidR="00CF72E3" w:rsidRDefault="00A73744">
      <w:pPr>
        <w:pStyle w:val="a0"/>
      </w:pPr>
      <w:r>
        <w:rPr>
          <w:b/>
          <w:bCs/>
        </w:rPr>
        <w:t>Dependencies.</w:t>
      </w:r>
      <w:r>
        <w:t xml:space="preserve"> The only external runtime dependency is </w:t>
      </w:r>
      <w:r>
        <w:rPr>
          <w:i/>
          <w:iCs/>
        </w:rPr>
        <w:t>OpenSheetMusicDisplay</w:t>
      </w:r>
      <w:r>
        <w:t xml:space="preserve"> v1.8.7. Browser compatibility is verified on Chrome 120+, Edge 120+, and Firefox 121+. Any static-file server suffices (e.g., </w:t>
      </w:r>
      <w:r>
        <w:rPr>
          <w:rStyle w:val="VerbatimChar"/>
        </w:rPr>
        <w:t>python -m http.server</w:t>
      </w:r>
      <w:r>
        <w:t>).</w:t>
      </w:r>
    </w:p>
    <w:p w14:paraId="336E2784" w14:textId="77777777" w:rsidR="00CF72E3" w:rsidRDefault="00A73744">
      <w:pPr>
        <w:pStyle w:val="a0"/>
      </w:pPr>
      <w:r>
        <w:rPr>
          <w:b/>
          <w:bCs/>
        </w:rPr>
        <w:t>Evaluation data.</w:t>
      </w:r>
      <w:r>
        <w:t xml:space="preserve"> The anonymized N=18 usability data are available on request to the corresponding author, subject to research-ethics guidelines.</w:t>
      </w:r>
    </w:p>
    <w:p w14:paraId="336E2785" w14:textId="77777777" w:rsidR="00CF72E3" w:rsidRDefault="00A73744">
      <w:pPr>
        <w:pStyle w:val="1"/>
      </w:pPr>
      <w:bookmarkStart w:id="49" w:name="acknowledgments"/>
      <w:bookmarkEnd w:id="48"/>
      <w:r>
        <w:t>Acknowledgments</w:t>
      </w:r>
    </w:p>
    <w:p w14:paraId="336E2786" w14:textId="77777777" w:rsidR="00CF72E3" w:rsidRDefault="00A73744">
      <w:pPr>
        <w:pStyle w:val="FirstParagraph"/>
      </w:pPr>
      <w:r>
        <w:t>[To be added after blinding requirements are met.]</w:t>
      </w:r>
    </w:p>
    <w:p w14:paraId="336E2787" w14:textId="77777777" w:rsidR="00CF72E3" w:rsidRDefault="00A73744">
      <w:pPr>
        <w:pStyle w:val="1"/>
      </w:pPr>
      <w:bookmarkStart w:id="50" w:name="references"/>
      <w:bookmarkEnd w:id="49"/>
      <w:r>
        <w:t>References</w:t>
      </w:r>
    </w:p>
    <w:p w14:paraId="336E2788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Brooke, J. (1996). SUS: A "quick and dirty" usability scale. In P. W. </w:t>
      </w:r>
      <w:r>
        <w:t xml:space="preserve">Jordan, B. Thomas, B. A. Weerdmeester, &amp; I. L. McClelland (Eds.), </w:t>
      </w:r>
      <w:r>
        <w:rPr>
          <w:i/>
          <w:iCs/>
        </w:rPr>
        <w:t>Usability Evaluation in Industry</w:t>
      </w:r>
      <w:r>
        <w:t xml:space="preserve"> (pp. 189–194). Taylor &amp; Francis.</w:t>
      </w:r>
    </w:p>
    <w:p w14:paraId="336E2789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Cannam, C., Landone, C., &amp; Sandler, M. (2010). Sonic Visualiser: An open source application for viewing, analysing, and annotating music audio files. In </w:t>
      </w:r>
      <w:r>
        <w:rPr>
          <w:i/>
          <w:iCs/>
        </w:rPr>
        <w:t>Proceedings of the ACM Multimedia 2010 International Conference</w:t>
      </w:r>
      <w:r>
        <w:t xml:space="preserve"> (pp. 1467–1468).</w:t>
      </w:r>
    </w:p>
    <w:p w14:paraId="336E278A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Caplin, W. E. (1998). </w:t>
      </w:r>
      <w:r>
        <w:rPr>
          <w:i/>
          <w:iCs/>
        </w:rPr>
        <w:t>Classical form: A theory of formal functions for the instrumental music of Haydn, Mozart, and Beethoven.</w:t>
      </w:r>
      <w:r>
        <w:t xml:space="preserve"> Oxford University Press.</w:t>
      </w:r>
    </w:p>
    <w:p w14:paraId="336E278B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Caplin, W. E. (2009). What are formal functions? In P. Bergé (Ed.), </w:t>
      </w:r>
      <w:r>
        <w:rPr>
          <w:i/>
          <w:iCs/>
        </w:rPr>
        <w:t>Musical form, forms, &amp; formenlehre</w:t>
      </w:r>
      <w:r>
        <w:t xml:space="preserve"> (pp. 21–40). Leuven University Press.</w:t>
      </w:r>
    </w:p>
    <w:p w14:paraId="336E278C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Cohen, J. (1988). </w:t>
      </w:r>
      <w:r>
        <w:rPr>
          <w:i/>
          <w:iCs/>
        </w:rPr>
        <w:t>Statistical power analysis for the behavioral sciences</w:t>
      </w:r>
      <w:r>
        <w:t xml:space="preserve"> (2nd ed.). Erlbaum.</w:t>
      </w:r>
    </w:p>
    <w:p w14:paraId="336E278D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Cook, N. (1990). </w:t>
      </w:r>
      <w:r>
        <w:rPr>
          <w:i/>
          <w:iCs/>
        </w:rPr>
        <w:t>Music, imagination, and culture.</w:t>
      </w:r>
      <w:r>
        <w:t xml:space="preserve"> Oxford University Press.</w:t>
      </w:r>
    </w:p>
    <w:p w14:paraId="336E278E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Couprie, P. (2008). iAnalyse: A software dedicated to the graphical analysis of music. In </w:t>
      </w:r>
      <w:r>
        <w:rPr>
          <w:i/>
          <w:iCs/>
        </w:rPr>
        <w:t>Proceedings of the 5th Sound and Music Computing Conference</w:t>
      </w:r>
      <w:r>
        <w:t>.</w:t>
      </w:r>
    </w:p>
    <w:p w14:paraId="336E278F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Goto, M. (2006). AIST annotation for the RWC music database. In </w:t>
      </w:r>
      <w:r>
        <w:rPr>
          <w:i/>
          <w:iCs/>
        </w:rPr>
        <w:t>Proceedings of ISMIR 2006</w:t>
      </w:r>
      <w:r>
        <w:t>.</w:t>
      </w:r>
    </w:p>
    <w:p w14:paraId="336E2790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Hargreaves, D. J. (1986). </w:t>
      </w:r>
      <w:r>
        <w:rPr>
          <w:i/>
          <w:iCs/>
        </w:rPr>
        <w:t>The developmental psychology of music.</w:t>
      </w:r>
      <w:r>
        <w:t xml:space="preserve"> Cambridge University Press.</w:t>
      </w:r>
    </w:p>
    <w:p w14:paraId="336E2791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Hepokoski, J., &amp; Darcy, W. (2006). </w:t>
      </w:r>
      <w:r>
        <w:rPr>
          <w:i/>
          <w:iCs/>
        </w:rPr>
        <w:t>Elements of sonata theory: Norms, types, and deformations in the late-eighteenth-century sonata.</w:t>
      </w:r>
      <w:r>
        <w:t xml:space="preserve"> Oxford University Press.</w:t>
      </w:r>
    </w:p>
    <w:p w14:paraId="336E2792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Margulis, E. H. (2014). </w:t>
      </w:r>
      <w:r>
        <w:rPr>
          <w:i/>
          <w:iCs/>
        </w:rPr>
        <w:t>On repeat: How music plays the mind.</w:t>
      </w:r>
      <w:r>
        <w:t xml:space="preserve"> Oxford University Press.</w:t>
      </w:r>
    </w:p>
    <w:p w14:paraId="336E2793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Mayer, R. E. (2009). </w:t>
      </w:r>
      <w:r>
        <w:rPr>
          <w:i/>
          <w:iCs/>
        </w:rPr>
        <w:t>Multimedia learning</w:t>
      </w:r>
      <w:r>
        <w:t xml:space="preserve"> (2nd ed.). Cambridge University Press.</w:t>
      </w:r>
    </w:p>
    <w:p w14:paraId="336E2794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Mozart, W. A. (1986). </w:t>
      </w:r>
      <w:r>
        <w:rPr>
          <w:i/>
          <w:iCs/>
        </w:rPr>
        <w:t>Neue Mozart-Ausgabe IX/25: Klaviersonaten Bd. 2.</w:t>
      </w:r>
      <w:r>
        <w:t xml:space="preserve"> Bärenreiter.</w:t>
      </w:r>
    </w:p>
    <w:p w14:paraId="336E2795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Nakamura, E., Yoshii, K., &amp; Katayose, H. (2017). Performance error detection and post-processing for fast and accurate symbolic music alignment. In </w:t>
      </w:r>
      <w:r>
        <w:rPr>
          <w:i/>
          <w:iCs/>
        </w:rPr>
        <w:t>Proceedings of ISMIR 2017</w:t>
      </w:r>
      <w:r>
        <w:t>.</w:t>
      </w:r>
    </w:p>
    <w:p w14:paraId="336E2796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North, A. C., &amp; Hargreaves, D. J. (2008). </w:t>
      </w:r>
      <w:r>
        <w:rPr>
          <w:i/>
          <w:iCs/>
        </w:rPr>
        <w:t>The social and applied psychology of music.</w:t>
      </w:r>
      <w:r>
        <w:t xml:space="preserve"> Oxford University Press.</w:t>
      </w:r>
    </w:p>
    <w:p w14:paraId="336E2797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Paivio, A. (1991). Dual coding theory: Retrospect and current status. </w:t>
      </w:r>
      <w:r>
        <w:rPr>
          <w:i/>
          <w:iCs/>
        </w:rPr>
        <w:t>Canadian Journal of Psychology, 45</w:t>
      </w:r>
      <w:r>
        <w:t>(3), 255–287.</w:t>
      </w:r>
    </w:p>
    <w:p w14:paraId="336E2798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Plazak, J. (2014). Visualizing musical form: A color-based approach. </w:t>
      </w:r>
      <w:r>
        <w:rPr>
          <w:i/>
          <w:iCs/>
        </w:rPr>
        <w:t>Journal of Music Theory Pedagogy, 28</w:t>
      </w:r>
      <w:r>
        <w:t>, 39–62.</w:t>
      </w:r>
    </w:p>
    <w:p w14:paraId="336E2799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Reichweger, G. (2018). Color in music pedagogy. </w:t>
      </w:r>
      <w:r>
        <w:rPr>
          <w:i/>
          <w:iCs/>
        </w:rPr>
        <w:t>British Journal of Music Education, 35</w:t>
      </w:r>
      <w:r>
        <w:t>(1), 23–41.</w:t>
      </w:r>
    </w:p>
    <w:p w14:paraId="336E279A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Sapp, C. S. (2011). </w:t>
      </w:r>
      <w:r>
        <w:rPr>
          <w:i/>
          <w:iCs/>
        </w:rPr>
        <w:t>Computational methods for the analysis of musical structure</w:t>
      </w:r>
      <w:r>
        <w:t xml:space="preserve"> (Doctoral dissertation). Stanford University, CCRMA.</w:t>
      </w:r>
    </w:p>
    <w:p w14:paraId="336E279B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Sapp, C. S. (2017). Verovio Humdrum Viewer. In </w:t>
      </w:r>
      <w:r>
        <w:rPr>
          <w:i/>
          <w:iCs/>
        </w:rPr>
        <w:t>Music Encoding Conference 2017</w:t>
      </w:r>
      <w:r>
        <w:t>.</w:t>
      </w:r>
    </w:p>
    <w:p w14:paraId="336E279C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Sauro, J., &amp; Lewis, J. R. (2016). </w:t>
      </w:r>
      <w:r>
        <w:rPr>
          <w:i/>
          <w:iCs/>
        </w:rPr>
        <w:t>Quantifying the user experience: Practical statistics for user research</w:t>
      </w:r>
      <w:r>
        <w:t xml:space="preserve"> (2nd ed.). Morgan Kaufmann.</w:t>
      </w:r>
    </w:p>
    <w:p w14:paraId="336E279D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Shadish, W. R., Cook, T. D., &amp; Campbell, D. T. (2002). </w:t>
      </w:r>
      <w:r>
        <w:rPr>
          <w:i/>
          <w:iCs/>
        </w:rPr>
        <w:t>Experimental and quasi-experimental designs for generalized causal inference.</w:t>
      </w:r>
      <w:r>
        <w:t xml:space="preserve"> Houghton Mifflin.</w:t>
      </w:r>
    </w:p>
    <w:p w14:paraId="336E279E" w14:textId="77777777" w:rsidR="00CF72E3" w:rsidRDefault="00A73744">
      <w:pPr>
        <w:pStyle w:val="Compact"/>
        <w:numPr>
          <w:ilvl w:val="0"/>
          <w:numId w:val="19"/>
        </w:numPr>
      </w:pPr>
      <w:r>
        <w:t xml:space="preserve">Smith, N. (2013). </w:t>
      </w:r>
      <w:r>
        <w:rPr>
          <w:i/>
          <w:iCs/>
        </w:rPr>
        <w:t>Visualizing music.</w:t>
      </w:r>
      <w:r>
        <w:t xml:space="preserve"> Oxford University Press.</w:t>
      </w:r>
    </w:p>
    <w:p w14:paraId="336E279F" w14:textId="77777777" w:rsidR="00CF72E3" w:rsidRDefault="00A73744">
      <w:pPr>
        <w:pStyle w:val="1"/>
      </w:pPr>
      <w:bookmarkStart w:id="51" w:name="appendix-a-screenshots"/>
      <w:bookmarkEnd w:id="50"/>
      <w:r>
        <w:t>Appendix A. Screenshots</w:t>
      </w:r>
    </w:p>
    <w:p w14:paraId="336E27A0" w14:textId="77777777" w:rsidR="00CF72E3" w:rsidRDefault="00A73744">
      <w:pPr>
        <w:pStyle w:val="FirstParagraph"/>
      </w:pPr>
      <w:r>
        <w:t xml:space="preserve">(See </w:t>
      </w:r>
      <w:r>
        <w:rPr>
          <w:rStyle w:val="VerbatimChar"/>
        </w:rPr>
        <w:t>figures/</w:t>
      </w:r>
      <w:r>
        <w:t>. Captions only here.)</w:t>
      </w:r>
    </w:p>
    <w:p w14:paraId="336E27A1" w14:textId="77777777" w:rsidR="00CF72E3" w:rsidRDefault="00A73744">
      <w:pPr>
        <w:pStyle w:val="Compact"/>
        <w:numPr>
          <w:ilvl w:val="0"/>
          <w:numId w:val="20"/>
        </w:numPr>
      </w:pPr>
      <w:r>
        <w:rPr>
          <w:b/>
          <w:bCs/>
        </w:rPr>
        <w:t>Figure A.1.</w:t>
      </w:r>
      <w:r>
        <w:t xml:space="preserve"> System overview at startup, showing timeline, score, and now-playing badges.</w:t>
      </w:r>
    </w:p>
    <w:p w14:paraId="336E27A2" w14:textId="77777777" w:rsidR="00CF72E3" w:rsidRDefault="00A73744">
      <w:pPr>
        <w:pStyle w:val="Compact"/>
        <w:numPr>
          <w:ilvl w:val="0"/>
          <w:numId w:val="20"/>
        </w:numPr>
      </w:pPr>
      <w:r>
        <w:rPr>
          <w:b/>
          <w:bCs/>
        </w:rPr>
        <w:t>Figure A.2.</w:t>
      </w:r>
      <w:r>
        <w:t xml:space="preserve"> </w:t>
      </w:r>
      <w:r>
        <w:t>Timeline close-up, demonstrating the two-level color encoding (sections in pastel hues, theme zones via accent bars).</w:t>
      </w:r>
    </w:p>
    <w:p w14:paraId="336E27A3" w14:textId="77777777" w:rsidR="00CF72E3" w:rsidRDefault="00A73744">
      <w:pPr>
        <w:pStyle w:val="Compact"/>
        <w:numPr>
          <w:ilvl w:val="0"/>
          <w:numId w:val="20"/>
        </w:numPr>
      </w:pPr>
      <w:r>
        <w:rPr>
          <w:b/>
          <w:bCs/>
        </w:rPr>
        <w:t>Figure A.3.</w:t>
      </w:r>
      <w:r>
        <w:t xml:space="preserve"> Score with measure-level color overlay through the </w:t>
      </w:r>
      <w:r>
        <w:t>recapitulation, with the F-major P region clearly distinguished.</w:t>
      </w:r>
    </w:p>
    <w:p w14:paraId="336E27A4" w14:textId="77777777" w:rsidR="00CF72E3" w:rsidRDefault="00A73744">
      <w:pPr>
        <w:pStyle w:val="Compact"/>
        <w:numPr>
          <w:ilvl w:val="0"/>
          <w:numId w:val="20"/>
        </w:numPr>
      </w:pPr>
      <w:r>
        <w:rPr>
          <w:b/>
          <w:bCs/>
        </w:rPr>
        <w:t>Figure A.4.</w:t>
      </w:r>
      <w:r>
        <w:t xml:space="preserve"> Pre/post accuracy bar chart with 95% CIs.</w:t>
      </w:r>
    </w:p>
    <w:p w14:paraId="336E27A5" w14:textId="77777777" w:rsidR="00CF72E3" w:rsidRDefault="00A73744">
      <w:pPr>
        <w:pStyle w:val="1"/>
      </w:pPr>
      <w:bookmarkStart w:id="52" w:name="appendix-b-evaluation-materials"/>
      <w:bookmarkEnd w:id="51"/>
      <w:r>
        <w:t>Appendix B. Evaluation Materials</w:t>
      </w:r>
    </w:p>
    <w:p w14:paraId="336E27A6" w14:textId="77777777" w:rsidR="00CF72E3" w:rsidRDefault="00A73744">
      <w:pPr>
        <w:pStyle w:val="2"/>
      </w:pPr>
      <w:bookmarkStart w:id="53" w:name="b1-excerpt-list-form-identification-task"/>
      <w:r>
        <w:t>B.1 Excerpt list (form-identification task)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56"/>
        <w:gridCol w:w="2936"/>
        <w:gridCol w:w="1328"/>
        <w:gridCol w:w="2134"/>
      </w:tblGrid>
      <w:tr w:rsidR="00CF72E3" w:rsidRPr="00A25EFB" w14:paraId="336E27AB" w14:textId="77777777" w:rsidTr="00A25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A7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A8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Work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A9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Mm.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36E27AA" w14:textId="77777777" w:rsidR="00CF72E3" w:rsidRPr="00A25EFB" w:rsidRDefault="00A73744" w:rsidP="00A25EFB">
            <w:pPr>
              <w:pStyle w:val="Compact"/>
              <w:spacing w:line="240" w:lineRule="auto"/>
              <w:rPr>
                <w:b/>
                <w:sz w:val="22"/>
              </w:rPr>
            </w:pPr>
            <w:r w:rsidRPr="00A25EFB">
              <w:rPr>
                <w:b/>
                <w:sz w:val="22"/>
              </w:rPr>
              <w:t>Correct label</w:t>
            </w:r>
          </w:p>
        </w:tc>
      </w:tr>
      <w:tr w:rsidR="00CF72E3" w:rsidRPr="00A25EFB" w14:paraId="336E27B0" w14:textId="77777777" w:rsidTr="00A25EFB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36E27A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A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Beethoven Op. 49 No. 2 mvt. 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A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36E27A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P</w:t>
            </w:r>
          </w:p>
        </w:tc>
      </w:tr>
      <w:tr w:rsidR="00CF72E3" w:rsidRPr="00A25EFB" w14:paraId="336E27B5" w14:textId="77777777" w:rsidTr="00A25EFB">
        <w:trPr>
          <w:jc w:val="center"/>
        </w:trPr>
        <w:tc>
          <w:tcPr>
            <w:tcW w:w="0" w:type="auto"/>
          </w:tcPr>
          <w:p w14:paraId="336E27B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2</w:t>
            </w:r>
          </w:p>
        </w:tc>
        <w:tc>
          <w:tcPr>
            <w:tcW w:w="0" w:type="auto"/>
          </w:tcPr>
          <w:p w14:paraId="336E27B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336E27B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21–28</w:t>
            </w:r>
          </w:p>
        </w:tc>
        <w:tc>
          <w:tcPr>
            <w:tcW w:w="0" w:type="auto"/>
          </w:tcPr>
          <w:p w14:paraId="336E27B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</w:t>
            </w:r>
          </w:p>
        </w:tc>
      </w:tr>
      <w:tr w:rsidR="00CF72E3" w:rsidRPr="00A25EFB" w14:paraId="336E27BA" w14:textId="77777777" w:rsidTr="00A25EFB">
        <w:trPr>
          <w:jc w:val="center"/>
        </w:trPr>
        <w:tc>
          <w:tcPr>
            <w:tcW w:w="0" w:type="auto"/>
          </w:tcPr>
          <w:p w14:paraId="336E27B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3</w:t>
            </w:r>
          </w:p>
        </w:tc>
        <w:tc>
          <w:tcPr>
            <w:tcW w:w="0" w:type="auto"/>
          </w:tcPr>
          <w:p w14:paraId="336E27B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336E27B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36–44</w:t>
            </w:r>
          </w:p>
        </w:tc>
        <w:tc>
          <w:tcPr>
            <w:tcW w:w="0" w:type="auto"/>
          </w:tcPr>
          <w:p w14:paraId="336E27B9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</w:t>
            </w:r>
          </w:p>
        </w:tc>
      </w:tr>
      <w:tr w:rsidR="00CF72E3" w:rsidRPr="00A25EFB" w14:paraId="336E27BF" w14:textId="77777777" w:rsidTr="00A25EFB">
        <w:trPr>
          <w:jc w:val="center"/>
        </w:trPr>
        <w:tc>
          <w:tcPr>
            <w:tcW w:w="0" w:type="auto"/>
          </w:tcPr>
          <w:p w14:paraId="336E27B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4</w:t>
            </w:r>
          </w:p>
        </w:tc>
        <w:tc>
          <w:tcPr>
            <w:tcW w:w="0" w:type="auto"/>
          </w:tcPr>
          <w:p w14:paraId="336E27B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336E27B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53–60</w:t>
            </w:r>
          </w:p>
        </w:tc>
        <w:tc>
          <w:tcPr>
            <w:tcW w:w="0" w:type="auto"/>
          </w:tcPr>
          <w:p w14:paraId="336E27BE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K</w:t>
            </w:r>
          </w:p>
        </w:tc>
      </w:tr>
      <w:tr w:rsidR="00CF72E3" w:rsidRPr="00A25EFB" w14:paraId="336E27C4" w14:textId="77777777" w:rsidTr="00A25EFB">
        <w:trPr>
          <w:jc w:val="center"/>
        </w:trPr>
        <w:tc>
          <w:tcPr>
            <w:tcW w:w="0" w:type="auto"/>
          </w:tcPr>
          <w:p w14:paraId="336E27C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</w:t>
            </w:r>
          </w:p>
        </w:tc>
        <w:tc>
          <w:tcPr>
            <w:tcW w:w="0" w:type="auto"/>
          </w:tcPr>
          <w:p w14:paraId="336E27C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336E27C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1–8</w:t>
            </w:r>
          </w:p>
        </w:tc>
        <w:tc>
          <w:tcPr>
            <w:tcW w:w="0" w:type="auto"/>
          </w:tcPr>
          <w:p w14:paraId="336E27C3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P</w:t>
            </w:r>
          </w:p>
        </w:tc>
      </w:tr>
      <w:tr w:rsidR="00CF72E3" w:rsidRPr="00A25EFB" w14:paraId="336E27C9" w14:textId="77777777" w:rsidTr="00A25EFB">
        <w:trPr>
          <w:jc w:val="center"/>
        </w:trPr>
        <w:tc>
          <w:tcPr>
            <w:tcW w:w="0" w:type="auto"/>
          </w:tcPr>
          <w:p w14:paraId="336E27C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6</w:t>
            </w:r>
          </w:p>
        </w:tc>
        <w:tc>
          <w:tcPr>
            <w:tcW w:w="0" w:type="auto"/>
          </w:tcPr>
          <w:p w14:paraId="336E27C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336E27C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17–24</w:t>
            </w:r>
          </w:p>
        </w:tc>
        <w:tc>
          <w:tcPr>
            <w:tcW w:w="0" w:type="auto"/>
          </w:tcPr>
          <w:p w14:paraId="336E27C8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T</w:t>
            </w:r>
          </w:p>
        </w:tc>
      </w:tr>
      <w:tr w:rsidR="00CF72E3" w:rsidRPr="00A25EFB" w14:paraId="336E27CE" w14:textId="77777777" w:rsidTr="00A25EFB">
        <w:trPr>
          <w:jc w:val="center"/>
        </w:trPr>
        <w:tc>
          <w:tcPr>
            <w:tcW w:w="0" w:type="auto"/>
          </w:tcPr>
          <w:p w14:paraId="336E27CA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7</w:t>
            </w:r>
          </w:p>
        </w:tc>
        <w:tc>
          <w:tcPr>
            <w:tcW w:w="0" w:type="auto"/>
          </w:tcPr>
          <w:p w14:paraId="336E27CB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336E27CC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33–40</w:t>
            </w:r>
          </w:p>
        </w:tc>
        <w:tc>
          <w:tcPr>
            <w:tcW w:w="0" w:type="auto"/>
          </w:tcPr>
          <w:p w14:paraId="336E27CD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</w:t>
            </w:r>
          </w:p>
        </w:tc>
      </w:tr>
      <w:tr w:rsidR="00CF72E3" w:rsidRPr="00A25EFB" w14:paraId="336E27D3" w14:textId="77777777" w:rsidTr="00A25EFB">
        <w:trPr>
          <w:jc w:val="center"/>
        </w:trPr>
        <w:tc>
          <w:tcPr>
            <w:tcW w:w="0" w:type="auto"/>
          </w:tcPr>
          <w:p w14:paraId="336E27CF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8</w:t>
            </w:r>
          </w:p>
        </w:tc>
        <w:tc>
          <w:tcPr>
            <w:tcW w:w="0" w:type="auto"/>
          </w:tcPr>
          <w:p w14:paraId="336E27D0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336E27D1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56–63</w:t>
            </w:r>
          </w:p>
        </w:tc>
        <w:tc>
          <w:tcPr>
            <w:tcW w:w="0" w:type="auto"/>
          </w:tcPr>
          <w:p w14:paraId="336E27D2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K</w:t>
            </w:r>
          </w:p>
        </w:tc>
      </w:tr>
      <w:tr w:rsidR="00CF72E3" w:rsidRPr="00A25EFB" w14:paraId="336E27D8" w14:textId="77777777" w:rsidTr="00A25EFB">
        <w:trPr>
          <w:jc w:val="center"/>
        </w:trPr>
        <w:tc>
          <w:tcPr>
            <w:tcW w:w="0" w:type="auto"/>
          </w:tcPr>
          <w:p w14:paraId="336E27D4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9–12</w:t>
            </w:r>
          </w:p>
        </w:tc>
        <w:tc>
          <w:tcPr>
            <w:tcW w:w="0" w:type="auto"/>
          </w:tcPr>
          <w:p w14:paraId="336E27D5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Schubert Op. 142 No. 2</w:t>
            </w:r>
          </w:p>
        </w:tc>
        <w:tc>
          <w:tcPr>
            <w:tcW w:w="0" w:type="auto"/>
          </w:tcPr>
          <w:p w14:paraId="336E27D6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(non-sonata)</w:t>
            </w:r>
          </w:p>
        </w:tc>
        <w:tc>
          <w:tcPr>
            <w:tcW w:w="0" w:type="auto"/>
          </w:tcPr>
          <w:p w14:paraId="336E27D7" w14:textId="77777777" w:rsidR="00CF72E3" w:rsidRPr="00A25EFB" w:rsidRDefault="00A73744" w:rsidP="00A25EFB">
            <w:pPr>
              <w:pStyle w:val="Compact"/>
              <w:spacing w:line="240" w:lineRule="auto"/>
              <w:rPr>
                <w:sz w:val="22"/>
              </w:rPr>
            </w:pPr>
            <w:r w:rsidRPr="00A25EFB">
              <w:rPr>
                <w:sz w:val="22"/>
              </w:rPr>
              <w:t>"don't know" credited</w:t>
            </w:r>
          </w:p>
        </w:tc>
      </w:tr>
    </w:tbl>
    <w:p w14:paraId="336E27D9" w14:textId="77777777" w:rsidR="00CF72E3" w:rsidRDefault="00A73744">
      <w:pPr>
        <w:pStyle w:val="2"/>
      </w:pPr>
      <w:bookmarkStart w:id="54" w:name="b2-free-response-coding-criteria"/>
      <w:bookmarkEnd w:id="53"/>
      <w:r>
        <w:t>B.2 Free-response coding criteria</w:t>
      </w:r>
    </w:p>
    <w:p w14:paraId="336E27DA" w14:textId="77777777" w:rsidR="00CF72E3" w:rsidRDefault="00A73744">
      <w:pPr>
        <w:pStyle w:val="FirstParagraph"/>
      </w:pPr>
      <w:r>
        <w:t xml:space="preserve">A response was coded as a positive identification of the subdominant </w:t>
      </w:r>
      <w:r>
        <w:t>recapitulation if it contained any of: "F major," "subdominant," "different key on return," "started in a wrong key," "IV instead of I." Disagreements were resolved by discussion.</w:t>
      </w:r>
    </w:p>
    <w:p w14:paraId="336E27DB" w14:textId="77777777" w:rsidR="00CF72E3" w:rsidRDefault="00A73744">
      <w:pPr>
        <w:pStyle w:val="2"/>
      </w:pPr>
      <w:bookmarkStart w:id="55" w:name="b3-sus"/>
      <w:bookmarkEnd w:id="54"/>
      <w:r>
        <w:t>B.3 SUS</w:t>
      </w:r>
    </w:p>
    <w:p w14:paraId="336E27DC" w14:textId="77777777" w:rsidR="00CF72E3" w:rsidRDefault="00A73744">
      <w:pPr>
        <w:pStyle w:val="FirstParagraph"/>
      </w:pPr>
      <w:r>
        <w:t>Brooke's (1996) original 10 items, administered without modification.</w:t>
      </w:r>
      <w:bookmarkEnd w:id="52"/>
      <w:bookmarkEnd w:id="55"/>
    </w:p>
    <w:sectPr w:rsidR="00CF72E3" w:rsidSect="00A25EF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F68CD" w14:textId="77777777" w:rsidR="00A73744" w:rsidRDefault="00A73744" w:rsidP="00A25EFB">
      <w:pPr>
        <w:spacing w:line="240" w:lineRule="auto"/>
      </w:pPr>
      <w:r>
        <w:separator/>
      </w:r>
    </w:p>
  </w:endnote>
  <w:endnote w:type="continuationSeparator" w:id="0">
    <w:p w14:paraId="22DB935C" w14:textId="77777777" w:rsidR="00A73744" w:rsidRDefault="00A73744" w:rsidP="00A25E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B8C69" w14:textId="77777777" w:rsidR="00A25EFB" w:rsidRDefault="00A25EFB" w:rsidP="00CB5163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07547F8" w14:textId="77777777" w:rsidR="00A25EFB" w:rsidRDefault="00A25EFB" w:rsidP="00A25EFB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63AAF" w14:textId="0F3641AA" w:rsidR="00A25EFB" w:rsidRDefault="00A25EFB" w:rsidP="00CB5163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71594EFF" w14:textId="77777777" w:rsidR="00A25EFB" w:rsidRDefault="00A25EFB" w:rsidP="00A25EFB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7FC70" w14:textId="77777777" w:rsidR="00A25EFB" w:rsidRDefault="00A25EF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47B51" w14:textId="77777777" w:rsidR="00A73744" w:rsidRDefault="00A73744" w:rsidP="00A25EFB">
      <w:pPr>
        <w:spacing w:line="240" w:lineRule="auto"/>
      </w:pPr>
      <w:r>
        <w:separator/>
      </w:r>
    </w:p>
  </w:footnote>
  <w:footnote w:type="continuationSeparator" w:id="0">
    <w:p w14:paraId="3C85F5A3" w14:textId="77777777" w:rsidR="00A73744" w:rsidRDefault="00A73744" w:rsidP="00A25E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3492" w14:textId="77777777" w:rsidR="00A25EFB" w:rsidRDefault="00A25EFB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F0E91" w14:textId="77777777" w:rsidR="00A25EFB" w:rsidRDefault="00A25EFB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87B10" w14:textId="77777777" w:rsidR="00A25EFB" w:rsidRDefault="00A25EF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7AE6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51C7E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2329D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62405977">
    <w:abstractNumId w:val="0"/>
  </w:num>
  <w:num w:numId="2" w16cid:durableId="398985417">
    <w:abstractNumId w:val="1"/>
  </w:num>
  <w:num w:numId="3" w16cid:durableId="1404179903">
    <w:abstractNumId w:val="1"/>
  </w:num>
  <w:num w:numId="4" w16cid:durableId="727472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8862033">
    <w:abstractNumId w:val="1"/>
  </w:num>
  <w:num w:numId="6" w16cid:durableId="1159493099">
    <w:abstractNumId w:val="1"/>
  </w:num>
  <w:num w:numId="7" w16cid:durableId="7718221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53997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47925809">
    <w:abstractNumId w:val="1"/>
  </w:num>
  <w:num w:numId="10" w16cid:durableId="1485779815">
    <w:abstractNumId w:val="1"/>
  </w:num>
  <w:num w:numId="11" w16cid:durableId="1956137353">
    <w:abstractNumId w:val="1"/>
  </w:num>
  <w:num w:numId="12" w16cid:durableId="987629889">
    <w:abstractNumId w:val="1"/>
  </w:num>
  <w:num w:numId="13" w16cid:durableId="261496983">
    <w:abstractNumId w:val="1"/>
  </w:num>
  <w:num w:numId="14" w16cid:durableId="766191983">
    <w:abstractNumId w:val="1"/>
  </w:num>
  <w:num w:numId="15" w16cid:durableId="402994982">
    <w:abstractNumId w:val="1"/>
  </w:num>
  <w:num w:numId="16" w16cid:durableId="1987466561">
    <w:abstractNumId w:val="1"/>
  </w:num>
  <w:num w:numId="17" w16cid:durableId="585727059">
    <w:abstractNumId w:val="1"/>
  </w:num>
  <w:num w:numId="18" w16cid:durableId="11608029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40025264">
    <w:abstractNumId w:val="1"/>
  </w:num>
  <w:num w:numId="20" w16cid:durableId="1450476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72E3"/>
    <w:rsid w:val="00A25EFB"/>
    <w:rsid w:val="00A73744"/>
    <w:rsid w:val="00BA05F8"/>
    <w:rsid w:val="00CF7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6E25D5"/>
  <w15:docId w15:val="{5761A38A-398A-4F23-A6F9-B8F2055D6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Theme="majorEastAsia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Theme="majorEastAsia"/>
      <w:b/>
      <w:color w:val="000000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Theme="majorEastAsia"/>
      <w:b/>
      <w:color w:val="000000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Theme="majorEastAsia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Theme="majorEastAsia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Theme="majorEastAsia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Theme="majorEastAsia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Theme="majorEastAsia" w:hAnsi="Times New Roman" w:cs="Times New Roman"/>
      <w:b/>
      <w:i/>
      <w:iCs/>
      <w:color w:val="000000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A25EFB"/>
    <w:rPr>
      <w:rFonts w:ascii="Consolas" w:hAnsi="Consolas" w:cs="Times New Roman"/>
      <w:sz w:val="20"/>
      <w:shd w:val="clear" w:color="auto" w:fill="FFF5F0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rsid w:val="00A25EFB"/>
    <w:pPr>
      <w:shd w:val="clear" w:color="auto" w:fill="FFF5F0"/>
      <w:wordWrap w:val="0"/>
      <w:spacing w:before="120" w:after="120" w:line="240" w:lineRule="auto"/>
      <w:ind w:left="283"/>
    </w:pPr>
    <w:rPr>
      <w:rFonts w:ascii="Consolas" w:hAnsi="Consolas"/>
      <w:sz w:val="20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0"/>
      <w:shd w:val="clear" w:color="auto" w:fill="FFF5F0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0"/>
      <w:shd w:val="clear" w:color="auto" w:fill="FFF5F0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0"/>
      <w:shd w:val="clear" w:color="auto" w:fill="FFF5F0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0"/>
      <w:shd w:val="clear" w:color="auto" w:fill="FFF5F0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0"/>
      <w:shd w:val="clear" w:color="auto" w:fill="FFF5F0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0"/>
      <w:shd w:val="clear" w:color="auto" w:fill="FFF5F0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0"/>
      <w:shd w:val="clear" w:color="auto" w:fill="FFF5F0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0"/>
      <w:shd w:val="clear" w:color="auto" w:fill="FFF5F0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0"/>
      <w:shd w:val="clear" w:color="auto" w:fill="FFF5F0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0"/>
      <w:shd w:val="clear" w:color="auto" w:fill="FFF5F0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0"/>
      <w:shd w:val="clear" w:color="auto" w:fill="FFF5F0"/>
    </w:rPr>
  </w:style>
  <w:style w:type="character" w:customStyle="1" w:styleId="ExtensionTok">
    <w:name w:val="Extension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0"/>
      <w:shd w:val="clear" w:color="auto" w:fill="FFF5F0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0"/>
      <w:shd w:val="clear" w:color="auto" w:fill="FFF5F0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NormalTok">
    <w:name w:val="NormalTok"/>
    <w:basedOn w:val="VerbatimChar"/>
    <w:rPr>
      <w:rFonts w:ascii="Consolas" w:hAnsi="Consolas" w:cs="Times New Roman"/>
      <w:sz w:val="20"/>
      <w:shd w:val="clear" w:color="auto" w:fill="FFF5F0"/>
    </w:rPr>
  </w:style>
  <w:style w:type="paragraph" w:styleId="ad">
    <w:name w:val="header"/>
    <w:basedOn w:val="a"/>
    <w:link w:val="Char2"/>
    <w:rsid w:val="00A25EF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A25EFB"/>
  </w:style>
  <w:style w:type="paragraph" w:styleId="ae">
    <w:name w:val="footer"/>
    <w:basedOn w:val="a"/>
    <w:link w:val="Char3"/>
    <w:rsid w:val="00A25EF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A25EFB"/>
  </w:style>
  <w:style w:type="character" w:styleId="af">
    <w:name w:val="page number"/>
    <w:basedOn w:val="a1"/>
    <w:rsid w:val="00A25EFB"/>
  </w:style>
  <w:style w:type="character" w:styleId="af0">
    <w:name w:val="line number"/>
    <w:basedOn w:val="a1"/>
    <w:rsid w:val="00A25E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14</Pages>
  <Words>4406</Words>
  <Characters>25119</Characters>
  <Application>Microsoft Office Word</Application>
  <DocSecurity>0</DocSecurity>
  <Lines>209</Lines>
  <Paragraphs>58</Paragraphs>
  <ScaleCrop>false</ScaleCrop>
  <Company/>
  <LinksUpToDate>false</LinksUpToDate>
  <CharactersWithSpaces>29467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cp:lastModifiedBy>Eun Ji Park</cp:lastModifiedBy>
  <cp:revision>2</cp:revision>
  <dcterms:created xsi:type="dcterms:W3CDTF">2026-05-11T00:45:00Z</dcterms:created>
  <dcterms:modified xsi:type="dcterms:W3CDTF">2026-05-11T00:46:00Z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