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CF05 · Modelo de Negócios - Business Model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4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15285.0" w:type="dxa"/>
        <w:jc w:val="left"/>
        <w:tblInd w:w="-115.0" w:type="dxa"/>
        <w:tblLayout w:type="fixed"/>
        <w:tblLook w:val="0400"/>
      </w:tblPr>
      <w:tblGrid>
        <w:gridCol w:w="7410"/>
        <w:gridCol w:w="7875"/>
        <w:tblGridChange w:id="0">
          <w:tblGrid>
            <w:gridCol w:w="7410"/>
            <w:gridCol w:w="787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40.0" w:type="dxa"/>
              <w:left w:w="28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O BMC descreve em um único quadro como a empresa cria, entrega e captura valor. É um mapa de hipóteses, não um plano definitivo. Atualize sempre que um experimento invalidar uma suposição.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140.0" w:type="dxa"/>
              <w:left w:w="20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PERGUNTAS-CHAVE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01  Sustentabilidade - As fontes de receita cobrem os custos da operação?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02  Canais - Por quais meios o cliente prefere ser alcançado?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03  Escalabilidade - O modelo cresce sem aumentar custos na mesma proporção?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Business Model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4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com as hipóteses atuais. Use frases curtas e objetivas.</w:t>
      </w:r>
      <w:r w:rsidDel="00000000" w:rsidR="00000000" w:rsidRPr="00000000">
        <w:rPr>
          <w:rtl w:val="0"/>
        </w:rPr>
      </w:r>
    </w:p>
    <w:tbl>
      <w:tblPr>
        <w:tblStyle w:val="Table2"/>
        <w:tblW w:w="15270.0" w:type="dxa"/>
        <w:jc w:val="left"/>
        <w:tblInd w:w="-160.0" w:type="dxa"/>
        <w:tblLayout w:type="fixed"/>
        <w:tblLook w:val="0400"/>
      </w:tblPr>
      <w:tblGrid>
        <w:gridCol w:w="2715"/>
        <w:gridCol w:w="3150"/>
        <w:gridCol w:w="2640"/>
        <w:gridCol w:w="3705"/>
        <w:gridCol w:w="3060"/>
        <w:tblGridChange w:id="0">
          <w:tblGrid>
            <w:gridCol w:w="2715"/>
            <w:gridCol w:w="3150"/>
            <w:gridCol w:w="2640"/>
            <w:gridCol w:w="3705"/>
            <w:gridCol w:w="306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PARCERIAS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Quem são os fornecedores e parceiros estratégicos?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ATIVIDADES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O que a empresa faz para entregar a proposta de valor?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2e2e2e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d9d9d9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5"/>
                <w:szCs w:val="15"/>
                <w:rtl w:val="0"/>
              </w:rPr>
              <w:t xml:space="preserve">Qual valor você entrega? Qual problema resolve? Que benefício oferece?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RELACIONAMENTO COM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Como a empresa constrói e mantém relação com os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SEGMENTOS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Para quem a empresa cria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ee8e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RECURSOS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Quais ativos são indispensáveis para entregar a proposta de valor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2e2e2e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Como a empresa entrega a proposta e alcança seus clientes?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fffff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gridSpan w:val="3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40.0" w:type="dxa"/>
              <w:left w:w="16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▽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ESTRUTURA 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Quais são os custos mais relevantes? Quais recursos e atividades são mais caros?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ee8ef" w:val="clear"/>
            <w:tcMar>
              <w:top w:w="14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FONTES DE RECEITA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Por qual valor os clientes pagam? Como preferem pagar?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Diagnóstico de Viabilidade</w:t>
      </w:r>
      <w:r w:rsidDel="00000000" w:rsidR="00000000" w:rsidRPr="00000000">
        <w:rPr>
          <w:rtl w:val="0"/>
        </w:rPr>
      </w:r>
    </w:p>
    <w:tbl>
      <w:tblPr>
        <w:tblStyle w:val="Table3"/>
        <w:tblW w:w="15330.0" w:type="dxa"/>
        <w:jc w:val="left"/>
        <w:tblInd w:w="-160.0" w:type="dxa"/>
        <w:tblLayout w:type="fixed"/>
        <w:tblLook w:val="0400"/>
      </w:tblPr>
      <w:tblGrid>
        <w:gridCol w:w="7575"/>
        <w:gridCol w:w="7755"/>
        <w:tblGridChange w:id="0">
          <w:tblGrid>
            <w:gridCol w:w="7575"/>
            <w:gridCol w:w="77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0f0f0" w:val="clear"/>
            <w:tcMar>
              <w:top w:w="12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Bloco mais incerto e/ou arriscado hoje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Identifique o bloco do Canvas que contém a suposição de maior risco. Qual deles, se errado, invalida o modelo?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0f0f0" w:val="clear"/>
            <w:tcMar>
              <w:top w:w="12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Principal hipótese a testar no próximo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color w:val="88888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Defina a suposição prioritária. Conecte com o Cartão de Teste (CF03) para estruturar o experimento.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2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Desdobramentos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Próximos Passos</w:t>
      </w:r>
      <w:r w:rsidDel="00000000" w:rsidR="00000000" w:rsidRPr="00000000">
        <w:rPr>
          <w:rtl w:val="0"/>
        </w:rPr>
      </w:r>
    </w:p>
    <w:tbl>
      <w:tblPr>
        <w:tblStyle w:val="Table4"/>
        <w:tblW w:w="15330.0" w:type="dxa"/>
        <w:jc w:val="left"/>
        <w:tblInd w:w="-145.0" w:type="dxa"/>
        <w:tblLayout w:type="fixed"/>
        <w:tblLook w:val="0400"/>
      </w:tblPr>
      <w:tblGrid>
        <w:gridCol w:w="15330"/>
        <w:tblGridChange w:id="0">
          <w:tblGrid>
            <w:gridCol w:w="1533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CANVAS PREENCHIDO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◎  Comunicação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Use o Canvas para apresentar a estratégia de forma rápida a novos membros do time, mentores e investidores. Um Canvas claro vale mais do que dez slides.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▲  Canvas Vivo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Mantenha o Canvas atualizado. Sempre que um experimento (CF03) invalidar uma suposição, atualize o bloco correspondente e documente a versão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6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7"/>
                <w:szCs w:val="17"/>
                <w:rtl w:val="0"/>
              </w:rPr>
              <w:t xml:space="preserve">◈  Próxima Ferramenta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5"/>
                <w:szCs w:val="15"/>
                <w:rtl w:val="0"/>
              </w:rPr>
              <w:t xml:space="preserve">Com o Canvas preenchido, avance para a Contabilidade para Inovação (CF06) e defina os marcos de aprendizado do próximo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1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BMC não é um plano definitivo. É um mapa de hipóteses a serem validadas. Startups que tratam o Canvas como documento fixo deixam de aprender.</w:t>
      </w: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pLKuDg/XNRL62PTPKy89c3zUw==">CgMxLjA4AHIhMThlQ2p1UEdKaHF2MUd6MWMwWGVFVEpQNnBUaXJCMmpJ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