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SC04 · Finanças para Escala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Ind w:w="-140.0" w:type="dxa"/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Na escala, o controle financeiro deixa de ser sobrevivência e passa a ser alavancagem.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estrutura o modelo financeiro avançado: projeção de longo prazo, gestão de margens por linha de negócio e controle de capital para múltiplas rodadas de crescimento.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10.0" w:type="dxa"/>
        <w:jc w:val="left"/>
        <w:tblInd w:w="-120.0" w:type="dxa"/>
        <w:tblLayout w:type="fixed"/>
        <w:tblLook w:val="0400"/>
      </w:tblPr>
      <w:tblGrid>
        <w:gridCol w:w="4770"/>
        <w:gridCol w:w="5040"/>
        <w:tblGridChange w:id="0">
          <w:tblGrid>
            <w:gridCol w:w="4770"/>
            <w:gridCol w:w="504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Margem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Nossa margem bruta permite escalar sem precisar de novo aporte a cada ciclo?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Eficiência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 relação entre crescimento de receita e crescimento de custo está melhorando (unit economics)?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Capital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Temos visibilidade sobre o consumo de caixa por área e por iniciativa estratégica?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Modelo Financeiro de Escala - Projeção 24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Projete com cenários. O cenário Base deve ser o guia das decisões operacionais do time.</w:t>
      </w:r>
      <w:r w:rsidDel="00000000" w:rsidR="00000000" w:rsidRPr="00000000">
        <w:rPr>
          <w:rtl w:val="0"/>
        </w:rPr>
      </w:r>
    </w:p>
    <w:tbl>
      <w:tblPr>
        <w:tblStyle w:val="Table3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Cenário Otimista (Top Down)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Crescimento acima do histórico, captação concluída no prazo, novos mercados ativados.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ARR Mês 12: R$_____  |  ARR Mês 24: R$_____  |  Margem Bruta: _____%  |  Burn Rate: R$_____/mês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Cenário Base (Bottom Up)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Crescimento alinhado com o pipeline atual, renovações previstas e expansão conservadora da base.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ARR Mês 12: R$_____  |  ARR Mês 24: R$_____  |  Margem Bruta: _____%  |  Burn Rate: R$_____/mês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Cenário de Stress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Churn acima da média, atraso na captação, custos acima do previsto.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ARR Mês 12: R$_____  |  ARR Mês 24: R$_____  |  Margem Bruta: _____%  |  Burn Rate: R$_____/mês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Gestão de Margens por Linha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Analise a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rentabilidade de cada produto, plano ou segmento de cliente. Nem toda receita tem a mesma margem.</w:t>
      </w:r>
      <w:r w:rsidDel="00000000" w:rsidR="00000000" w:rsidRPr="00000000">
        <w:rPr>
          <w:rtl w:val="0"/>
        </w:rPr>
      </w:r>
    </w:p>
    <w:tbl>
      <w:tblPr>
        <w:tblStyle w:val="Table6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Produto / Plano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Receita, custo de serviço, margem bruta e margem de contribuição desta linha.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Serviços Profissionais / Implantação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Esta linha é rentável ou é subsidiada para reter o cliente no produto principal?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Expansion Revenue (Upsell/Cross-sell)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a margem da receita de expansão? É maior ou menor que a da nova aquisição?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Controle de Capital e Alocação por Área</w:t>
      </w:r>
      <w:r w:rsidDel="00000000" w:rsidR="00000000" w:rsidRPr="00000000">
        <w:rPr>
          <w:rtl w:val="0"/>
        </w:rPr>
      </w:r>
    </w:p>
    <w:tbl>
      <w:tblPr>
        <w:tblStyle w:val="Table9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Orçamento por Área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Trimestral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Defina o teto de gastos por área para o trimestre e monitore a execução.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4.238281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Produto e Tecnologia: R$</w:t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Marketing e Aquisição: R$</w:t>
              <w:br w:type="textWrapping"/>
              <w:t xml:space="preserve">Vendas: R$</w:t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Customer Success: R$</w:t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perações: R$</w:t>
              <w:br w:type="textWrapping"/>
              <w:t xml:space="preserve">Total orçado: R$</w:t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Total realizado até agora: R$</w:t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Desvio: _____%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0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MODELO FINANCEIRO DE ESCALA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Projeção de 24 Meses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Construa e revise a projeção trimestralmente. Compartilhe com o board e os investidores como parte do reporte regular.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Margem por Linha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Elimine ou reprise as linhas de negócio com margem negativa que não geram efeito de rede ou retenção estratégica.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Alinhe o orçamento por área com os OKRs definidos no SC01 para garantir que o capital esteja onde o crescimento acontece.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Na escala, crescer com margem é mais valioso do que crescer com volume. Eficiência financeira é vantagem competitiva.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rjsQxzkRnC61sHZdu2LHIm35EA==">CgMxLjA4AHIhMWdwRl9vZG5QSEtHcG13UkJ2ZzU3ak42eVZTYzdRRlRM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