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SC08 · Escalabilidade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807.0" w:type="dxa"/>
        <w:jc w:val="left"/>
        <w:tblInd w:w="-152.00000000000006" w:type="dxa"/>
        <w:tblLayout w:type="fixed"/>
        <w:tblLook w:val="0400"/>
      </w:tblPr>
      <w:tblGrid>
        <w:gridCol w:w="9807"/>
        <w:tblGridChange w:id="0">
          <w:tblGrid>
            <w:gridCol w:w="9807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Escalar o número de usuários exige uma infraestrutura que não quebre sob pressão.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foca na automação (CI/CD) e no estabelecimento de níveis de serviço (SLAs) para garantir que o sistema seja resiliente, monitorado e confiável em qualquer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0.0" w:type="dxa"/>
        <w:jc w:val="left"/>
        <w:tblInd w:w="-120.0" w:type="dxa"/>
        <w:tblLayout w:type="fixed"/>
        <w:tblLook w:val="0400"/>
      </w:tblPr>
      <w:tblGrid>
        <w:gridCol w:w="3603.000000000001"/>
        <w:gridCol w:w="6176.999999999999"/>
        <w:tblGridChange w:id="0">
          <w:tblGrid>
            <w:gridCol w:w="3603.000000000001"/>
            <w:gridCol w:w="6176.999999999999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Nossa arquitetura atual permite adicionar novos servidores de forma automática (auto-scaling)?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Monitoramento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Sabemos em tempo real se um serviço caiu antes mesmo de o cliente reclamar?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nível de serviço prometido ao cliente e estamos cumprindo consistentemente?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DevOps e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Marque o que está implementado. Itens não implementados devem entrar no roadmap técnico do próximo sprint.</w:t>
      </w:r>
      <w:r w:rsidDel="00000000" w:rsidR="00000000" w:rsidRPr="00000000">
        <w:rPr>
          <w:rtl w:val="0"/>
        </w:rPr>
      </w:r>
    </w:p>
    <w:tbl>
      <w:tblPr>
        <w:tblStyle w:val="Table3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Pipeline de CI/CD automatizado para todos os ambientes (dev, staging, produção).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Testes automatizados (unitários, integração e end-to-end) cobrindo &gt;70% do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Processo de rollback automático em caso de falha no deploy.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37.0" w:type="dxa"/>
        <w:jc w:val="left"/>
        <w:tblInd w:w="-200.0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[CI/CD]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Feature flags implementadas para deploys graduais e testes A/B de funcionalidades.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37.000000000002" w:type="dxa"/>
        <w:jc w:val="left"/>
        <w:tblInd w:w="-200.0" w:type="dxa"/>
        <w:tblLayout w:type="fixed"/>
        <w:tblLook w:val="0400"/>
      </w:tblPr>
      <w:tblGrid>
        <w:gridCol w:w="9837.000000000002"/>
        <w:tblGridChange w:id="0">
          <w:tblGrid>
            <w:gridCol w:w="9837.0000000000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[Infra]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Infraestrutura como código (IaC) - ex: Terraform, Pulumi, CloudFormation.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37.000000000002" w:type="dxa"/>
        <w:jc w:val="left"/>
        <w:tblInd w:w="-200.0" w:type="dxa"/>
        <w:tblLayout w:type="fixed"/>
        <w:tblLook w:val="0400"/>
      </w:tblPr>
      <w:tblGrid>
        <w:gridCol w:w="9837.000000000002"/>
        <w:tblGridChange w:id="0">
          <w:tblGrid>
            <w:gridCol w:w="9837.00000000000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[Infra]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Auto-scaling configurado para serviços críticos baseado em métricas de carga.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25.0" w:type="dxa"/>
        <w:jc w:val="left"/>
        <w:tblInd w:w="-200.0" w:type="dxa"/>
        <w:tblLayout w:type="fixed"/>
        <w:tblLook w:val="0400"/>
      </w:tblPr>
      <w:tblGrid>
        <w:gridCol w:w="9825"/>
        <w:tblGridChange w:id="0">
          <w:tblGrid>
            <w:gridCol w:w="98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[Infra]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Política de backup e recuperação de desastres (DR) testada e documentada.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13.0" w:type="dxa"/>
        <w:jc w:val="left"/>
        <w:tblInd w:w="-200.0" w:type="dxa"/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[Observ.]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Monitoramento de saúde de serviços com alertas automáticos (ex: Datadog, Grafana).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13.0" w:type="dxa"/>
        <w:jc w:val="left"/>
        <w:tblInd w:w="-200.0" w:type="dxa"/>
        <w:tblLayout w:type="fixed"/>
        <w:tblLook w:val="0400"/>
      </w:tblPr>
      <w:tblGrid>
        <w:gridCol w:w="9813"/>
        <w:tblGridChange w:id="0">
          <w:tblGrid>
            <w:gridCol w:w="9813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[Observ.]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Rastreamento de erros em tempo real (ex: Sentry, Rollbar) configurado.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4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01.0" w:type="dxa"/>
        <w:jc w:val="left"/>
        <w:tblInd w:w="-200.0" w:type="dxa"/>
        <w:tblLayout w:type="fixed"/>
        <w:tblLook w:val="0400"/>
      </w:tblPr>
      <w:tblGrid>
        <w:gridCol w:w="9801"/>
        <w:tblGridChange w:id="0">
          <w:tblGrid>
            <w:gridCol w:w="980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12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2"/>
                <w:szCs w:val="22"/>
                <w:rtl w:val="0"/>
              </w:rPr>
              <w:t xml:space="preserve">☐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[Observ.]  </w:t>
            </w: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Log centralizado e pesquisável para todos os serviços críticos.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6"/>
                <w:szCs w:val="16"/>
                <w:rtl w:val="0"/>
              </w:rPr>
              <w:t xml:space="preserve">Responsável: _______________  |  Prazo: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de SLAs e SLOs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SLA é o compromisso com o cliente. SLO é a meta interna. O SLO deve ser sempre mais rigoroso que o SLA.</w:t>
      </w:r>
      <w:r w:rsidDel="00000000" w:rsidR="00000000" w:rsidRPr="00000000">
        <w:rPr>
          <w:rtl w:val="0"/>
        </w:rPr>
      </w:r>
    </w:p>
    <w:tbl>
      <w:tblPr>
        <w:tblStyle w:val="Table13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Disponibilidade (Uptime)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 com cliente: _____%  |  SLO interno: _____%  |  Tempo máximo de indisponibilidade/mês: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Tempo de Resposta (Latência)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SLA: _____ ms para ____% das requisições  |  SLO: _____ ms  |  Ferramenta de medição: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Tempo de Resolução de Incidentes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P1 (crítico): _____ min  |  P2 (alto): _____ horas  |  P3 (médio): _____ horas  |  Responsável on-call: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873.0" w:type="dxa"/>
        <w:jc w:val="left"/>
        <w:tblInd w:w="-200.0" w:type="dxa"/>
        <w:tblLayout w:type="fixed"/>
        <w:tblLook w:val="0400"/>
      </w:tblPr>
      <w:tblGrid>
        <w:gridCol w:w="9873"/>
        <w:tblGridChange w:id="0">
          <w:tblGrid>
            <w:gridCol w:w="9873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Taxa de Erros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SLA: menos de ____% de erros por sessão  |  SLO: _____%  |  Alerta configurado em: _____%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1">
      <w:pPr>
        <w:pBdr>
          <w:bottom w:color="cccccc" w:space="4" w:sz="6" w:val="single"/>
        </w:pBdr>
        <w:spacing w:after="80" w:before="0" w:lineRule="auto"/>
        <w:rPr>
          <w:rFonts w:ascii="Arial" w:cs="Arial" w:eastAsia="Arial" w:hAnsi="Arial"/>
          <w:b w:val="1"/>
          <w:bCs w:val="1"/>
          <w:color w:val="1a1a1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Monitoramento e Resposta a Incidentes</w:t>
      </w:r>
      <w:r w:rsidDel="00000000" w:rsidR="00000000" w:rsidRPr="00000000">
        <w:rPr>
          <w:rtl w:val="0"/>
        </w:rPr>
      </w:r>
    </w:p>
    <w:tbl>
      <w:tblPr>
        <w:tblStyle w:val="Table17"/>
        <w:tblW w:w="9909.0" w:type="dxa"/>
        <w:jc w:val="left"/>
        <w:tblInd w:w="-200.0" w:type="dxa"/>
        <w:tblLayout w:type="fixed"/>
        <w:tblLook w:val="0400"/>
      </w:tblPr>
      <w:tblGrid>
        <w:gridCol w:w="9909"/>
        <w:tblGridChange w:id="0">
          <w:tblGrid>
            <w:gridCol w:w="9909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Runbook de Incidentes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Processo documentado para quando um serviço crítico falhar.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7.148925781246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Passo 1: Detecção e alerta automático via</w:t>
              <w:br w:type="textWrapping"/>
              <w:t xml:space="preserve">Passo 2: Triagem e classificação de severidade (P1/P2/P3)</w:t>
              <w:br w:type="textWrapping"/>
              <w:t xml:space="preserve">Passo 3: Comunicação interna e ao cliente - responsável:</w:t>
              <w:br w:type="textWrapping"/>
              <w:t xml:space="preserve">Passo 4: Resolução e rollback se necessário</w:t>
              <w:br w:type="textWrapping"/>
              <w:t xml:space="preserve">Passo 5: Post-mortem documentado em até 48h após a resolução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8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ESCALABILIDADE TÉCNICA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CI/CD Completo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Priorize a implementação de CI/CD completo. Deploy manual é o maior risco de escalabilidade, é lento e propenso a erros humanos.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SLAs Formalizados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Inclua SLAs nos contratos com clientes e crie o processo de comunicação proativa em caso de incidentes.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as métricas de infraestrutura ao dashboard de Dados e Analytics (SC09) para visibilidade unificada.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Infraestrutura que não foi testada sob carga é infraestrutura que falha no pior momento possível.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yo8PxzH4GUkCmW/mCneKgAypQ==">CgMxLjA4AHIhMUtaTVl3cHUza0tnN25HYUFmdWRUSzRFOU9BY1Z1d2Vq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