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SCALE-UP  ·  TIME / EXECUÇÃO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6" w:val="single"/>
        </w:pBd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SC11 · Estrutura Organizacional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5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Time / Execução  |  Estágio: Scale-Up</w:t>
      </w:r>
      <w:r w:rsidDel="00000000" w:rsidR="00000000" w:rsidRPr="00000000">
        <w:rPr>
          <w:rtl w:val="0"/>
        </w:rPr>
      </w:r>
    </w:p>
    <w:tbl>
      <w:tblPr>
        <w:tblStyle w:val="Table1"/>
        <w:tblW w:w="9720.0" w:type="dxa"/>
        <w:jc w:val="left"/>
        <w:tblInd w:w="-95.0" w:type="dxa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fe8d6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5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Escalar exige clareza sobre quem faz o quê e como as pessoas evoluem dentro da organização.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Esta ferramenta redesenha a estrutura para suportar a escala, definindo níveis de senioridade e as competências necessárias para cada cargo, sem criar burocracia que sufoque a agilidade.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Perguntas-Chave - Reflexão Crítica</w:t>
      </w:r>
      <w:r w:rsidDel="00000000" w:rsidR="00000000" w:rsidRPr="00000000">
        <w:rPr>
          <w:rtl w:val="0"/>
        </w:rPr>
      </w:r>
    </w:p>
    <w:tbl>
      <w:tblPr>
        <w:tblStyle w:val="Table2"/>
        <w:tblW w:w="9750.0" w:type="dxa"/>
        <w:jc w:val="left"/>
        <w:tblInd w:w="-120.0" w:type="dxa"/>
        <w:tblLayout w:type="fixed"/>
        <w:tblLook w:val="0400"/>
      </w:tblPr>
      <w:tblGrid>
        <w:gridCol w:w="4515"/>
        <w:gridCol w:w="5235"/>
        <w:tblGridChange w:id="0">
          <w:tblGrid>
            <w:gridCol w:w="4515"/>
            <w:gridCol w:w="5235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Hierarquia vs. Squads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Nossa estrutura atual favorece a agilidade ou cria gargalos de aprovação?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Senioridade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Estão claros os critérios que diferenciam um nível Júnior de um Pleno ou Sênior?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Sucessão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Temos clareza de quem são os futuros líderes em cada área crítica?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Organograma de Escala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Descreva a estrutura atual e a estrutura desejada para suportar o crescimento planejado dos próximos 12 meses.</w:t>
      </w:r>
      <w:r w:rsidDel="00000000" w:rsidR="00000000" w:rsidRPr="00000000">
        <w:rPr>
          <w:rtl w:val="0"/>
        </w:rPr>
      </w:r>
    </w:p>
    <w:tbl>
      <w:tblPr>
        <w:tblStyle w:val="Table3"/>
        <w:tblW w:w="9855.0" w:type="dxa"/>
        <w:jc w:val="left"/>
        <w:tblInd w:w="-200.0" w:type="dxa"/>
        <w:tblLayout w:type="fixed"/>
        <w:tblLook w:val="0400"/>
      </w:tblPr>
      <w:tblGrid>
        <w:gridCol w:w="9855"/>
        <w:tblGridChange w:id="0">
          <w:tblGrid>
            <w:gridCol w:w="9855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◎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Estrutura Atual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Como a empresa está organizada hoje?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Descreva as áreas, as lideranças e as linhas de reporte. Identifique gargalos e sobreposições de responsabilidade.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7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55.0" w:type="dxa"/>
        <w:jc w:val="left"/>
        <w:tblInd w:w="-200.0" w:type="dxa"/>
        <w:tblLayout w:type="fixed"/>
        <w:tblLook w:val="0400"/>
      </w:tblPr>
      <w:tblGrid>
        <w:gridCol w:w="9855"/>
        <w:tblGridChange w:id="0">
          <w:tblGrid>
            <w:gridCol w:w="9855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◈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Estrutura Desejada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12 Meses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Como a empresa precisa estar organizada para suportar a escala?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Descreva os novos papéis necessários, as áreas que precisam ser divididas e as contratações prioritárias.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Níveis de Carreira - Job Leveling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Defina critérios objetivos para cada nível. Critérios claros previnem inconsistências salariais e conflitos de expectativa.</w:t>
      </w:r>
      <w:r w:rsidDel="00000000" w:rsidR="00000000" w:rsidRPr="00000000">
        <w:rPr>
          <w:rtl w:val="0"/>
        </w:rPr>
      </w:r>
    </w:p>
    <w:tbl>
      <w:tblPr>
        <w:tblStyle w:val="Table5"/>
        <w:tblW w:w="9690.0" w:type="dxa"/>
        <w:jc w:val="left"/>
        <w:tblInd w:w="-80.0" w:type="dxa"/>
        <w:tblLayout w:type="fixed"/>
        <w:tblLook w:val="0400"/>
      </w:tblPr>
      <w:tblGrid>
        <w:gridCol w:w="2415"/>
        <w:gridCol w:w="2415"/>
        <w:gridCol w:w="2415"/>
        <w:gridCol w:w="2445"/>
        <w:tblGridChange w:id="0">
          <w:tblGrid>
            <w:gridCol w:w="2415"/>
            <w:gridCol w:w="2415"/>
            <w:gridCol w:w="2415"/>
            <w:gridCol w:w="2445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80.0" w:type="dxa"/>
              <w:bottom w:w="7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80.0" w:type="dxa"/>
              <w:bottom w:w="7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SENIORIDADE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80.0" w:type="dxa"/>
              <w:bottom w:w="7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CRITÉRIOS DE PROGRESSÃO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80.0" w:type="dxa"/>
              <w:bottom w:w="7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EXPECTATIVA DE ENTREGA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L1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Júnior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L2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Pleno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L3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Sênior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L4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Especialista /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L5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Gerente / Head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Matriz de Competências por Área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Defina as competências técnicas e comportamentais essenciais para cada área. Base para avaliações e promoções.</w:t>
      </w:r>
      <w:r w:rsidDel="00000000" w:rsidR="00000000" w:rsidRPr="00000000">
        <w:rPr>
          <w:rtl w:val="0"/>
        </w:rPr>
      </w:r>
    </w:p>
    <w:tbl>
      <w:tblPr>
        <w:tblStyle w:val="Table6"/>
        <w:tblW w:w="9870.0" w:type="dxa"/>
        <w:jc w:val="left"/>
        <w:tblInd w:w="-200.0" w:type="dxa"/>
        <w:tblLayout w:type="fixed"/>
        <w:tblLook w:val="0400"/>
      </w:tblPr>
      <w:tblGrid>
        <w:gridCol w:w="9870"/>
        <w:tblGridChange w:id="0">
          <w:tblGrid>
            <w:gridCol w:w="987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◎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Produto e Tecnologia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Técnicas: </w:t>
            </w: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Product thinking, análise de dados, metodologias ágeis, arquitetura de software.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0" w:before="14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Comportamentais:  Pensamento sistêmico, comunicação técnica, orientação a resultado, gestão de stakeholders.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870.0" w:type="dxa"/>
        <w:jc w:val="left"/>
        <w:tblInd w:w="-200.0" w:type="dxa"/>
        <w:tblLayout w:type="fixed"/>
        <w:tblLook w:val="0400"/>
      </w:tblPr>
      <w:tblGrid>
        <w:gridCol w:w="9870"/>
        <w:tblGridChange w:id="0">
          <w:tblGrid>
            <w:gridCol w:w="987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◈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Vendas e Marketing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Técnicas: </w:t>
            </w: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Técnicas de vendas consultiva, CRM, copywriting, análise de funil, inbound/outbound.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before="14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Comportamentais:  Resiliência, escuta ativa, orientação a meta, capacidade de apresentação e negociação.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900.0" w:type="dxa"/>
        <w:jc w:val="left"/>
        <w:tblInd w:w="-200.0" w:type="dxa"/>
        <w:tblLayout w:type="fixed"/>
        <w:tblLook w:val="0400"/>
      </w:tblPr>
      <w:tblGrid>
        <w:gridCol w:w="9900"/>
        <w:tblGridChange w:id="0">
          <w:tblGrid>
            <w:gridCol w:w="990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▲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Customer Success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Técnicas: </w:t>
            </w: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Onboarding, gestão de relacionamento, análise de churn, NPS e CSAT.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before="14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Comportamentais:  Empatia, comunicação clara, proatividade, capacidade de identificar oportunidades de expansão.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915.0" w:type="dxa"/>
        <w:jc w:val="left"/>
        <w:tblInd w:w="-200.0" w:type="dxa"/>
        <w:tblLayout w:type="fixed"/>
        <w:tblLook w:val="0400"/>
      </w:tblPr>
      <w:tblGrid>
        <w:gridCol w:w="9915"/>
        <w:tblGridChange w:id="0">
          <w:tblGrid>
            <w:gridCol w:w="991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◻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Operações e Finanças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Técnicas: </w:t>
            </w: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Modelagem financeira, gestão de processos, compliance, ferramentas de BI.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before="14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Comportamentais:  Organização, atenção à detalhes, pensamento analítico, capacidade de priorização.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10"/>
        <w:tblW w:w="9945.0" w:type="dxa"/>
        <w:jc w:val="left"/>
        <w:tblInd w:w="-185.0" w:type="dxa"/>
        <w:tblLayout w:type="fixed"/>
        <w:tblLook w:val="0400"/>
      </w:tblPr>
      <w:tblGrid>
        <w:gridCol w:w="9945"/>
        <w:tblGridChange w:id="0">
          <w:tblGrid>
            <w:gridCol w:w="9945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fe8d6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COM BASE NA ESTRUTURA ORGANIZACIONAL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Redesenho da Estrutura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Implemente a estrutura desejada progressivamente. Reestruturações abruptas geram insegurança e perda de talentos.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▲  Trilhas de Carreira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Publique os critérios de promoção para todo o time. Transparência sobre carreira é retenção de talento.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Próximo Passo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Conecte a estrutura ao plano de Vesting e Equity (SC12) para garantir alinhamento entre crescimento e incentivo de longo prazo.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before="70" w:lineRule="auto"/>
              <w:rPr>
                <w:rFonts w:ascii="Arial" w:cs="Arial" w:eastAsia="Arial" w:hAnsi="Arial"/>
                <w:i w:val="1"/>
                <w:iCs w:val="1"/>
                <w:color w:val="9a9a9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0" w:before="7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Nota: Estrutura sem clareza de papéis gera microgestão. Clareza de papéis libera o time para executar com autonomia.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rPr/>
    </w:pPr>
    <w:r w:rsidDel="00000000" w:rsidR="00000000" w:rsidRPr="00000000">
      <w:rPr/>
      <w:drawing>
        <wp:inline distB="114300" distT="114300" distL="114300" distR="114300">
          <wp:extent cx="1911049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11049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+fePSl05u8Y67eAho8IVnYtkFw==">CgMxLjA4AHIhMWhpN3cwa0xmbld4UEZDZE5NSUlJeTBoSS02bnlpTGhW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