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SC12 · Vesting e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2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atrair e reter os melhores talentos na escala, a startup utiliza Equity como diferencial.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planos de opções de ações (ESOP) e as regras de permanência (Vesting), criando alinhamento de longo prazo entre o time e os objetivos da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870"/>
        <w:gridCol w:w="5925"/>
        <w:tblGridChange w:id="0">
          <w:tblGrid>
            <w:gridCol w:w="3870"/>
            <w:gridCol w:w="592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nosso pacote de Equity é competitivo com outras startups em estágio similar?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As regras de Vesting incentivam a permanência de longo prazo sem travar saídas saudáveis?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distribuição atual de participação está equilibrada para suportar futuras rodadas?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Regras de Vesting - Estrutura do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regras antes de fazer qualquer oferta. Mudanças retroativas geram conflito societário.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 Total de Vesting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Período total: _____  anos  |  Justificativa: _____</w:t>
              <w:br w:type="textWrapping"/>
              <w:t xml:space="preserve">Ex: 4 anos é o padrão mais comum para startups em crescimento.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Cliff - Período de Carência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Cliff: _____ meses  |  Percentual liberado após o cliff: _____%</w:t>
              <w:br w:type="textWrapping"/>
              <w:t xml:space="preserve">Ex: 12 meses de cliff + liberação mensal do restante.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Aceleração em Eventos Especiais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Aceleração simples (trigger único): _____</w:t>
              <w:br w:type="textWrapping"/>
              <w:t xml:space="preserve">Aceleração dupla (2 triggers ex: M&amp;A + demissão):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Pool de Opções - ESOP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Tamanho do pool atual: _____%  |  Pool planejado pós-rodada: _____%</w:t>
              <w:br w:type="textWrapping"/>
              <w:t xml:space="preserve">Política de reposição do pool: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de ESOP - Critérios de Elegibilidade e Cálculo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Elegibilidade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Qual nível mínimo de carreira têm direito a opções?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Quais cargos recebem faixas maiores?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Cálculo do Grant (Concessão)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Como o número de opções é calculado?</w:t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Por múltiplo de salário, percentual fixo ou impacto esperado?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Preço de Exercício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Strike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Qual é o preço pelo qual o colaborador pode exercer as opções?</w:t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Como é atualizado a cada rodada?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Cap Table Summary - Visão Simplificada</w:t>
      </w:r>
      <w:r w:rsidDel="00000000" w:rsidR="00000000" w:rsidRPr="00000000">
        <w:rPr>
          <w:rtl w:val="0"/>
        </w:rPr>
      </w:r>
    </w:p>
    <w:tbl>
      <w:tblPr>
        <w:tblStyle w:val="Table10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Distribuição Societária Atual e Projetada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Resumo da participação atual e após o programa de equity.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Fundadores: _____%  |  Investidores: _____%  |  ESOP Pool: _____%  |  Outros: _____% = Total: 100%</w:t>
              <w:br w:type="textWrapping"/>
              <w:t xml:space="preserve">Distribuição pós-próxima rodada (estimada): 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75.0" w:type="dxa"/>
        <w:jc w:val="left"/>
        <w:tblInd w:w="-26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PLANO DE VESTING E EQUITY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Formalizar o ESOP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Elabore o documento legal de ESOP com advogado especializado em startups. Acordos verbais de equity geram litígios.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Atualizar o Cap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Cap Table atualizado após cada grant, exercício ou rodada. Opacidade no Cap Table afasta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plano de Equity à política de Remuneração e Benefícios (SC13) para uma proposta de valor total ao colaborador.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Equity sem clareza sobre regras e valores gera expectativa errada. Clareza desde o início é o melhor benefício.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VZjgvOt+zGJMtlAr1Lthn4m7A==">CgMxLjA4AHIhMW5IanhCMFV1RnNsdE5hMU05enc4dVhkLTFTX2VrNVlB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