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SC13 · Remuneração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9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profissionalização exige uma política salarial clara, competitiva e equânime.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define as faixas salariais por nível e o pacote de benefícios para garantir equidade interna e atratividade externa, atraindo talentos sem comprometer a saúde financeira.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3855"/>
        <w:gridCol w:w="5985"/>
        <w:tblGridChange w:id="0">
          <w:tblGrid>
            <w:gridCol w:w="3855"/>
            <w:gridCol w:w="59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Equidade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Pessoas com o mesmo nível de responsabilidade recebem dentro da mesma faixa?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Competitividade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remuneração total (salário + equity + benefícios) compete com o mercado?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Transparência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Os critérios para aumento e promoção são conhecidos por todo o time?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Tabela de Cargos e Salários por 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faixas salariais por nível e não por pessoa. Faixas amplas dão margem para meritocracia sem criar injustiças.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80.0" w:type="dxa"/>
        <w:tblLayout w:type="fixed"/>
        <w:tblLook w:val="0400"/>
      </w:tblPr>
      <w:tblGrid>
        <w:gridCol w:w="1935"/>
        <w:gridCol w:w="2085"/>
        <w:gridCol w:w="1965"/>
        <w:gridCol w:w="1920"/>
        <w:gridCol w:w="1935"/>
        <w:tblGridChange w:id="0">
          <w:tblGrid>
            <w:gridCol w:w="1935"/>
            <w:gridCol w:w="2085"/>
            <w:gridCol w:w="1965"/>
            <w:gridCol w:w="1920"/>
            <w:gridCol w:w="193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CARGO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FAIXA MÍNIMA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FAIXA MÁXIMA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REFERÊNCIA DE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Analista Jr.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Analista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Analista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Especialista/Lead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Gerente/Head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Diretor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/VP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Pacote de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Benefícios bem estruturados compensam diferenças salariais e aumentam retenção. Divida entre fixos e flexíveis.</w:t>
      </w: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left"/>
        <w:tblInd w:w="-200.0" w:type="dxa"/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Benefícios Fixos - Todos os Colaboradores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Plano de saúde, vale-refeição/alimentação, vale-transporte, seguro de vida, férias e 13º conforme CLT.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que oferecemos hoje: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Benefícios Flexíveis - Por Nível ou Opção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Gympass, home office, horário flexível, subsídio de educação, day-off no aniversário, licença parental estendida.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que oferecemos hoje: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35.0" w:type="dxa"/>
        <w:jc w:val="left"/>
        <w:tblInd w:w="-200.0" w:type="dxa"/>
        <w:tblLayout w:type="fixed"/>
        <w:tblLook w:val="04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Benefícios de Desenvolvimento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9.08935546875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Orçamento anual para cursos e eventos, acesso a plataformas de aprendizado, mentoria externa, inglês corporativo.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que oferecemos hoje: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Benchmark de Mercado</w:t>
      </w:r>
      <w:r w:rsidDel="00000000" w:rsidR="00000000" w:rsidRPr="00000000">
        <w:rPr>
          <w:rtl w:val="0"/>
        </w:rPr>
      </w:r>
    </w:p>
    <w:tbl>
      <w:tblPr>
        <w:tblStyle w:val="Table7"/>
        <w:tblW w:w="10050.0" w:type="dxa"/>
        <w:jc w:val="left"/>
        <w:tblInd w:w="-200.0" w:type="dxa"/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Comparativo com o Mercado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Startups do Mesmo 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Use dados de pesquisas salariais (ex: Gupy, Glassdoor, Hay Group, GPTW, Revelo).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Fonte do benchmark: _____  |  Data de referência: _____</w:t>
              <w:br w:type="textWrapping"/>
              <w:t xml:space="preserve">Posicionamento atual: ☐ Abaixo do mercado  ☐ Na mediana  ☐ Acima da mediana</w:t>
              <w:br w:type="textWrapping"/>
              <w:t xml:space="preserve">Ajustes necessários identificados: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170.0" w:type="dxa"/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POLÍTICA DE REMUNERAÇÃO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Transparência Salarial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Publique as faixas salariais internamente. Transparência reduz insatisfação e percepção de injustiça.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Benchmark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Realize benchmark de mercado anualmente. Inflação e demanda por talentos mudam as referências todo 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Integre a política salarial ao plano de Performance de Times (SC14) para garantir que aumentos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reflitam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no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Remuneração justa não é o maior motivador, mas remuneração injusta é o maior desmotivador.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+VSIzheRaUXNhHY1m63zrcKEA==">CgMxLjA4AHIhMXo3ZlRCRDFZLXc0MkpWREVTSlp1ZWtPYUdmTENROFRr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