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50" w:before="0" w:lineRule="auto"/>
        <w:rPr>
          <w:color w:val="88888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888888"/>
          <w:sz w:val="16"/>
          <w:szCs w:val="16"/>
          <w:rtl w:val="0"/>
        </w:rPr>
        <w:t xml:space="preserve">SCALE-UP  ·  TIME / EXECUÇÃO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bottom w:color="cccccc" w:space="4" w:sz="6" w:val="single"/>
        </w:pBdr>
        <w:spacing w:after="5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44"/>
          <w:szCs w:val="44"/>
          <w:rtl w:val="0"/>
        </w:rPr>
        <w:t xml:space="preserve">SC14 · Performance de Times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60" w:before="50" w:lineRule="auto"/>
        <w:rPr>
          <w:color w:val="888888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888888"/>
          <w:sz w:val="18"/>
          <w:szCs w:val="18"/>
          <w:rtl w:val="0"/>
        </w:rPr>
        <w:t xml:space="preserve">Pilar: Time / Execução  |  Estágio: Scale-Up</w:t>
      </w:r>
      <w:r w:rsidDel="00000000" w:rsidR="00000000" w:rsidRPr="00000000">
        <w:rPr>
          <w:rtl w:val="0"/>
        </w:rPr>
      </w:r>
    </w:p>
    <w:tbl>
      <w:tblPr>
        <w:tblStyle w:val="Table1"/>
        <w:tblW w:w="9780.0" w:type="dxa"/>
        <w:jc w:val="left"/>
        <w:tblInd w:w="-95.0" w:type="dxa"/>
        <w:tblLayout w:type="fixed"/>
        <w:tblLook w:val="0400"/>
      </w:tblPr>
      <w:tblGrid>
        <w:gridCol w:w="9780"/>
        <w:tblGridChange w:id="0">
          <w:tblGrid>
            <w:gridCol w:w="9780"/>
          </w:tblGrid>
        </w:tblGridChange>
      </w:tblGrid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0" w:val="nil"/>
              <w:left w:color="888888" w:space="0" w:sz="16" w:val="single"/>
              <w:bottom w:color="000000" w:space="0" w:sz="0" w:val="nil"/>
              <w:right w:color="000000" w:space="0" w:sz="0" w:val="nil"/>
            </w:tcBorders>
            <w:shd w:fill="efe8d6" w:val="clear"/>
            <w:tcMar>
              <w:top w:w="160.0" w:type="dxa"/>
              <w:left w:w="260.0" w:type="dxa"/>
              <w:bottom w:w="16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spacing w:after="5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888888"/>
                <w:sz w:val="16"/>
                <w:szCs w:val="16"/>
                <w:rtl w:val="0"/>
              </w:rPr>
              <w:t xml:space="preserve">VISÃO ESTRATÉGICA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2"/>
                <w:szCs w:val="22"/>
                <w:rtl w:val="0"/>
              </w:rPr>
              <w:t xml:space="preserve">Na escala, mede-se a performance coletiva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rtl w:val="0"/>
              </w:rPr>
              <w:t xml:space="preserve">,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2"/>
                <w:szCs w:val="22"/>
                <w:rtl w:val="0"/>
              </w:rPr>
              <w:t xml:space="preserve"> não apenas individual.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color w:val="888888"/>
                <w:sz w:val="18"/>
                <w:szCs w:val="18"/>
                <w:rtl w:val="0"/>
              </w:rPr>
              <w:t xml:space="preserve">Cada área deve ter KPIs claros e ciclos de avaliação formais. Paralelamente, a marca empregadora (Employer Branding) deve ser fortalecida para manter o fluxo de talentos constante.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7">
      <w:pPr>
        <w:spacing w:after="14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bottom w:color="cccccc" w:space="4" w:sz="6" w:val="single"/>
        </w:pBdr>
        <w:spacing w:after="8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8"/>
          <w:szCs w:val="28"/>
          <w:rtl w:val="0"/>
        </w:rPr>
        <w:t xml:space="preserve">Perguntas-Chave - Reflexão Crítica</w:t>
      </w:r>
      <w:r w:rsidDel="00000000" w:rsidR="00000000" w:rsidRPr="00000000">
        <w:rPr>
          <w:rtl w:val="0"/>
        </w:rPr>
      </w:r>
    </w:p>
    <w:tbl>
      <w:tblPr>
        <w:tblStyle w:val="Table2"/>
        <w:tblW w:w="9780.0" w:type="dxa"/>
        <w:jc w:val="left"/>
        <w:tblInd w:w="-120.0" w:type="dxa"/>
        <w:tblLayout w:type="fixed"/>
        <w:tblLook w:val="0400"/>
      </w:tblPr>
      <w:tblGrid>
        <w:gridCol w:w="3870"/>
        <w:gridCol w:w="5910"/>
        <w:tblGridChange w:id="0">
          <w:tblGrid>
            <w:gridCol w:w="3870"/>
            <w:gridCol w:w="5910"/>
          </w:tblGrid>
        </w:tblGridChange>
      </w:tblGrid>
      <w:tr>
        <w:trPr>
          <w:cantSplit w:val="0"/>
          <w:trHeight w:val="7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90.0" w:type="dxa"/>
              <w:left w:w="12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7f0de" w:val="clear"/>
            <w:tcMar>
              <w:top w:w="90.0" w:type="dxa"/>
              <w:left w:w="160.0" w:type="dxa"/>
              <w:bottom w:w="9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16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20"/>
                <w:szCs w:val="20"/>
                <w:rtl w:val="0"/>
              </w:rPr>
              <w:t xml:space="preserve">KPIs por Área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Cada departamento tem indicadores claros de performance que são revisados regularmente?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4a4a4a" w:val="clear"/>
            <w:tcMar>
              <w:top w:w="90.0" w:type="dxa"/>
              <w:left w:w="12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7f0de" w:val="clear"/>
            <w:tcMar>
              <w:top w:w="90.0" w:type="dxa"/>
              <w:left w:w="160.0" w:type="dxa"/>
              <w:bottom w:w="9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16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20"/>
                <w:szCs w:val="20"/>
                <w:rtl w:val="0"/>
              </w:rPr>
              <w:t xml:space="preserve">Ciclo de Avaliação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O time sabe quando e como será avaliado? Os critérios são transparentes?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90.0" w:type="dxa"/>
              <w:left w:w="12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7f0de" w:val="clear"/>
            <w:tcMar>
              <w:top w:w="90.0" w:type="dxa"/>
              <w:left w:w="160.0" w:type="dxa"/>
              <w:bottom w:w="9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16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20"/>
                <w:szCs w:val="20"/>
                <w:rtl w:val="0"/>
              </w:rPr>
              <w:t xml:space="preserve">Employer Brand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Como a empresa é percebida pelos talentos do mercado? Isso facilita ou dificulta contratações?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2">
      <w:pPr>
        <w:spacing w:after="14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Bdr>
          <w:bottom w:color="cccccc" w:space="4" w:sz="6" w:val="single"/>
        </w:pBdr>
        <w:spacing w:after="8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8"/>
          <w:szCs w:val="28"/>
          <w:rtl w:val="0"/>
        </w:rPr>
        <w:t xml:space="preserve">KPIs por Departamento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00" w:before="30" w:lineRule="auto"/>
        <w:jc w:val="both"/>
        <w:rPr>
          <w:color w:val="888888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888888"/>
          <w:sz w:val="18"/>
          <w:szCs w:val="18"/>
          <w:rtl w:val="0"/>
        </w:rPr>
        <w:t xml:space="preserve">Defina 3 a 5 KPIs por área. KPIs demais fragmentam o foco - KPIs de menos criam pontos cegos.</w:t>
      </w:r>
      <w:r w:rsidDel="00000000" w:rsidR="00000000" w:rsidRPr="00000000">
        <w:rPr>
          <w:rtl w:val="0"/>
        </w:rPr>
      </w:r>
    </w:p>
    <w:tbl>
      <w:tblPr>
        <w:tblStyle w:val="Table3"/>
        <w:tblW w:w="9855.0" w:type="dxa"/>
        <w:jc w:val="left"/>
        <w:tblInd w:w="-200.0" w:type="dxa"/>
        <w:tblLayout w:type="fixed"/>
        <w:tblLook w:val="0400"/>
      </w:tblPr>
      <w:tblGrid>
        <w:gridCol w:w="9855"/>
        <w:tblGridChange w:id="0">
          <w:tblGrid>
            <w:gridCol w:w="9855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80.0" w:type="dxa"/>
              <w:left w:w="200.0" w:type="dxa"/>
              <w:bottom w:w="70.0" w:type="dxa"/>
              <w:right w:w="20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2"/>
                <w:szCs w:val="22"/>
                <w:rtl w:val="0"/>
              </w:rPr>
              <w:t xml:space="preserve">◎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Vendas e Revenue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90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3ebda" w:val="clear"/>
            <w:tcMar>
              <w:top w:w="100.0" w:type="dxa"/>
              <w:left w:w="200.0" w:type="dxa"/>
              <w:bottom w:w="8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16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MRR gerado, pipeline ativo, taxa de conversão, ciclo médio de vendas, ticket médio, win rate.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spacing w:after="0" w:before="2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color w:val="888888"/>
                <w:sz w:val="18"/>
                <w:szCs w:val="18"/>
                <w:rtl w:val="0"/>
              </w:rPr>
              <w:t xml:space="preserve">KPIs adotados pela nossa área: (descreva abaixo)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8">
      <w:pPr>
        <w:spacing w:after="5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855.0" w:type="dxa"/>
        <w:jc w:val="left"/>
        <w:tblInd w:w="-200.0" w:type="dxa"/>
        <w:tblLayout w:type="fixed"/>
        <w:tblLook w:val="0400"/>
      </w:tblPr>
      <w:tblGrid>
        <w:gridCol w:w="9855"/>
        <w:tblGridChange w:id="0">
          <w:tblGrid>
            <w:gridCol w:w="9855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80.0" w:type="dxa"/>
              <w:left w:w="200.0" w:type="dxa"/>
              <w:bottom w:w="70.0" w:type="dxa"/>
              <w:right w:w="20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2"/>
                <w:szCs w:val="22"/>
                <w:rtl w:val="0"/>
              </w:rPr>
              <w:t xml:space="preserve">◈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Produto e Tecnologia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05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3ebda" w:val="clear"/>
            <w:tcMar>
              <w:top w:w="100.0" w:type="dxa"/>
              <w:left w:w="200.0" w:type="dxa"/>
              <w:bottom w:w="8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16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Velocity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 do time, taxa de bugs críticos,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SLA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 de uptime, taxa de adoção de novas features, NPS interno.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spacing w:after="0" w:before="2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color w:val="888888"/>
                <w:sz w:val="18"/>
                <w:szCs w:val="18"/>
                <w:rtl w:val="0"/>
              </w:rPr>
              <w:t xml:space="preserve">KPIs adotados pela nossa área: (descreva abaixo)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C">
      <w:pPr>
        <w:spacing w:after="5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855.0" w:type="dxa"/>
        <w:jc w:val="left"/>
        <w:tblInd w:w="-200.0" w:type="dxa"/>
        <w:tblLayout w:type="fixed"/>
        <w:tblLook w:val="0400"/>
      </w:tblPr>
      <w:tblGrid>
        <w:gridCol w:w="9855"/>
        <w:tblGridChange w:id="0">
          <w:tblGrid>
            <w:gridCol w:w="9855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80.0" w:type="dxa"/>
              <w:left w:w="200.0" w:type="dxa"/>
              <w:bottom w:w="70.0" w:type="dxa"/>
              <w:right w:w="20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2"/>
                <w:szCs w:val="22"/>
                <w:rtl w:val="0"/>
              </w:rPr>
              <w:t xml:space="preserve">▲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Customer Success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10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3ebda" w:val="clear"/>
            <w:tcMar>
              <w:top w:w="100.0" w:type="dxa"/>
              <w:left w:w="200.0" w:type="dxa"/>
              <w:bottom w:w="8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16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NPS, churn mensal, health score médio da base, tempo de onboarding,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expansion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 revenue gerado.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spacing w:after="0" w:before="2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color w:val="888888"/>
                <w:sz w:val="18"/>
                <w:szCs w:val="18"/>
                <w:rtl w:val="0"/>
              </w:rPr>
              <w:t xml:space="preserve">KPIs adotados pela nossa área: (descreva abaixo)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0">
      <w:pPr>
        <w:spacing w:after="5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855.0" w:type="dxa"/>
        <w:jc w:val="left"/>
        <w:tblInd w:w="-200.0" w:type="dxa"/>
        <w:tblLayout w:type="fixed"/>
        <w:tblLook w:val="0400"/>
      </w:tblPr>
      <w:tblGrid>
        <w:gridCol w:w="9855"/>
        <w:tblGridChange w:id="0">
          <w:tblGrid>
            <w:gridCol w:w="9855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80.0" w:type="dxa"/>
              <w:left w:w="200.0" w:type="dxa"/>
              <w:bottom w:w="70.0" w:type="dxa"/>
              <w:right w:w="20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2"/>
                <w:szCs w:val="22"/>
                <w:rtl w:val="0"/>
              </w:rPr>
              <w:t xml:space="preserve">◻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Marketing e Growth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95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3ebda" w:val="clear"/>
            <w:tcMar>
              <w:top w:w="100.0" w:type="dxa"/>
              <w:left w:w="200.0" w:type="dxa"/>
              <w:bottom w:w="8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16" w:before="0" w:lineRule="auto"/>
              <w:rPr>
                <w:color w:val="888888"/>
              </w:rPr>
            </w:pPr>
            <w:sdt>
              <w:sdtPr>
                <w:id w:val="363752737"/>
                <w:tag w:val="goog_rdk_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i w:val="1"/>
                    <w:iCs w:val="1"/>
                    <w:color w:val="888888"/>
                    <w:sz w:val="18"/>
                    <w:szCs w:val="18"/>
                    <w:rtl w:val="0"/>
                  </w:rPr>
                  <w:t xml:space="preserve">CAC por canal, MQLs gerados, taxa de conversão MQL → SQL, alcance orgânico, ROI de campanhas.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spacing w:after="0" w:before="2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color w:val="888888"/>
                <w:sz w:val="18"/>
                <w:szCs w:val="18"/>
                <w:rtl w:val="0"/>
              </w:rPr>
              <w:t xml:space="preserve">KPIs adotados pela nossa área: (descreva abaixo)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4">
      <w:pPr>
        <w:spacing w:after="5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855.0" w:type="dxa"/>
        <w:jc w:val="left"/>
        <w:tblInd w:w="-200.0" w:type="dxa"/>
        <w:tblLayout w:type="fixed"/>
        <w:tblLook w:val="0400"/>
      </w:tblPr>
      <w:tblGrid>
        <w:gridCol w:w="9855"/>
        <w:tblGridChange w:id="0">
          <w:tblGrid>
            <w:gridCol w:w="9855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80.0" w:type="dxa"/>
              <w:left w:w="200.0" w:type="dxa"/>
              <w:bottom w:w="70.0" w:type="dxa"/>
              <w:right w:w="20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2"/>
                <w:szCs w:val="22"/>
                <w:rtl w:val="0"/>
              </w:rPr>
              <w:t xml:space="preserve">★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Operações e Financeiro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85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3ebda" w:val="clear"/>
            <w:tcMar>
              <w:top w:w="100.0" w:type="dxa"/>
              <w:left w:w="200.0" w:type="dxa"/>
              <w:bottom w:w="8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16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Burn rate, margem bruta, precisão do forecast, prazo médio de pagamento, SLA de processos internos.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spacing w:after="0" w:before="2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color w:val="888888"/>
                <w:sz w:val="18"/>
                <w:szCs w:val="18"/>
                <w:rtl w:val="0"/>
              </w:rPr>
              <w:t xml:space="preserve">KPIs adotados pela nossa área: (descreva abaixo)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8">
      <w:pPr>
        <w:pBdr>
          <w:bottom w:color="cccccc" w:space="4" w:sz="6" w:val="single"/>
        </w:pBdr>
        <w:spacing w:after="80" w:before="0" w:lineRule="auto"/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8"/>
          <w:szCs w:val="28"/>
          <w:rtl w:val="0"/>
        </w:rPr>
        <w:t xml:space="preserve">Ciclo de Performance - Avaliação de Times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100" w:before="30" w:lineRule="auto"/>
        <w:jc w:val="both"/>
        <w:rPr>
          <w:color w:val="888888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888888"/>
          <w:sz w:val="18"/>
          <w:szCs w:val="18"/>
          <w:rtl w:val="0"/>
        </w:rPr>
        <w:t xml:space="preserve">Defina o processo e a frequência das avaliações coletivas. Ciclos claros previnem avaliações subjetivas e surpresas.</w:t>
      </w:r>
      <w:r w:rsidDel="00000000" w:rsidR="00000000" w:rsidRPr="00000000">
        <w:rPr>
          <w:rtl w:val="0"/>
        </w:rPr>
      </w:r>
    </w:p>
    <w:tbl>
      <w:tblPr>
        <w:tblStyle w:val="Table8"/>
        <w:tblW w:w="9855.0" w:type="dxa"/>
        <w:jc w:val="left"/>
        <w:tblInd w:w="-200.0" w:type="dxa"/>
        <w:tblLayout w:type="fixed"/>
        <w:tblLook w:val="0400"/>
      </w:tblPr>
      <w:tblGrid>
        <w:gridCol w:w="9855"/>
        <w:tblGridChange w:id="0">
          <w:tblGrid>
            <w:gridCol w:w="9855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4a4a4a" w:val="clear"/>
            <w:tcMar>
              <w:top w:w="80.0" w:type="dxa"/>
              <w:left w:w="200.0" w:type="dxa"/>
              <w:bottom w:w="70.0" w:type="dxa"/>
              <w:right w:w="20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2"/>
                <w:szCs w:val="22"/>
                <w:rtl w:val="0"/>
              </w:rPr>
              <w:t xml:space="preserve">◎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Check-in Mensal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80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3ebda" w:val="clear"/>
            <w:tcMar>
              <w:top w:w="100.0" w:type="dxa"/>
              <w:left w:w="200.0" w:type="dxa"/>
              <w:bottom w:w="8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16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Revisão rápida de KPIs vs. metas com cada liderança de área. Ajustes táticos imediatos.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spacing w:after="0" w:before="2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color w:val="888888"/>
                <w:sz w:val="18"/>
                <w:szCs w:val="18"/>
                <w:rtl w:val="0"/>
              </w:rPr>
              <w:t xml:space="preserve">Responsável: _______________  |  Próxima data: _______________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spacing w:after="5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885.0" w:type="dxa"/>
        <w:jc w:val="left"/>
        <w:tblInd w:w="-200.0" w:type="dxa"/>
        <w:tblLayout w:type="fixed"/>
        <w:tblLook w:val="0400"/>
      </w:tblPr>
      <w:tblGrid>
        <w:gridCol w:w="9885"/>
        <w:tblGridChange w:id="0">
          <w:tblGrid>
            <w:gridCol w:w="9885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4a4a4a" w:val="clear"/>
            <w:tcMar>
              <w:top w:w="80.0" w:type="dxa"/>
              <w:left w:w="200.0" w:type="dxa"/>
              <w:bottom w:w="70.0" w:type="dxa"/>
              <w:right w:w="20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2"/>
                <w:szCs w:val="22"/>
                <w:rtl w:val="0"/>
              </w:rPr>
              <w:t xml:space="preserve">◈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Avaliação Trimestral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80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3ebda" w:val="clear"/>
            <w:tcMar>
              <w:top w:w="100.0" w:type="dxa"/>
              <w:left w:w="200.0" w:type="dxa"/>
              <w:bottom w:w="8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16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Revisão de OKRs e KPIs do trimestre. Análise de desvios, causas e plano de ação para o próximo ciclo.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spacing w:after="0" w:before="2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color w:val="888888"/>
                <w:sz w:val="18"/>
                <w:szCs w:val="18"/>
                <w:rtl w:val="0"/>
              </w:rPr>
              <w:t xml:space="preserve">Responsável: _______________  |  Próxima data: _______________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1">
      <w:pPr>
        <w:spacing w:after="5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9885.0" w:type="dxa"/>
        <w:jc w:val="left"/>
        <w:tblInd w:w="-200.0" w:type="dxa"/>
        <w:tblLayout w:type="fixed"/>
        <w:tblLook w:val="0400"/>
      </w:tblPr>
      <w:tblGrid>
        <w:gridCol w:w="9885"/>
        <w:tblGridChange w:id="0">
          <w:tblGrid>
            <w:gridCol w:w="9885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4a4a4a" w:val="clear"/>
            <w:tcMar>
              <w:top w:w="80.0" w:type="dxa"/>
              <w:left w:w="200.0" w:type="dxa"/>
              <w:bottom w:w="70.0" w:type="dxa"/>
              <w:right w:w="20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2"/>
                <w:szCs w:val="22"/>
                <w:rtl w:val="0"/>
              </w:rPr>
              <w:t xml:space="preserve">▲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Review Semestral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80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3ebda" w:val="clear"/>
            <w:tcMar>
              <w:top w:w="100.0" w:type="dxa"/>
              <w:left w:w="200.0" w:type="dxa"/>
              <w:bottom w:w="8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16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Avaliação de performance individual e coletiva. Base para promoções, méritos e feedback estruturado.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spacing w:after="0" w:before="2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color w:val="888888"/>
                <w:sz w:val="18"/>
                <w:szCs w:val="18"/>
                <w:rtl w:val="0"/>
              </w:rPr>
              <w:t xml:space="preserve">Responsável: _______________  |  Próxima data: _______________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5">
      <w:pPr>
        <w:spacing w:after="5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9885.0" w:type="dxa"/>
        <w:jc w:val="left"/>
        <w:tblInd w:w="-200.0" w:type="dxa"/>
        <w:tblLayout w:type="fixed"/>
        <w:tblLook w:val="0400"/>
      </w:tblPr>
      <w:tblGrid>
        <w:gridCol w:w="9885"/>
        <w:tblGridChange w:id="0">
          <w:tblGrid>
            <w:gridCol w:w="9885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4a4a4a" w:val="clear"/>
            <w:tcMar>
              <w:top w:w="80.0" w:type="dxa"/>
              <w:left w:w="200.0" w:type="dxa"/>
              <w:bottom w:w="70.0" w:type="dxa"/>
              <w:right w:w="20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2"/>
                <w:szCs w:val="22"/>
                <w:rtl w:val="0"/>
              </w:rPr>
              <w:t xml:space="preserve">◻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Planejamento Anual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80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3ebda" w:val="clear"/>
            <w:tcMar>
              <w:top w:w="100.0" w:type="dxa"/>
              <w:left w:w="200.0" w:type="dxa"/>
              <w:bottom w:w="8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16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Definição de OKRs e metas para o ano seguinte. Alinhamento com o BSC (SC01) e o roadmap (SC07).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spacing w:after="0" w:before="2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color w:val="888888"/>
                <w:sz w:val="18"/>
                <w:szCs w:val="18"/>
                <w:rtl w:val="0"/>
              </w:rPr>
              <w:t xml:space="preserve">Responsável: _______________  |  Próxima data: _______________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9">
      <w:pPr>
        <w:pBdr>
          <w:bottom w:color="cccccc" w:space="4" w:sz="6" w:val="single"/>
        </w:pBdr>
        <w:spacing w:after="80" w:before="0" w:lineRule="auto"/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8"/>
          <w:szCs w:val="28"/>
          <w:rtl w:val="0"/>
        </w:rPr>
        <w:t xml:space="preserve">Employer Branding - Marca Empregadora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100" w:before="30" w:lineRule="auto"/>
        <w:jc w:val="both"/>
        <w:rPr>
          <w:color w:val="888888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888888"/>
          <w:sz w:val="18"/>
          <w:szCs w:val="18"/>
          <w:rtl w:val="0"/>
        </w:rPr>
        <w:t xml:space="preserve">A marca empregadora é o que os candidatos pensam e falam sobre trabalhar na empresa. Construída, não declarada.</w:t>
      </w:r>
      <w:r w:rsidDel="00000000" w:rsidR="00000000" w:rsidRPr="00000000">
        <w:rPr>
          <w:rtl w:val="0"/>
        </w:rPr>
      </w:r>
    </w:p>
    <w:tbl>
      <w:tblPr>
        <w:tblStyle w:val="Table12"/>
        <w:tblW w:w="9885.0" w:type="dxa"/>
        <w:jc w:val="left"/>
        <w:tblInd w:w="-200.0" w:type="dxa"/>
        <w:tblLayout w:type="fixed"/>
        <w:tblLook w:val="0400"/>
      </w:tblPr>
      <w:tblGrid>
        <w:gridCol w:w="9885"/>
        <w:tblGridChange w:id="0">
          <w:tblGrid>
            <w:gridCol w:w="9885"/>
          </w:tblGrid>
        </w:tblGridChange>
      </w:tblGrid>
      <w:tr>
        <w:trPr>
          <w:cantSplit w:val="0"/>
          <w:trHeight w:val="4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100.0" w:type="dxa"/>
              <w:left w:w="200.0" w:type="dxa"/>
              <w:bottom w:w="8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14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4"/>
                <w:szCs w:val="24"/>
                <w:rtl w:val="0"/>
              </w:rPr>
              <w:t xml:space="preserve">◎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Proposta de Valor ao Colaborador (EVP)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05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3ebda" w:val="clear"/>
            <w:tcMar>
              <w:top w:w="12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O que torna nossa empresa um lugar único para trabalhar? O que oferecemos além do salário?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D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9900.0" w:type="dxa"/>
        <w:jc w:val="left"/>
        <w:tblInd w:w="-200.0" w:type="dxa"/>
        <w:tblLayout w:type="fixed"/>
        <w:tblLook w:val="0400"/>
      </w:tblPr>
      <w:tblGrid>
        <w:gridCol w:w="9900"/>
        <w:tblGridChange w:id="0">
          <w:tblGrid>
            <w:gridCol w:w="9900"/>
          </w:tblGrid>
        </w:tblGridChange>
      </w:tblGrid>
      <w:tr>
        <w:trPr>
          <w:cantSplit w:val="0"/>
          <w:trHeight w:val="4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100.0" w:type="dxa"/>
              <w:left w:w="200.0" w:type="dxa"/>
              <w:bottom w:w="8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14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4"/>
                <w:szCs w:val="24"/>
                <w:rtl w:val="0"/>
              </w:rPr>
              <w:t xml:space="preserve">◈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Presença Digital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75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3ebda" w:val="clear"/>
            <w:tcMar>
              <w:top w:w="12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LinkedIn da empresa, Glassdoor, conteúdo sobre cultura, bastidores e conquistas do time.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0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14"/>
        <w:tblW w:w="9900.0" w:type="dxa"/>
        <w:jc w:val="left"/>
        <w:tblInd w:w="-200.0" w:type="dxa"/>
        <w:tblLayout w:type="fixed"/>
        <w:tblLook w:val="0400"/>
      </w:tblPr>
      <w:tblGrid>
        <w:gridCol w:w="9900"/>
        <w:tblGridChange w:id="0">
          <w:tblGrid>
            <w:gridCol w:w="9900"/>
          </w:tblGrid>
        </w:tblGridChange>
      </w:tblGrid>
      <w:tr>
        <w:trPr>
          <w:cantSplit w:val="0"/>
          <w:trHeight w:val="4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100.0" w:type="dxa"/>
              <w:left w:w="200.0" w:type="dxa"/>
              <w:bottom w:w="8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14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4"/>
                <w:szCs w:val="24"/>
                <w:rtl w:val="0"/>
              </w:rPr>
              <w:t xml:space="preserve">▲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Indicação de Talentos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75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3ebda" w:val="clear"/>
            <w:tcMar>
              <w:top w:w="12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Programa de indicação interna: colaboradores satisfeitos atraem candidatos de qualidade superior.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3">
      <w:pPr>
        <w:pBdr>
          <w:bottom w:color="cccccc" w:space="4" w:sz="6" w:val="single"/>
        </w:pBdr>
        <w:spacing w:after="80" w:before="0" w:lineRule="auto"/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8"/>
          <w:szCs w:val="28"/>
          <w:rtl w:val="0"/>
        </w:rPr>
        <w:t xml:space="preserve">Desdobramentos - Próximos Passos</w:t>
      </w:r>
      <w:r w:rsidDel="00000000" w:rsidR="00000000" w:rsidRPr="00000000">
        <w:rPr>
          <w:rtl w:val="0"/>
        </w:rPr>
      </w:r>
    </w:p>
    <w:tbl>
      <w:tblPr>
        <w:tblStyle w:val="Table15"/>
        <w:tblW w:w="9960.0" w:type="dxa"/>
        <w:jc w:val="left"/>
        <w:tblInd w:w="-260.0" w:type="dxa"/>
        <w:tblLayout w:type="fixed"/>
        <w:tblLook w:val="0400"/>
      </w:tblPr>
      <w:tblGrid>
        <w:gridCol w:w="9960"/>
        <w:tblGridChange w:id="0">
          <w:tblGrid>
            <w:gridCol w:w="9960"/>
          </w:tblGrid>
        </w:tblGridChange>
      </w:tblGrid>
      <w:tr>
        <w:trPr>
          <w:cantSplit w:val="0"/>
          <w:trHeight w:val="1520" w:hRule="atLeast"/>
          <w:tblHeader w:val="0"/>
        </w:trPr>
        <w:tc>
          <w:tcPr>
            <w:tcBorders>
              <w:top w:color="000000" w:space="0" w:sz="0" w:val="nil"/>
              <w:left w:color="888888" w:space="0" w:sz="16" w:val="single"/>
              <w:bottom w:color="000000" w:space="0" w:sz="0" w:val="nil"/>
              <w:right w:color="000000" w:space="0" w:sz="0" w:val="nil"/>
            </w:tcBorders>
            <w:shd w:fill="efe8d6" w:val="clear"/>
            <w:tcMar>
              <w:top w:w="160.0" w:type="dxa"/>
              <w:left w:w="260.0" w:type="dxa"/>
              <w:bottom w:w="16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5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6a6a6a"/>
                <w:sz w:val="16"/>
                <w:szCs w:val="16"/>
                <w:rtl w:val="0"/>
              </w:rPr>
              <w:t xml:space="preserve">COM BASE NA PERFORMANCE DE TIMES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spacing w:after="14" w:before="7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20"/>
                <w:szCs w:val="20"/>
                <w:rtl w:val="0"/>
              </w:rPr>
              <w:t xml:space="preserve">◎  KPIs Visíveis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6a6a6a"/>
                <w:sz w:val="18"/>
                <w:szCs w:val="18"/>
                <w:rtl w:val="0"/>
              </w:rPr>
              <w:t xml:space="preserve">Publique os KPIs de cada área em um dashboard acessível a todo o time. Transparência de métricas gera responsabilidade coletiva.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spacing w:after="14" w:before="7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20"/>
                <w:szCs w:val="20"/>
                <w:rtl w:val="0"/>
              </w:rPr>
              <w:t xml:space="preserve">▲  Ciclos Regulares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6a6a6a"/>
                <w:sz w:val="18"/>
                <w:szCs w:val="18"/>
                <w:rtl w:val="0"/>
              </w:rPr>
              <w:t xml:space="preserve">Implemente o ciclo de avaliação trimestral. Consistência no processo é mais importante do que a perfeição do formato.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spacing w:after="14" w:before="7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20"/>
                <w:szCs w:val="20"/>
                <w:rtl w:val="0"/>
              </w:rPr>
              <w:t xml:space="preserve">◈  Próximo Passo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6a6a6a"/>
                <w:sz w:val="18"/>
                <w:szCs w:val="18"/>
                <w:rtl w:val="0"/>
              </w:rPr>
              <w:t xml:space="preserve">Fortaleça o Employer Branding para garantir que o crescimento da empresa não seja limitado pela dificuldade de atrair talentos.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spacing w:after="0" w:before="70" w:lineRule="auto"/>
              <w:rPr>
                <w:rFonts w:ascii="Arial" w:cs="Arial" w:eastAsia="Arial" w:hAnsi="Arial"/>
                <w:i w:val="1"/>
                <w:iCs w:val="1"/>
                <w:color w:val="9a9a9a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spacing w:after="0" w:before="7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6"/>
                <w:szCs w:val="16"/>
                <w:rtl w:val="0"/>
              </w:rPr>
              <w:t xml:space="preserve">Nota: Times de alta performance não surgem por acaso, são construídos com clareza de expectativa, feedback e reconhecimento.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headerReference r:id="rId7" w:type="default"/>
      <w:pgSz w:h="16838" w:w="11906" w:orient="portrait"/>
      <w:pgMar w:bottom="1134" w:top="1247" w:left="1134" w:right="113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Arial"/>
  <w:font w:name="Arial Unicode MS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E">
    <w:pPr>
      <w:rPr/>
    </w:pPr>
    <w:r w:rsidDel="00000000" w:rsidR="00000000" w:rsidRPr="00000000">
      <w:rPr/>
      <w:drawing>
        <wp:inline distB="114300" distT="114300" distL="114300" distR="114300">
          <wp:extent cx="1911049" cy="623888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911049" cy="623888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jOBXqXJpDoNS7Nvvyf4Wi35pyTQ==">CgMxLjAaJAoBMBIfCh0IB0IZCgVBcmlhbBIQQXJpYWwgVW5pY29kZSBNUzgAciExTDc3R2tOeXZacDRwLTA0cElFZVlKVnp0amVXVi00RGQ=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