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TRAÇÃO / RECEITA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SC16 · Fundraising Avançado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Tração / Receita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10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Rodadas maiores (Série B e C) exigem governança, transparência e narrativa de escala.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organiza o relacionamento contínuo com investidores, o Data Room completo e auditável e o plano de IR (Investor Relations) para a captação de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10.0" w:type="dxa"/>
        <w:jc w:val="left"/>
        <w:tblInd w:w="-120.0" w:type="dxa"/>
        <w:tblLayout w:type="fixed"/>
        <w:tblLook w:val="0400"/>
      </w:tblPr>
      <w:tblGrid>
        <w:gridCol w:w="3885"/>
        <w:gridCol w:w="5925"/>
        <w:tblGridChange w:id="0">
          <w:tblGrid>
            <w:gridCol w:w="3885"/>
            <w:gridCol w:w="592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Tese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Por que um investidor institucional deveria investir agora e não aguardar mais 12 meses?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Uso do Capital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destino de cada real do aporte está mapeado com metas e prazos definidos?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Data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Toda a documentação está organizada, atualizada e pronta para due diligence em 48 horas?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Pipeline de Investidores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Gerencie o pipeline de fundos como um funil de vendas. Cada investidor é uma oportunidade com estágio, responsável e próximo passo.</w:t>
      </w: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Ind w:w="-80.0" w:type="dxa"/>
        <w:tblLayout w:type="fixed"/>
        <w:tblLook w:val="0400"/>
      </w:tblPr>
      <w:tblGrid>
        <w:gridCol w:w="1928"/>
        <w:gridCol w:w="1928"/>
        <w:gridCol w:w="1928"/>
        <w:gridCol w:w="1928"/>
        <w:gridCol w:w="1928"/>
        <w:tblGridChange w:id="0">
          <w:tblGrid>
            <w:gridCol w:w="1928"/>
            <w:gridCol w:w="1928"/>
            <w:gridCol w:w="1928"/>
            <w:gridCol w:w="1928"/>
            <w:gridCol w:w="1928"/>
          </w:tblGrid>
        </w:tblGridChange>
      </w:tblGrid>
      <w:tr>
        <w:trPr>
          <w:cantSplit w:val="0"/>
          <w:trHeight w:val="3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FUNDO / INVESTIDOR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ESTÁGIO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FIT COM A TESE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PRÓXIMO 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80.0" w:type="dxa"/>
              <w:bottom w:w="7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0de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5.0000000000001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8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Checklist de Data Room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Organize por categoria. Um Data Room incompleto atrasa a due diligence e pode inviabilizar a rodada.</w:t>
      </w:r>
      <w:r w:rsidDel="00000000" w:rsidR="00000000" w:rsidRPr="00000000">
        <w:rPr>
          <w:rtl w:val="0"/>
        </w:rPr>
      </w:r>
    </w:p>
    <w:tbl>
      <w:tblPr>
        <w:tblStyle w:val="Table4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Societário e Legal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Contrato/Estatuto Social atualizado e registrado na Junta Comercial.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Cap Table completo com histórico de todas as rodadas e grants de equity.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Acordos de sócios e shareholders agreements atualizados.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Atas de reuniões do board dos últimos 12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Registros de propriedade intelectual: marca, patentes, código-fonte.</w:t>
            </w:r>
          </w:p>
          <w:p w:rsidR="00000000" w:rsidDel="00000000" w:rsidP="00000000" w:rsidRDefault="00000000" w:rsidRPr="00000000" w14:paraId="00000041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4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Financeiro e Fiscal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9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Demonstrativos financeiros auditados (ou revisados) dos últimos 2 anos.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Modelo financeiro de 5 anos com premissas documentadas (3 cenários).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Extratos bancários e fluxo de caixa dos últimos 6 meses.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Certidões fiscais negativas federais, estaduais e municipais.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Contratos com investidores anteriores e notas conversíveis.</w:t>
            </w:r>
          </w:p>
          <w:p w:rsidR="00000000" w:rsidDel="00000000" w:rsidP="00000000" w:rsidRDefault="00000000" w:rsidRPr="00000000" w14:paraId="00000049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4A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Produto, Dados e Compliance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Documentação técnica da arquitetura e stack tecnológico.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Relatório de testes de segurança e penetração (pentest).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Política de Privacidade e adequação à LGPD documentada.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KPIs de produto: MRR, ARR, churn, NPS, DAU/MAU, cohort.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Contratos com os 10 maiores clientes.</w:t>
            </w:r>
          </w:p>
          <w:p w:rsidR="00000000" w:rsidDel="00000000" w:rsidP="00000000" w:rsidRDefault="00000000" w:rsidRPr="00000000" w14:paraId="00000051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5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RH e Organização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5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Organograma atualizado com todos os colaboradores e cargos.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Contratos de trabalho dos executivos e cláusulas de non-compete.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after="0" w:before="14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Plano de ESOP e vesting agreements.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☐  eNPS e métricas de engajamento do time.</w:t>
            </w:r>
          </w:p>
          <w:p w:rsidR="00000000" w:rsidDel="00000000" w:rsidP="00000000" w:rsidRDefault="00000000" w:rsidRPr="00000000" w14:paraId="00000058">
            <w:pPr>
              <w:spacing w:after="0" w:before="14" w:lineRule="auto"/>
              <w:rPr>
                <w:rFonts w:ascii="Arial" w:cs="Arial" w:eastAsia="Arial" w:hAnsi="Arial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</w:p>
        </w:tc>
      </w:tr>
    </w:tbl>
    <w:p w:rsidR="00000000" w:rsidDel="00000000" w:rsidP="00000000" w:rsidRDefault="00000000" w:rsidRPr="00000000" w14:paraId="00000059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Plano de IR - Investor Relations</w:t>
      </w: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 de Report para Investidores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8"/>
                <w:szCs w:val="18"/>
                <w:rtl w:val="0"/>
              </w:rPr>
              <w:t xml:space="preserve">Frequência e estrutura do reporte de resultados.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3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3ebda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Frequência: ☐ Mensal  ☐ Trimestral  |  Formato: ☐ Deck  ☐ Dashboard  ☐ Memo</w:t>
              <w:br w:type="textWrapping"/>
              <w:t xml:space="preserve">Métricas incluídas: MRR, churn, pipeline, runway, burn rate, OKRs do ciclo.</w:t>
              <w:br w:type="textWrapping"/>
              <w:t xml:space="preserve">Responsável pelo reporte: _______________  |  Data de envio: _______________ do mês</w:t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14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Observeções: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9"/>
        <w:tblW w:w="9990.0" w:type="dxa"/>
        <w:jc w:val="left"/>
        <w:tblInd w:w="-260.0" w:type="dxa"/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fe8d6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NA ESTRATÉGIA DE FUNDRAISING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Data Room Sempre Atualizado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Data Room atualizado continuamente, não apenas quando a rodada começa. 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Due Diligence</w:t>
            </w: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 de 48h é possível com organização prévia.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Relacionamento Contínuo com Investidores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Construa o relacionamento antes de precisar do capital. Investidores que conhecem a empresa há 6 meses fecham rodadas mais rápido.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fundraising à estratégia de Parcerias e Ecossistema (SC17) - alguns parceiros estratégicos são também investidores potenciais.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A melhor hora para captar é quando você não precisa. A segunda melhor hora é quando você está preparado.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/2bNGBW1ONO7uVTuRAV8rcr6ww==">CgMxLjA4AHIhMXNrNmR6blNNRTJYSktDa3Vlb3FGc25uMlJHdDNpR3FT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