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6AED1" w14:textId="6408BA23" w:rsidR="00C468A7" w:rsidRPr="00346AC2" w:rsidRDefault="00C468A7" w:rsidP="00346AC2">
      <w:pPr>
        <w:spacing w:after="0"/>
        <w:jc w:val="center"/>
        <w:rPr>
          <w:rFonts w:asciiTheme="minorBidi" w:eastAsia="Times New Roman" w:hAnsiTheme="minorBidi"/>
          <w:b/>
          <w:bCs/>
          <w:kern w:val="36"/>
          <w:sz w:val="36"/>
          <w:szCs w:val="36"/>
          <w:u w:val="single"/>
          <w:rtl/>
          <w14:ligatures w14:val="none"/>
        </w:rPr>
      </w:pPr>
      <w:r w:rsidRPr="00346AC2">
        <w:rPr>
          <w:rFonts w:asciiTheme="minorBidi" w:eastAsia="Times New Roman" w:hAnsiTheme="minorBidi"/>
          <w:b/>
          <w:bCs/>
          <w:kern w:val="36"/>
          <w:sz w:val="36"/>
          <w:szCs w:val="36"/>
          <w:u w:val="single"/>
          <w14:ligatures w14:val="none"/>
        </w:rPr>
        <w:t>Detailed List of Tables in SQLite Database</w:t>
      </w:r>
    </w:p>
    <w:p w14:paraId="632E92B8" w14:textId="77777777" w:rsidR="00346AC2" w:rsidRPr="00346AC2" w:rsidRDefault="00346AC2" w:rsidP="00C468A7">
      <w:pPr>
        <w:spacing w:after="0"/>
        <w:rPr>
          <w:rFonts w:asciiTheme="minorBidi" w:eastAsia="Times New Roman" w:hAnsiTheme="minorBidi"/>
          <w:kern w:val="36"/>
          <w:u w:val="single"/>
          <w14:ligatures w14:val="none"/>
        </w:rPr>
      </w:pPr>
    </w:p>
    <w:p w14:paraId="62FD62F6" w14:textId="526D7144" w:rsidR="00C468A7" w:rsidRPr="00346AC2" w:rsidRDefault="00C468A7" w:rsidP="00C468A7">
      <w:pPr>
        <w:spacing w:after="0"/>
        <w:rPr>
          <w:rFonts w:asciiTheme="minorBidi" w:eastAsia="Times New Roman" w:hAnsiTheme="minorBidi"/>
          <w:b/>
          <w:bCs/>
          <w:kern w:val="36"/>
          <w:u w:val="single"/>
          <w:rtl/>
          <w14:ligatures w14:val="none"/>
        </w:rPr>
      </w:pPr>
      <w:r w:rsidRPr="00346AC2">
        <w:rPr>
          <w:rFonts w:asciiTheme="minorBidi" w:eastAsia="Times New Roman" w:hAnsiTheme="minorBidi"/>
          <w:b/>
          <w:bCs/>
          <w:kern w:val="36"/>
          <w:u w:val="single"/>
          <w14:ligatures w14:val="none"/>
        </w:rPr>
        <w:t>1</w:t>
      </w:r>
      <w:r w:rsidRPr="00346AC2">
        <w:rPr>
          <w:rFonts w:asciiTheme="minorBidi" w:eastAsia="Times New Roman" w:hAnsiTheme="minorBidi"/>
          <w:b/>
          <w:bCs/>
          <w:kern w:val="36"/>
          <w:u w:val="single"/>
          <w:rtl/>
          <w14:ligatures w14:val="none"/>
        </w:rPr>
        <w:t xml:space="preserve">. </w:t>
      </w:r>
      <w:r w:rsidRPr="00346AC2">
        <w:rPr>
          <w:rFonts w:asciiTheme="minorBidi" w:eastAsia="Times New Roman" w:hAnsiTheme="minorBidi"/>
          <w:b/>
          <w:bCs/>
          <w:kern w:val="36"/>
          <w:u w:val="single"/>
          <w14:ligatures w14:val="none"/>
        </w:rPr>
        <w:t>Transactions by Month</w:t>
      </w:r>
      <w:r w:rsidRPr="00346AC2">
        <w:rPr>
          <w:rFonts w:asciiTheme="minorBidi" w:eastAsia="Times New Roman" w:hAnsiTheme="minorBidi"/>
          <w:b/>
          <w:bCs/>
          <w:kern w:val="36"/>
          <w:u w:val="single"/>
          <w:rtl/>
          <w14:ligatures w14:val="none"/>
        </w:rPr>
        <w:t xml:space="preserve"> (עסקאות לפי חודש)</w:t>
      </w:r>
      <w:r w:rsidR="00346AC2">
        <w:rPr>
          <w:rFonts w:asciiTheme="minorBidi" w:eastAsia="Times New Roman" w:hAnsiTheme="minorBidi"/>
          <w:b/>
          <w:bCs/>
          <w:kern w:val="36"/>
          <w:u w:val="single"/>
          <w:rtl/>
          <w14:ligatures w14:val="none"/>
        </w:rPr>
        <w:br/>
      </w:r>
    </w:p>
    <w:p w14:paraId="2DCA6BCF" w14:textId="0C2247BE"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שורות: 12</w:t>
      </w:r>
    </w:p>
    <w:p w14:paraId="4996A204" w14:textId="1FD620BE"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עמודות: 2 (חודש, מספר עסקאות)</w:t>
      </w:r>
    </w:p>
    <w:p w14:paraId="32D247AC" w14:textId="10389506"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תוכן: מספר עסקאות הנדל"ן שבוצעו בכל חודש</w:t>
      </w:r>
    </w:p>
    <w:p w14:paraId="4814719E" w14:textId="5B9A16CE"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מטרה: טבלה זו מאפשרת ניתוח של דפוסים עונתיים ושיאים בנפח העסקאות לאורך השנה. היא עוזרת לזהות אילו חודשים הם העמוסים ביותר בעסקאות נדל"ן, מידע שיכול להיות בעל ערך רב לתזמון שוק ולהקצאת משאבים. ניתן להשתמש בנתונים אלה כדי לתכנן אסטרטגיות שיווק, לנהל כוח אדם, ולהבין את הדינמיקה העונתית של שוק הנדל"ן.</w:t>
      </w:r>
      <w:r w:rsidR="00346AC2" w:rsidRPr="00346AC2">
        <w:rPr>
          <w:rFonts w:asciiTheme="minorBidi" w:eastAsia="Times New Roman" w:hAnsiTheme="minorBidi"/>
          <w:kern w:val="36"/>
          <w:rtl/>
          <w14:ligatures w14:val="none"/>
        </w:rPr>
        <w:br/>
      </w:r>
    </w:p>
    <w:p w14:paraId="535795F6" w14:textId="4B9F0EB3" w:rsidR="00C468A7" w:rsidRPr="00346AC2" w:rsidRDefault="00C468A7" w:rsidP="00C468A7">
      <w:pPr>
        <w:spacing w:after="0"/>
        <w:rPr>
          <w:rFonts w:asciiTheme="minorBidi" w:eastAsia="Times New Roman" w:hAnsiTheme="minorBidi"/>
          <w:b/>
          <w:bCs/>
          <w:kern w:val="36"/>
          <w:u w:val="single"/>
          <w:rtl/>
          <w14:ligatures w14:val="none"/>
        </w:rPr>
      </w:pPr>
      <w:r w:rsidRPr="00346AC2">
        <w:rPr>
          <w:rFonts w:asciiTheme="minorBidi" w:eastAsia="Times New Roman" w:hAnsiTheme="minorBidi"/>
          <w:b/>
          <w:bCs/>
          <w:kern w:val="36"/>
          <w:u w:val="single"/>
          <w14:ligatures w14:val="none"/>
        </w:rPr>
        <w:t>2</w:t>
      </w:r>
      <w:r w:rsidRPr="00346AC2">
        <w:rPr>
          <w:rFonts w:asciiTheme="minorBidi" w:eastAsia="Times New Roman" w:hAnsiTheme="minorBidi"/>
          <w:b/>
          <w:bCs/>
          <w:kern w:val="36"/>
          <w:u w:val="single"/>
          <w:rtl/>
          <w14:ligatures w14:val="none"/>
        </w:rPr>
        <w:t xml:space="preserve">. </w:t>
      </w:r>
      <w:r w:rsidRPr="00346AC2">
        <w:rPr>
          <w:rFonts w:asciiTheme="minorBidi" w:eastAsia="Times New Roman" w:hAnsiTheme="minorBidi"/>
          <w:b/>
          <w:bCs/>
          <w:kern w:val="36"/>
          <w:u w:val="single"/>
          <w14:ligatures w14:val="none"/>
        </w:rPr>
        <w:t>Average Price by Type and Status</w:t>
      </w:r>
      <w:r w:rsidRPr="00346AC2">
        <w:rPr>
          <w:rFonts w:asciiTheme="minorBidi" w:eastAsia="Times New Roman" w:hAnsiTheme="minorBidi"/>
          <w:b/>
          <w:bCs/>
          <w:kern w:val="36"/>
          <w:u w:val="single"/>
          <w:rtl/>
          <w14:ligatures w14:val="none"/>
        </w:rPr>
        <w:t xml:space="preserve"> (מחיר ממוצע לפי סוג וסטטוס)</w:t>
      </w:r>
      <w:r w:rsidR="00346AC2">
        <w:rPr>
          <w:rFonts w:asciiTheme="minorBidi" w:eastAsia="Times New Roman" w:hAnsiTheme="minorBidi"/>
          <w:b/>
          <w:bCs/>
          <w:kern w:val="36"/>
          <w:u w:val="single"/>
          <w:rtl/>
          <w14:ligatures w14:val="none"/>
        </w:rPr>
        <w:br/>
      </w:r>
    </w:p>
    <w:p w14:paraId="6220D6DB" w14:textId="0B06F233"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שורות: 10</w:t>
      </w:r>
    </w:p>
    <w:p w14:paraId="20DF7D41" w14:textId="37374251"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עמודות: 3 (סוג הנכס, סטטוס חדש/ישן, מחיר ממוצע)</w:t>
      </w:r>
    </w:p>
    <w:p w14:paraId="38D4FD75" w14:textId="39109DA4"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תוכן: מחירי נכסים ממוצעים המסווגים לפי סוג הנכס וסטטוס חדש/ישן</w:t>
      </w:r>
    </w:p>
    <w:p w14:paraId="5E0C38FC" w14:textId="556BC70C"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מטרה: טבלה זו מאפשרת השוואה של ערכי נכסים בין סוגים שונים ובין נכסים חדשים וישנים. היא שימושית להבנת פרמיות המחיר עבור נכסים חדשים וערכים יחסיים של סוגי נכסים שונים. מידע זה יכול לסייע למשקיעים, קבלנים, ומתווכים בקבלת החלטות מושכלות לגבי איזה סוג נכסים לרכוש, לבנות, או לשווק. כמו כן, היא מספקת תובנות לגבי העדפות השוק וערך יחסי של נכסים חדשים לעומת ישנים.</w:t>
      </w:r>
      <w:r w:rsidR="00346AC2" w:rsidRPr="00346AC2">
        <w:rPr>
          <w:rFonts w:asciiTheme="minorBidi" w:eastAsia="Times New Roman" w:hAnsiTheme="minorBidi"/>
          <w:kern w:val="36"/>
          <w:rtl/>
          <w14:ligatures w14:val="none"/>
        </w:rPr>
        <w:br/>
      </w:r>
    </w:p>
    <w:p w14:paraId="15F30054" w14:textId="3003D06E" w:rsidR="00C468A7" w:rsidRPr="00346AC2" w:rsidRDefault="00C468A7" w:rsidP="00C468A7">
      <w:pPr>
        <w:spacing w:after="0"/>
        <w:rPr>
          <w:rFonts w:asciiTheme="minorBidi" w:eastAsia="Times New Roman" w:hAnsiTheme="minorBidi"/>
          <w:b/>
          <w:bCs/>
          <w:kern w:val="36"/>
          <w:u w:val="single"/>
          <w:rtl/>
          <w14:ligatures w14:val="none"/>
        </w:rPr>
      </w:pPr>
      <w:r w:rsidRPr="00346AC2">
        <w:rPr>
          <w:rFonts w:asciiTheme="minorBidi" w:eastAsia="Times New Roman" w:hAnsiTheme="minorBidi"/>
          <w:b/>
          <w:bCs/>
          <w:kern w:val="36"/>
          <w:u w:val="single"/>
          <w14:ligatures w14:val="none"/>
        </w:rPr>
        <w:t>3</w:t>
      </w:r>
      <w:r w:rsidRPr="00346AC2">
        <w:rPr>
          <w:rFonts w:asciiTheme="minorBidi" w:eastAsia="Times New Roman" w:hAnsiTheme="minorBidi"/>
          <w:b/>
          <w:bCs/>
          <w:kern w:val="36"/>
          <w:u w:val="single"/>
          <w:rtl/>
          <w14:ligatures w14:val="none"/>
        </w:rPr>
        <w:t xml:space="preserve">. </w:t>
      </w:r>
      <w:r w:rsidRPr="00346AC2">
        <w:rPr>
          <w:rFonts w:asciiTheme="minorBidi" w:eastAsia="Times New Roman" w:hAnsiTheme="minorBidi"/>
          <w:b/>
          <w:bCs/>
          <w:kern w:val="36"/>
          <w:u w:val="single"/>
          <w14:ligatures w14:val="none"/>
        </w:rPr>
        <w:t>Average Price by Year</w:t>
      </w:r>
      <w:r w:rsidRPr="00346AC2">
        <w:rPr>
          <w:rFonts w:asciiTheme="minorBidi" w:eastAsia="Times New Roman" w:hAnsiTheme="minorBidi"/>
          <w:b/>
          <w:bCs/>
          <w:kern w:val="36"/>
          <w:u w:val="single"/>
          <w:rtl/>
          <w14:ligatures w14:val="none"/>
        </w:rPr>
        <w:t xml:space="preserve"> (מחיר ממוצע לפי שנה)</w:t>
      </w:r>
      <w:r w:rsidR="00346AC2">
        <w:rPr>
          <w:rFonts w:asciiTheme="minorBidi" w:eastAsia="Times New Roman" w:hAnsiTheme="minorBidi"/>
          <w:b/>
          <w:bCs/>
          <w:kern w:val="36"/>
          <w:u w:val="single"/>
          <w:rtl/>
          <w14:ligatures w14:val="none"/>
        </w:rPr>
        <w:br/>
      </w:r>
    </w:p>
    <w:p w14:paraId="266055C2" w14:textId="18E383A9"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שורות: 23</w:t>
      </w:r>
    </w:p>
    <w:p w14:paraId="58C6B2A4" w14:textId="434668EF"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עמודות: 3 (אינדקס, שנה, מחיר ממוצע)</w:t>
      </w:r>
    </w:p>
    <w:p w14:paraId="59C01C23" w14:textId="65512769"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תוכן: מחירי נכסים ממוצעים משנת 1995 עד 2017</w:t>
      </w:r>
    </w:p>
    <w:p w14:paraId="3A044D65" w14:textId="327D7C38"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מטרה: טבלה זו מספקת מבט היסטורי על מגמות מחירי הנדל"ן לאורך תקופה של 23 שנים. היא חיונית להבנת מגמות שוק ארוכות טווח, זיהוי תקופות של צמיחה או ירידה, וחיזוי מגמות עתידיות. ניתוח זה יכול לסייע בהבנת השפעות של אירועים כלכליים גדולים, שינויי מדיניות, ותנודות בשוק על מחירי הנדל"ן לאורך זמן. זהו כלי חשוב למשקיעים ארוכי טווח, מתכנני מדיניות, וחוקרי שוק.</w:t>
      </w:r>
      <w:r w:rsidR="00346AC2" w:rsidRPr="00346AC2">
        <w:rPr>
          <w:rFonts w:asciiTheme="minorBidi" w:eastAsia="Times New Roman" w:hAnsiTheme="minorBidi"/>
          <w:kern w:val="36"/>
          <w:rtl/>
          <w14:ligatures w14:val="none"/>
        </w:rPr>
        <w:br/>
      </w:r>
    </w:p>
    <w:p w14:paraId="5219FDFF" w14:textId="1D5FD8EA" w:rsidR="00C468A7" w:rsidRPr="00346AC2" w:rsidRDefault="00C468A7" w:rsidP="00C468A7">
      <w:pPr>
        <w:spacing w:after="0"/>
        <w:rPr>
          <w:rFonts w:asciiTheme="minorBidi" w:eastAsia="Times New Roman" w:hAnsiTheme="minorBidi"/>
          <w:b/>
          <w:bCs/>
          <w:kern w:val="36"/>
          <w:u w:val="single"/>
          <w:rtl/>
          <w14:ligatures w14:val="none"/>
        </w:rPr>
      </w:pPr>
      <w:r w:rsidRPr="00346AC2">
        <w:rPr>
          <w:rFonts w:asciiTheme="minorBidi" w:eastAsia="Times New Roman" w:hAnsiTheme="minorBidi"/>
          <w:b/>
          <w:bCs/>
          <w:kern w:val="36"/>
          <w:u w:val="single"/>
          <w14:ligatures w14:val="none"/>
        </w:rPr>
        <w:t>4</w:t>
      </w:r>
      <w:r w:rsidRPr="00346AC2">
        <w:rPr>
          <w:rFonts w:asciiTheme="minorBidi" w:eastAsia="Times New Roman" w:hAnsiTheme="minorBidi"/>
          <w:b/>
          <w:bCs/>
          <w:kern w:val="36"/>
          <w:u w:val="single"/>
          <w:rtl/>
          <w14:ligatures w14:val="none"/>
        </w:rPr>
        <w:t xml:space="preserve">. </w:t>
      </w:r>
      <w:r w:rsidRPr="00346AC2">
        <w:rPr>
          <w:rFonts w:asciiTheme="minorBidi" w:eastAsia="Times New Roman" w:hAnsiTheme="minorBidi"/>
          <w:b/>
          <w:bCs/>
          <w:kern w:val="36"/>
          <w:u w:val="single"/>
          <w14:ligatures w14:val="none"/>
        </w:rPr>
        <w:t>Price Changes</w:t>
      </w:r>
      <w:r w:rsidRPr="00346AC2">
        <w:rPr>
          <w:rFonts w:asciiTheme="minorBidi" w:eastAsia="Times New Roman" w:hAnsiTheme="minorBidi"/>
          <w:b/>
          <w:bCs/>
          <w:kern w:val="36"/>
          <w:u w:val="single"/>
          <w:rtl/>
          <w14:ligatures w14:val="none"/>
        </w:rPr>
        <w:t xml:space="preserve"> (שינויי מחירים)</w:t>
      </w:r>
      <w:r w:rsidR="00346AC2">
        <w:rPr>
          <w:rFonts w:asciiTheme="minorBidi" w:eastAsia="Times New Roman" w:hAnsiTheme="minorBidi"/>
          <w:b/>
          <w:bCs/>
          <w:kern w:val="36"/>
          <w:u w:val="single"/>
          <w:rtl/>
          <w14:ligatures w14:val="none"/>
        </w:rPr>
        <w:br/>
      </w:r>
    </w:p>
    <w:p w14:paraId="4A320577" w14:textId="13684189"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שורות: 10</w:t>
      </w:r>
    </w:p>
    <w:p w14:paraId="7C087A4C" w14:textId="50F8ABF4"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עמודות: 5 (אינדקס, תאריך, מחיר נוכחי, מחיר קודם, סכום השינוי, אחוז השינוי)</w:t>
      </w:r>
    </w:p>
    <w:p w14:paraId="6C48AE2B" w14:textId="5CBFD7FA"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תוכן: תקופות עם שינויים חדים במחירי נכסים</w:t>
      </w:r>
    </w:p>
    <w:p w14:paraId="3B4E8B80" w14:textId="319FEE1E"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מטרה: טבלה זו מדגישה תקופות של תנודתיות משמעותית במחירים בשוק הנדל"ן. היא שימושית לזיהוי וניתוח של שינויים גדולים בשוק, אשר יכולים להיות קשורים לאירועים כלכליים או שינויי מדיניות. מידע זה חיוני למשקיעים ואנליסטים המעוניינים להבין את הגורמים לתנודות חדות בשוק ולחזות תנודות עתידיות. כמו כן, היא יכולה לסייע בזיהוי נקודות כניסה או יציאה אופטימליות בשוק הנדל"ן.</w:t>
      </w:r>
      <w:r w:rsidR="00590A14">
        <w:rPr>
          <w:rFonts w:asciiTheme="minorBidi" w:eastAsia="Times New Roman" w:hAnsiTheme="minorBidi"/>
          <w:kern w:val="36"/>
          <w:rtl/>
          <w14:ligatures w14:val="none"/>
        </w:rPr>
        <w:br/>
      </w:r>
      <w:r w:rsidR="00590A14">
        <w:rPr>
          <w:rFonts w:asciiTheme="minorBidi" w:eastAsia="Times New Roman" w:hAnsiTheme="minorBidi"/>
          <w:kern w:val="36"/>
          <w:rtl/>
          <w14:ligatures w14:val="none"/>
        </w:rPr>
        <w:br/>
      </w:r>
      <w:r w:rsidR="00590A14">
        <w:rPr>
          <w:rFonts w:asciiTheme="minorBidi" w:eastAsia="Times New Roman" w:hAnsiTheme="minorBidi"/>
          <w:kern w:val="36"/>
          <w:rtl/>
          <w14:ligatures w14:val="none"/>
        </w:rPr>
        <w:br/>
      </w:r>
      <w:r w:rsidR="00590A14">
        <w:rPr>
          <w:rFonts w:asciiTheme="minorBidi" w:eastAsia="Times New Roman" w:hAnsiTheme="minorBidi"/>
          <w:kern w:val="36"/>
          <w:rtl/>
          <w14:ligatures w14:val="none"/>
        </w:rPr>
        <w:br/>
      </w:r>
      <w:r w:rsidR="00590A14">
        <w:rPr>
          <w:rFonts w:asciiTheme="minorBidi" w:eastAsia="Times New Roman" w:hAnsiTheme="minorBidi"/>
          <w:kern w:val="36"/>
          <w:rtl/>
          <w14:ligatures w14:val="none"/>
        </w:rPr>
        <w:br/>
      </w:r>
      <w:r w:rsidR="00590A14">
        <w:rPr>
          <w:rFonts w:asciiTheme="minorBidi" w:eastAsia="Times New Roman" w:hAnsiTheme="minorBidi"/>
          <w:kern w:val="36"/>
          <w:rtl/>
          <w14:ligatures w14:val="none"/>
        </w:rPr>
        <w:br/>
      </w:r>
      <w:r w:rsidR="00346AC2" w:rsidRPr="00346AC2">
        <w:rPr>
          <w:rFonts w:asciiTheme="minorBidi" w:eastAsia="Times New Roman" w:hAnsiTheme="minorBidi"/>
          <w:kern w:val="36"/>
          <w:rtl/>
          <w14:ligatures w14:val="none"/>
        </w:rPr>
        <w:br/>
      </w:r>
    </w:p>
    <w:p w14:paraId="4F4A8C49" w14:textId="5F7EC8E4" w:rsidR="00C468A7" w:rsidRPr="00590A14" w:rsidRDefault="00C468A7" w:rsidP="00C468A7">
      <w:pPr>
        <w:spacing w:after="0"/>
        <w:rPr>
          <w:rFonts w:asciiTheme="minorBidi" w:eastAsia="Times New Roman" w:hAnsiTheme="minorBidi"/>
          <w:b/>
          <w:bCs/>
          <w:kern w:val="36"/>
          <w:u w:val="single"/>
          <w:rtl/>
          <w14:ligatures w14:val="none"/>
        </w:rPr>
      </w:pPr>
      <w:r w:rsidRPr="00590A14">
        <w:rPr>
          <w:rFonts w:asciiTheme="minorBidi" w:eastAsia="Times New Roman" w:hAnsiTheme="minorBidi"/>
          <w:b/>
          <w:bCs/>
          <w:kern w:val="36"/>
          <w:u w:val="single"/>
          <w14:ligatures w14:val="none"/>
        </w:rPr>
        <w:lastRenderedPageBreak/>
        <w:t>5</w:t>
      </w:r>
      <w:r w:rsidRPr="00590A14">
        <w:rPr>
          <w:rFonts w:asciiTheme="minorBidi" w:eastAsia="Times New Roman" w:hAnsiTheme="minorBidi"/>
          <w:b/>
          <w:bCs/>
          <w:kern w:val="36"/>
          <w:u w:val="single"/>
          <w:rtl/>
          <w14:ligatures w14:val="none"/>
        </w:rPr>
        <w:t xml:space="preserve">. </w:t>
      </w:r>
      <w:r w:rsidRPr="00590A14">
        <w:rPr>
          <w:rFonts w:asciiTheme="minorBidi" w:eastAsia="Times New Roman" w:hAnsiTheme="minorBidi"/>
          <w:b/>
          <w:bCs/>
          <w:kern w:val="36"/>
          <w:u w:val="single"/>
          <w14:ligatures w14:val="none"/>
        </w:rPr>
        <w:t>Top Cities with Highest Price Increase</w:t>
      </w:r>
      <w:r w:rsidRPr="00590A14">
        <w:rPr>
          <w:rFonts w:asciiTheme="minorBidi" w:eastAsia="Times New Roman" w:hAnsiTheme="minorBidi"/>
          <w:b/>
          <w:bCs/>
          <w:kern w:val="36"/>
          <w:u w:val="single"/>
          <w:rtl/>
          <w14:ligatures w14:val="none"/>
        </w:rPr>
        <w:t xml:space="preserve"> (1995 - 2017) (הערים עם העלייה הגבוהה ביותר במחירים 1995-2017)</w:t>
      </w:r>
      <w:r w:rsidR="00590A14">
        <w:rPr>
          <w:rFonts w:asciiTheme="minorBidi" w:eastAsia="Times New Roman" w:hAnsiTheme="minorBidi"/>
          <w:b/>
          <w:bCs/>
          <w:kern w:val="36"/>
          <w:u w:val="single"/>
          <w:rtl/>
          <w14:ligatures w14:val="none"/>
        </w:rPr>
        <w:br/>
      </w:r>
    </w:p>
    <w:p w14:paraId="79F49DBD" w14:textId="695F4CF7"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שורות: 10</w:t>
      </w:r>
    </w:p>
    <w:p w14:paraId="385457F8" w14:textId="23AF6947"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עמודות: 4 (אינדקס, עיר, מחיר ב-1995, מחיר ב-2017, עליית מחיר)</w:t>
      </w:r>
    </w:p>
    <w:p w14:paraId="16BF85C2" w14:textId="335E6B83"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תוכן: הערים שחוו את העלייה הגבוהה ביותר במחירי הנכסים הממוצעים בין 1995 ל-2017</w:t>
      </w:r>
    </w:p>
    <w:p w14:paraId="4C7B33F3" w14:textId="3CF0D5AA"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w:t>
      </w:r>
      <w:r w:rsidR="00346AC2" w:rsidRPr="00346AC2">
        <w:rPr>
          <w:rFonts w:asciiTheme="minorBidi" w:eastAsia="Times New Roman" w:hAnsiTheme="minorBidi"/>
          <w:kern w:val="36"/>
          <w:rtl/>
          <w14:ligatures w14:val="none"/>
        </w:rPr>
        <w:t xml:space="preserve"> </w:t>
      </w:r>
      <w:r w:rsidRPr="00346AC2">
        <w:rPr>
          <w:rFonts w:asciiTheme="minorBidi" w:eastAsia="Times New Roman" w:hAnsiTheme="minorBidi"/>
          <w:kern w:val="36"/>
          <w:rtl/>
          <w14:ligatures w14:val="none"/>
        </w:rPr>
        <w:t>מטרה: טבלה זו מזהה אזורים עם הצמיחה המשמעותית ביותר בערך הנכסים לטווח ארוך. היא בעלת ערך רב להבנת דינמיקות שוק אזוריות ולזיהוי פוטנציאלי של אזורים להשקעה. מידע זה יכול לסייע למשקיעים בזיהוי ערים עם פוטנציאל צמיחה גבוה, למתכנני ערים בהבנת דפוסי התפתחות עירונית, ולמקבלי החלטות בהערכת השפעות של מדיניות דיור ופיתוח על מחירי הנדל"ן לאורך זמן.</w:t>
      </w:r>
      <w:r w:rsidRPr="00346AC2">
        <w:rPr>
          <w:rFonts w:asciiTheme="minorBidi" w:eastAsia="Times New Roman" w:hAnsiTheme="minorBidi"/>
          <w:kern w:val="36"/>
          <w:rtl/>
          <w14:ligatures w14:val="none"/>
        </w:rPr>
        <w:br/>
      </w:r>
    </w:p>
    <w:p w14:paraId="2D84CE44" w14:textId="1DEDC46C" w:rsidR="00C468A7" w:rsidRPr="00590A14" w:rsidRDefault="00C468A7" w:rsidP="00C468A7">
      <w:pPr>
        <w:spacing w:after="0"/>
        <w:rPr>
          <w:rFonts w:asciiTheme="minorBidi" w:eastAsia="Times New Roman" w:hAnsiTheme="minorBidi"/>
          <w:b/>
          <w:bCs/>
          <w:kern w:val="36"/>
          <w:u w:val="single"/>
          <w:rtl/>
          <w14:ligatures w14:val="none"/>
        </w:rPr>
      </w:pPr>
      <w:r w:rsidRPr="00590A14">
        <w:rPr>
          <w:rFonts w:asciiTheme="minorBidi" w:eastAsia="Times New Roman" w:hAnsiTheme="minorBidi"/>
          <w:b/>
          <w:bCs/>
          <w:kern w:val="36"/>
          <w:u w:val="single"/>
          <w14:ligatures w14:val="none"/>
        </w:rPr>
        <w:t>6</w:t>
      </w:r>
      <w:r w:rsidRPr="00590A14">
        <w:rPr>
          <w:rFonts w:asciiTheme="minorBidi" w:eastAsia="Times New Roman" w:hAnsiTheme="minorBidi"/>
          <w:b/>
          <w:bCs/>
          <w:kern w:val="36"/>
          <w:u w:val="single"/>
          <w:rtl/>
          <w14:ligatures w14:val="none"/>
        </w:rPr>
        <w:t xml:space="preserve">. </w:t>
      </w:r>
      <w:r w:rsidRPr="00590A14">
        <w:rPr>
          <w:rFonts w:asciiTheme="minorBidi" w:eastAsia="Times New Roman" w:hAnsiTheme="minorBidi"/>
          <w:b/>
          <w:bCs/>
          <w:kern w:val="36"/>
          <w:u w:val="single"/>
          <w14:ligatures w14:val="none"/>
        </w:rPr>
        <w:t>Average Price by Property Type and County</w:t>
      </w:r>
      <w:r w:rsidRPr="00590A14">
        <w:rPr>
          <w:rFonts w:asciiTheme="minorBidi" w:eastAsia="Times New Roman" w:hAnsiTheme="minorBidi"/>
          <w:b/>
          <w:bCs/>
          <w:kern w:val="36"/>
          <w:u w:val="single"/>
          <w:rtl/>
          <w14:ligatures w14:val="none"/>
        </w:rPr>
        <w:t xml:space="preserve"> (מחיר ממוצע לפי סוג נכס ומחוז)</w:t>
      </w:r>
      <w:r w:rsidR="00590A14">
        <w:rPr>
          <w:rFonts w:asciiTheme="minorBidi" w:eastAsia="Times New Roman" w:hAnsiTheme="minorBidi"/>
          <w:b/>
          <w:bCs/>
          <w:kern w:val="36"/>
          <w:u w:val="single"/>
          <w:rtl/>
          <w14:ligatures w14:val="none"/>
        </w:rPr>
        <w:br/>
      </w:r>
    </w:p>
    <w:p w14:paraId="5AE9CA23" w14:textId="7160A2AD"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 שורות: 50+ (נתונים חלקיים)</w:t>
      </w:r>
    </w:p>
    <w:p w14:paraId="55FC8CD6" w14:textId="06F59D78"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 עמודות: 3 (מחוז, סוג נכס, מחיר ממוצע)</w:t>
      </w:r>
    </w:p>
    <w:p w14:paraId="54B3CBB4" w14:textId="451710DE"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 תוכן: מחירי נכסים ממוצעים המסווגים לפי סוג נכס ומחוז</w:t>
      </w:r>
    </w:p>
    <w:p w14:paraId="109A89B1" w14:textId="7E78E9F5" w:rsidR="00C468A7" w:rsidRPr="00346AC2" w:rsidRDefault="00C468A7" w:rsidP="00C468A7">
      <w:pPr>
        <w:spacing w:after="0"/>
        <w:rPr>
          <w:rFonts w:asciiTheme="minorBidi" w:eastAsia="Times New Roman" w:hAnsiTheme="minorBidi"/>
          <w:kern w:val="36"/>
          <w:rtl/>
          <w14:ligatures w14:val="none"/>
        </w:rPr>
      </w:pPr>
      <w:r w:rsidRPr="00346AC2">
        <w:rPr>
          <w:rFonts w:asciiTheme="minorBidi" w:eastAsia="Times New Roman" w:hAnsiTheme="minorBidi"/>
          <w:kern w:val="36"/>
          <w:rtl/>
          <w14:ligatures w14:val="none"/>
        </w:rPr>
        <w:t>• מטרה: טבלה זו מאפשרת ניתוח אזורי מפורט של ערכי נכסים בסוגים שונים. היא שימושית להשוואת שווקי נדל"ן באזורים שונים ולהבנת כיצד סוגי נכסים שונים מתומחרים במיקומים שונים. מידע זה חיוני למשקיעים המחפשים הזדמנויות בשווקים אזוריים ספציפיים, למתווכים המייעצים ללקוחות על מגמות מחירים אזוריות, ולמתכנני מדיניות הבוחנים פערי מחירים בין אזורים וסוגי נכסים שונים. הטבלה יכולה גם לסייע בזיהוי אזורים עם ערך יחסי גבוה או נמוך עבור סוגי נכסים מסוימים.</w:t>
      </w:r>
    </w:p>
    <w:p w14:paraId="7ED643FF" w14:textId="72153335" w:rsidR="009D74CA" w:rsidRDefault="009D74CA" w:rsidP="00C468A7">
      <w:pPr>
        <w:spacing w:after="0"/>
        <w:rPr>
          <w:rFonts w:asciiTheme="minorBidi" w:hAnsiTheme="minorBidi"/>
          <w:rtl/>
        </w:rPr>
      </w:pPr>
    </w:p>
    <w:p w14:paraId="2EB949A0" w14:textId="6839E541" w:rsidR="003419E3" w:rsidRDefault="003419E3" w:rsidP="003419E3">
      <w:pPr>
        <w:rPr>
          <w:rFonts w:asciiTheme="minorBidi" w:hAnsiTheme="minorBidi"/>
          <w:b/>
          <w:rtl/>
        </w:rPr>
      </w:pPr>
      <w:r>
        <w:rPr>
          <w:rFonts w:asciiTheme="minorBidi" w:hAnsiTheme="minorBidi" w:hint="cs"/>
          <w:bCs/>
          <w:u w:val="single"/>
          <w:rtl/>
        </w:rPr>
        <w:t xml:space="preserve">7. </w:t>
      </w:r>
      <w:proofErr w:type="spellStart"/>
      <w:r w:rsidRPr="003419E3">
        <w:rPr>
          <w:rFonts w:asciiTheme="minorBidi" w:hAnsiTheme="minorBidi"/>
          <w:b/>
          <w:u w:val="single"/>
        </w:rPr>
        <w:t>top_counties_by_year</w:t>
      </w:r>
      <w:proofErr w:type="spellEnd"/>
      <w:r w:rsidRPr="003419E3">
        <w:rPr>
          <w:rFonts w:asciiTheme="minorBidi" w:hAnsiTheme="minorBidi" w:hint="cs"/>
          <w:b/>
          <w:u w:val="single"/>
          <w:rtl/>
        </w:rPr>
        <w:t xml:space="preserve"> </w:t>
      </w:r>
      <w:r>
        <w:rPr>
          <w:rFonts w:asciiTheme="minorBidi" w:hAnsiTheme="minorBidi" w:hint="cs"/>
          <w:bCs/>
          <w:u w:val="single"/>
          <w:rtl/>
        </w:rPr>
        <w:t xml:space="preserve">(מחיר ממוצע לנכס עבור כל שנה לפי המחוזות </w:t>
      </w:r>
      <w:r>
        <w:rPr>
          <w:rFonts w:asciiTheme="minorBidi" w:hAnsiTheme="minorBidi"/>
          <w:bCs/>
          <w:u w:val="single"/>
          <w:rtl/>
        </w:rPr>
        <w:t>–</w:t>
      </w:r>
      <w:r>
        <w:rPr>
          <w:rFonts w:asciiTheme="minorBidi" w:hAnsiTheme="minorBidi" w:hint="cs"/>
          <w:bCs/>
          <w:u w:val="single"/>
          <w:rtl/>
        </w:rPr>
        <w:t xml:space="preserve"> </w:t>
      </w:r>
      <w:proofErr w:type="spellStart"/>
      <w:r>
        <w:rPr>
          <w:rFonts w:asciiTheme="minorBidi" w:hAnsiTheme="minorBidi" w:hint="cs"/>
          <w:bCs/>
          <w:u w:val="single"/>
          <w:rtl/>
        </w:rPr>
        <w:t>פייק</w:t>
      </w:r>
      <w:proofErr w:type="spellEnd"/>
      <w:r>
        <w:rPr>
          <w:rFonts w:asciiTheme="minorBidi" w:hAnsiTheme="minorBidi" w:hint="cs"/>
          <w:bCs/>
          <w:u w:val="single"/>
          <w:rtl/>
        </w:rPr>
        <w:t xml:space="preserve"> דאטה)</w:t>
      </w:r>
    </w:p>
    <w:p w14:paraId="30298099" w14:textId="77777777" w:rsidR="00C15848" w:rsidRPr="00C15848" w:rsidRDefault="00C15848" w:rsidP="00C15848">
      <w:pPr>
        <w:spacing w:after="0"/>
        <w:rPr>
          <w:rFonts w:asciiTheme="minorBidi" w:hAnsiTheme="minorBidi" w:cs="Arial"/>
          <w:b/>
          <w:rtl/>
        </w:rPr>
      </w:pPr>
      <w:r w:rsidRPr="00C15848">
        <w:rPr>
          <w:rFonts w:asciiTheme="minorBidi" w:hAnsiTheme="minorBidi" w:cs="Arial"/>
          <w:b/>
          <w:rtl/>
        </w:rPr>
        <w:t>• שורות: 11 (כל שורה מייצגת שנה בין 2014 ל-2024)</w:t>
      </w:r>
    </w:p>
    <w:p w14:paraId="43374B9E" w14:textId="77777777" w:rsidR="00C15848" w:rsidRPr="00C15848" w:rsidRDefault="00C15848" w:rsidP="00C15848">
      <w:pPr>
        <w:spacing w:after="0"/>
        <w:rPr>
          <w:rFonts w:asciiTheme="minorBidi" w:hAnsiTheme="minorBidi" w:cs="Arial"/>
          <w:b/>
          <w:rtl/>
        </w:rPr>
      </w:pPr>
      <w:r w:rsidRPr="00C15848">
        <w:rPr>
          <w:rFonts w:asciiTheme="minorBidi" w:hAnsiTheme="minorBidi" w:cs="Arial"/>
          <w:b/>
          <w:rtl/>
        </w:rPr>
        <w:t>• עמודות: 2 (שנה, מחוזות מובילים)</w:t>
      </w:r>
    </w:p>
    <w:p w14:paraId="3B5CC4AA" w14:textId="77777777" w:rsidR="00C15848" w:rsidRPr="00C15848" w:rsidRDefault="00C15848" w:rsidP="00C15848">
      <w:pPr>
        <w:spacing w:after="0"/>
        <w:rPr>
          <w:rFonts w:asciiTheme="minorBidi" w:hAnsiTheme="minorBidi" w:cs="Arial"/>
          <w:b/>
          <w:rtl/>
        </w:rPr>
      </w:pPr>
      <w:r w:rsidRPr="00C15848">
        <w:rPr>
          <w:rFonts w:asciiTheme="minorBidi" w:hAnsiTheme="minorBidi" w:cs="Arial"/>
          <w:b/>
          <w:rtl/>
        </w:rPr>
        <w:t>• תוכן: הטבלה מציגה את עשרת המחוזות עם מחירי הנדל"ן הממוצעים הגבוהים ביותר לכל שנה בין 2014 ל-2024. כל ערך בטבלה מורכב ממחוז ומחיר הנדל"ן הממוצע שלו לאותה שנה.</w:t>
      </w:r>
    </w:p>
    <w:p w14:paraId="72C3B250" w14:textId="70F1868C" w:rsidR="003419E3" w:rsidRPr="003419E3" w:rsidRDefault="00C15848" w:rsidP="00C15848">
      <w:pPr>
        <w:spacing w:after="0"/>
        <w:rPr>
          <w:rFonts w:asciiTheme="minorBidi" w:hAnsiTheme="minorBidi"/>
          <w:bCs/>
          <w:u w:val="single"/>
        </w:rPr>
      </w:pPr>
      <w:r w:rsidRPr="00C15848">
        <w:rPr>
          <w:rFonts w:asciiTheme="minorBidi" w:hAnsiTheme="minorBidi" w:cs="Arial"/>
          <w:b/>
          <w:rtl/>
        </w:rPr>
        <w:t>• מטרה: טבלה זו מאפשרת זיהוי של המחוזות היקרים ביותר בכל שנה לאורך התקופה הנסקרת. מידע זה שימושי לניתוח מגמות במחירי נדל"ן, לזיהוי אזורים בעלי ערך גבוה, ולמיקוד באזורים שבהם מחירי הנדל"ן הממוצעים הם הגבוהים ביותר. הנתונים יכולים לשמש משקיעים, מתכנני מדיניות, מתווכי נדל"ן, וכל המעורבים בתחום הנדל"ן לצורך קבלת החלטות מושכלות, חקר השוק והשוואת מחירים אזוריים לאורך הזמן.</w:t>
      </w:r>
    </w:p>
    <w:sectPr w:rsidR="003419E3" w:rsidRPr="003419E3" w:rsidSect="00CE1A6B">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750B5" w14:textId="77777777" w:rsidR="005E683C" w:rsidRDefault="005E683C" w:rsidP="00BF2CE1">
      <w:pPr>
        <w:spacing w:after="0" w:line="240" w:lineRule="auto"/>
      </w:pPr>
      <w:r>
        <w:separator/>
      </w:r>
    </w:p>
  </w:endnote>
  <w:endnote w:type="continuationSeparator" w:id="0">
    <w:p w14:paraId="36BF0738" w14:textId="77777777" w:rsidR="005E683C" w:rsidRDefault="005E683C" w:rsidP="00BF2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A8ACF" w14:textId="77777777" w:rsidR="005E683C" w:rsidRDefault="005E683C" w:rsidP="00BF2CE1">
      <w:pPr>
        <w:spacing w:after="0" w:line="240" w:lineRule="auto"/>
      </w:pPr>
      <w:r>
        <w:separator/>
      </w:r>
    </w:p>
  </w:footnote>
  <w:footnote w:type="continuationSeparator" w:id="0">
    <w:p w14:paraId="2FA14164" w14:textId="77777777" w:rsidR="005E683C" w:rsidRDefault="005E683C" w:rsidP="00BF2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B0501" w14:textId="77777777" w:rsidR="0016791D" w:rsidRPr="00216316" w:rsidRDefault="0016791D" w:rsidP="0016791D">
    <w:pPr>
      <w:pStyle w:val="Header"/>
    </w:pPr>
    <w:r w:rsidRPr="00216316">
      <w:rPr>
        <w:rFonts w:cs="Arial"/>
        <w:rtl/>
      </w:rPr>
      <w:t>מגישים: רתם קשאני 209073352 ודויד קופלב 208870279</w:t>
    </w:r>
  </w:p>
  <w:p w14:paraId="2E4B768B" w14:textId="77777777" w:rsidR="00BF2CE1" w:rsidRPr="0016791D" w:rsidRDefault="00BF2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B689E"/>
    <w:multiLevelType w:val="multilevel"/>
    <w:tmpl w:val="87A6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5056C"/>
    <w:multiLevelType w:val="multilevel"/>
    <w:tmpl w:val="5BB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91E58"/>
    <w:multiLevelType w:val="multilevel"/>
    <w:tmpl w:val="9898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D203B"/>
    <w:multiLevelType w:val="multilevel"/>
    <w:tmpl w:val="4E90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55C2B"/>
    <w:multiLevelType w:val="multilevel"/>
    <w:tmpl w:val="2B92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A3D33"/>
    <w:multiLevelType w:val="multilevel"/>
    <w:tmpl w:val="F640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52057"/>
    <w:multiLevelType w:val="multilevel"/>
    <w:tmpl w:val="E0E4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A6F6B"/>
    <w:multiLevelType w:val="multilevel"/>
    <w:tmpl w:val="4BD6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D7260"/>
    <w:multiLevelType w:val="multilevel"/>
    <w:tmpl w:val="3D5E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A70B5"/>
    <w:multiLevelType w:val="multilevel"/>
    <w:tmpl w:val="4320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236F7"/>
    <w:multiLevelType w:val="multilevel"/>
    <w:tmpl w:val="CCBE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20A21"/>
    <w:multiLevelType w:val="multilevel"/>
    <w:tmpl w:val="A47E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492360">
    <w:abstractNumId w:val="4"/>
  </w:num>
  <w:num w:numId="2" w16cid:durableId="1927611684">
    <w:abstractNumId w:val="7"/>
  </w:num>
  <w:num w:numId="3" w16cid:durableId="1838038820">
    <w:abstractNumId w:val="9"/>
  </w:num>
  <w:num w:numId="4" w16cid:durableId="723064721">
    <w:abstractNumId w:val="2"/>
  </w:num>
  <w:num w:numId="5" w16cid:durableId="1606882558">
    <w:abstractNumId w:val="5"/>
  </w:num>
  <w:num w:numId="6" w16cid:durableId="487399421">
    <w:abstractNumId w:val="3"/>
  </w:num>
  <w:num w:numId="7" w16cid:durableId="1654875242">
    <w:abstractNumId w:val="8"/>
  </w:num>
  <w:num w:numId="8" w16cid:durableId="1915119912">
    <w:abstractNumId w:val="1"/>
  </w:num>
  <w:num w:numId="9" w16cid:durableId="2013291870">
    <w:abstractNumId w:val="10"/>
  </w:num>
  <w:num w:numId="10" w16cid:durableId="823619500">
    <w:abstractNumId w:val="0"/>
  </w:num>
  <w:num w:numId="11" w16cid:durableId="190727689">
    <w:abstractNumId w:val="6"/>
  </w:num>
  <w:num w:numId="12" w16cid:durableId="1666720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DB"/>
    <w:rsid w:val="000010F6"/>
    <w:rsid w:val="000E076F"/>
    <w:rsid w:val="00137FB2"/>
    <w:rsid w:val="0016791D"/>
    <w:rsid w:val="003419E3"/>
    <w:rsid w:val="00346AC2"/>
    <w:rsid w:val="004073A7"/>
    <w:rsid w:val="00590A14"/>
    <w:rsid w:val="005E683C"/>
    <w:rsid w:val="00665C15"/>
    <w:rsid w:val="009171C2"/>
    <w:rsid w:val="009D74CA"/>
    <w:rsid w:val="00A62FA4"/>
    <w:rsid w:val="00AF3443"/>
    <w:rsid w:val="00BF2CE1"/>
    <w:rsid w:val="00C15848"/>
    <w:rsid w:val="00C468A7"/>
    <w:rsid w:val="00CE1A6B"/>
    <w:rsid w:val="00DA4017"/>
    <w:rsid w:val="00FA58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46ED"/>
  <w15:chartTrackingRefBased/>
  <w15:docId w15:val="{602CBFE2-FBF4-4031-AC68-18E4CBA5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9171C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171C2"/>
    <w:pPr>
      <w:bidi w:val="0"/>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FB2"/>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137FB2"/>
    <w:rPr>
      <w:b/>
      <w:bCs/>
    </w:rPr>
  </w:style>
  <w:style w:type="character" w:customStyle="1" w:styleId="Heading1Char">
    <w:name w:val="Heading 1 Char"/>
    <w:basedOn w:val="DefaultParagraphFont"/>
    <w:link w:val="Heading1"/>
    <w:uiPriority w:val="9"/>
    <w:rsid w:val="009171C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171C2"/>
    <w:rPr>
      <w:rFonts w:ascii="Times New Roman" w:eastAsia="Times New Roman" w:hAnsi="Times New Roman" w:cs="Times New Roman"/>
      <w:b/>
      <w:bCs/>
      <w:sz w:val="36"/>
      <w:szCs w:val="36"/>
      <w14:ligatures w14:val="none"/>
    </w:rPr>
  </w:style>
  <w:style w:type="paragraph" w:customStyle="1" w:styleId="whitespace-normal">
    <w:name w:val="whitespace-normal"/>
    <w:basedOn w:val="Normal"/>
    <w:rsid w:val="009171C2"/>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Header">
    <w:name w:val="header"/>
    <w:basedOn w:val="Normal"/>
    <w:link w:val="HeaderChar"/>
    <w:uiPriority w:val="99"/>
    <w:unhideWhenUsed/>
    <w:rsid w:val="00BF2C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2CE1"/>
  </w:style>
  <w:style w:type="paragraph" w:styleId="Footer">
    <w:name w:val="footer"/>
    <w:basedOn w:val="Normal"/>
    <w:link w:val="FooterChar"/>
    <w:uiPriority w:val="99"/>
    <w:unhideWhenUsed/>
    <w:rsid w:val="00BF2C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2CE1"/>
  </w:style>
  <w:style w:type="paragraph" w:styleId="HTMLPreformatted">
    <w:name w:val="HTML Preformatted"/>
    <w:basedOn w:val="Normal"/>
    <w:link w:val="HTMLPreformattedChar"/>
    <w:uiPriority w:val="99"/>
    <w:semiHidden/>
    <w:unhideWhenUsed/>
    <w:rsid w:val="003419E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19E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47286">
      <w:bodyDiv w:val="1"/>
      <w:marLeft w:val="0"/>
      <w:marRight w:val="0"/>
      <w:marTop w:val="0"/>
      <w:marBottom w:val="0"/>
      <w:divBdr>
        <w:top w:val="none" w:sz="0" w:space="0" w:color="auto"/>
        <w:left w:val="none" w:sz="0" w:space="0" w:color="auto"/>
        <w:bottom w:val="none" w:sz="0" w:space="0" w:color="auto"/>
        <w:right w:val="none" w:sz="0" w:space="0" w:color="auto"/>
      </w:divBdr>
    </w:div>
    <w:div w:id="215748838">
      <w:bodyDiv w:val="1"/>
      <w:marLeft w:val="0"/>
      <w:marRight w:val="0"/>
      <w:marTop w:val="0"/>
      <w:marBottom w:val="0"/>
      <w:divBdr>
        <w:top w:val="none" w:sz="0" w:space="0" w:color="auto"/>
        <w:left w:val="none" w:sz="0" w:space="0" w:color="auto"/>
        <w:bottom w:val="none" w:sz="0" w:space="0" w:color="auto"/>
        <w:right w:val="none" w:sz="0" w:space="0" w:color="auto"/>
      </w:divBdr>
    </w:div>
    <w:div w:id="247884864">
      <w:bodyDiv w:val="1"/>
      <w:marLeft w:val="0"/>
      <w:marRight w:val="0"/>
      <w:marTop w:val="0"/>
      <w:marBottom w:val="0"/>
      <w:divBdr>
        <w:top w:val="none" w:sz="0" w:space="0" w:color="auto"/>
        <w:left w:val="none" w:sz="0" w:space="0" w:color="auto"/>
        <w:bottom w:val="none" w:sz="0" w:space="0" w:color="auto"/>
        <w:right w:val="none" w:sz="0" w:space="0" w:color="auto"/>
      </w:divBdr>
    </w:div>
    <w:div w:id="419329458">
      <w:bodyDiv w:val="1"/>
      <w:marLeft w:val="0"/>
      <w:marRight w:val="0"/>
      <w:marTop w:val="0"/>
      <w:marBottom w:val="0"/>
      <w:divBdr>
        <w:top w:val="none" w:sz="0" w:space="0" w:color="auto"/>
        <w:left w:val="none" w:sz="0" w:space="0" w:color="auto"/>
        <w:bottom w:val="none" w:sz="0" w:space="0" w:color="auto"/>
        <w:right w:val="none" w:sz="0" w:space="0" w:color="auto"/>
      </w:divBdr>
    </w:div>
    <w:div w:id="424957118">
      <w:bodyDiv w:val="1"/>
      <w:marLeft w:val="0"/>
      <w:marRight w:val="0"/>
      <w:marTop w:val="0"/>
      <w:marBottom w:val="0"/>
      <w:divBdr>
        <w:top w:val="none" w:sz="0" w:space="0" w:color="auto"/>
        <w:left w:val="none" w:sz="0" w:space="0" w:color="auto"/>
        <w:bottom w:val="none" w:sz="0" w:space="0" w:color="auto"/>
        <w:right w:val="none" w:sz="0" w:space="0" w:color="auto"/>
      </w:divBdr>
      <w:divsChild>
        <w:div w:id="413204961">
          <w:marLeft w:val="0"/>
          <w:marRight w:val="0"/>
          <w:marTop w:val="0"/>
          <w:marBottom w:val="0"/>
          <w:divBdr>
            <w:top w:val="none" w:sz="0" w:space="0" w:color="auto"/>
            <w:left w:val="none" w:sz="0" w:space="0" w:color="auto"/>
            <w:bottom w:val="none" w:sz="0" w:space="0" w:color="auto"/>
            <w:right w:val="none" w:sz="0" w:space="0" w:color="auto"/>
          </w:divBdr>
        </w:div>
      </w:divsChild>
    </w:div>
    <w:div w:id="482238268">
      <w:bodyDiv w:val="1"/>
      <w:marLeft w:val="0"/>
      <w:marRight w:val="0"/>
      <w:marTop w:val="0"/>
      <w:marBottom w:val="0"/>
      <w:divBdr>
        <w:top w:val="none" w:sz="0" w:space="0" w:color="auto"/>
        <w:left w:val="none" w:sz="0" w:space="0" w:color="auto"/>
        <w:bottom w:val="none" w:sz="0" w:space="0" w:color="auto"/>
        <w:right w:val="none" w:sz="0" w:space="0" w:color="auto"/>
      </w:divBdr>
    </w:div>
    <w:div w:id="758795767">
      <w:bodyDiv w:val="1"/>
      <w:marLeft w:val="0"/>
      <w:marRight w:val="0"/>
      <w:marTop w:val="0"/>
      <w:marBottom w:val="0"/>
      <w:divBdr>
        <w:top w:val="none" w:sz="0" w:space="0" w:color="auto"/>
        <w:left w:val="none" w:sz="0" w:space="0" w:color="auto"/>
        <w:bottom w:val="none" w:sz="0" w:space="0" w:color="auto"/>
        <w:right w:val="none" w:sz="0" w:space="0" w:color="auto"/>
      </w:divBdr>
    </w:div>
    <w:div w:id="1257053262">
      <w:bodyDiv w:val="1"/>
      <w:marLeft w:val="0"/>
      <w:marRight w:val="0"/>
      <w:marTop w:val="0"/>
      <w:marBottom w:val="0"/>
      <w:divBdr>
        <w:top w:val="none" w:sz="0" w:space="0" w:color="auto"/>
        <w:left w:val="none" w:sz="0" w:space="0" w:color="auto"/>
        <w:bottom w:val="none" w:sz="0" w:space="0" w:color="auto"/>
        <w:right w:val="none" w:sz="0" w:space="0" w:color="auto"/>
      </w:divBdr>
    </w:div>
    <w:div w:id="1385521288">
      <w:bodyDiv w:val="1"/>
      <w:marLeft w:val="0"/>
      <w:marRight w:val="0"/>
      <w:marTop w:val="0"/>
      <w:marBottom w:val="0"/>
      <w:divBdr>
        <w:top w:val="none" w:sz="0" w:space="0" w:color="auto"/>
        <w:left w:val="none" w:sz="0" w:space="0" w:color="auto"/>
        <w:bottom w:val="none" w:sz="0" w:space="0" w:color="auto"/>
        <w:right w:val="none" w:sz="0" w:space="0" w:color="auto"/>
      </w:divBdr>
    </w:div>
    <w:div w:id="1803186936">
      <w:bodyDiv w:val="1"/>
      <w:marLeft w:val="0"/>
      <w:marRight w:val="0"/>
      <w:marTop w:val="0"/>
      <w:marBottom w:val="0"/>
      <w:divBdr>
        <w:top w:val="none" w:sz="0" w:space="0" w:color="auto"/>
        <w:left w:val="none" w:sz="0" w:space="0" w:color="auto"/>
        <w:bottom w:val="none" w:sz="0" w:space="0" w:color="auto"/>
        <w:right w:val="none" w:sz="0" w:space="0" w:color="auto"/>
      </w:divBdr>
    </w:div>
    <w:div w:id="1881358168">
      <w:bodyDiv w:val="1"/>
      <w:marLeft w:val="0"/>
      <w:marRight w:val="0"/>
      <w:marTop w:val="0"/>
      <w:marBottom w:val="0"/>
      <w:divBdr>
        <w:top w:val="none" w:sz="0" w:space="0" w:color="auto"/>
        <w:left w:val="none" w:sz="0" w:space="0" w:color="auto"/>
        <w:bottom w:val="none" w:sz="0" w:space="0" w:color="auto"/>
        <w:right w:val="none" w:sz="0" w:space="0" w:color="auto"/>
      </w:divBdr>
      <w:divsChild>
        <w:div w:id="298459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רתם קשאני</dc:creator>
  <cp:keywords/>
  <dc:description/>
  <cp:lastModifiedBy>רתם קשאני</cp:lastModifiedBy>
  <cp:revision>15</cp:revision>
  <dcterms:created xsi:type="dcterms:W3CDTF">2024-06-23T20:28:00Z</dcterms:created>
  <dcterms:modified xsi:type="dcterms:W3CDTF">2024-07-02T17:37:00Z</dcterms:modified>
</cp:coreProperties>
</file>