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sz w:val="2"/>
          <w:szCs w:val="2"/>
          <w:rtl/>
          <w14:ligatures w14:val="standardContextual"/>
        </w:rPr>
        <w:id w:val="-1044207688"/>
        <w:docPartObj>
          <w:docPartGallery w:val="Cover Pages"/>
          <w:docPartUnique/>
        </w:docPartObj>
      </w:sdtPr>
      <w:sdtEndPr>
        <w:rPr>
          <w:rFonts w:ascii="David" w:hAnsi="David" w:cs="David"/>
          <w:i/>
          <w:iCs/>
          <w:color w:val="0F4761" w:themeColor="accent1" w:themeShade="BF"/>
          <w:sz w:val="24"/>
          <w:szCs w:val="24"/>
        </w:rPr>
      </w:sdtEndPr>
      <w:sdtContent>
        <w:p w14:paraId="525918B2" w14:textId="1E814933" w:rsidR="00BA3094" w:rsidRDefault="00BA3094">
          <w:pPr>
            <w:pStyle w:val="af"/>
            <w:rPr>
              <w:sz w:val="2"/>
              <w:szCs w:val="2"/>
            </w:rPr>
          </w:pPr>
        </w:p>
        <w:p w14:paraId="3F154ED6" w14:textId="387E6DE0" w:rsidR="00BA3094" w:rsidRDefault="00BA3094">
          <w:r>
            <w:rPr>
              <w:noProof/>
              <w:color w:val="156082" w:themeColor="accent1"/>
              <w:sz w:val="36"/>
              <w:szCs w:val="36"/>
            </w:rPr>
            <mc:AlternateContent>
              <mc:Choice Requires="wpg">
                <w:drawing>
                  <wp:anchor distT="0" distB="0" distL="114300" distR="114300" simplePos="0" relativeHeight="251660288" behindDoc="1" locked="0" layoutInCell="1" allowOverlap="1" wp14:anchorId="09BB8854" wp14:editId="4D3FEDCB">
                    <wp:simplePos x="0" y="0"/>
                    <mc:AlternateContent>
                      <mc:Choice Requires="wp14">
                        <wp:positionH relativeFrom="page">
                          <wp14:pctPosHOffset>7400</wp14:pctPosHOffset>
                        </wp:positionH>
                      </mc:Choice>
                      <mc:Fallback>
                        <wp:positionH relativeFrom="page">
                          <wp:posOffset>559435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קבוצה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flipH="1">
                              <a:off x="0" y="0"/>
                              <a:ext cx="5494369" cy="5696712"/>
                              <a:chOff x="0" y="0"/>
                              <a:chExt cx="4329113" cy="4491038"/>
                            </a:xfrm>
                            <a:solidFill>
                              <a:schemeClr val="tx2">
                                <a:lumMod val="60000"/>
                                <a:lumOff val="40000"/>
                              </a:schemeClr>
                            </a:solidFill>
                          </wpg:grpSpPr>
                          <wps:wsp>
                            <wps:cNvPr id="64" name="צורה חופשית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צורה חופשית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צורה חופשית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צורה חופשית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צורה חופשית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8ABD4C3" id="קבוצה 2" o:spid="_x0000_s1026" style="position:absolute;left:0;text-align:left;margin-left:0;margin-top:0;width:432.65pt;height:448.55pt;flip:x;z-index:-251656192;mso-width-percent:706;mso-height-percent:566;mso-left-percent:74;mso-top-percent:300;mso-position-horizontal-relative:page;mso-position-vertical-relative:page;mso-width-percent:706;mso-height-percent:566;mso-left-percent:74;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">
                    <o:lock v:ext="edit" aspectratio="t"/>
                    <v:shape id="צורה חופשית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צורה חופשית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צורה חופשית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צורה חופשית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צורה חופשית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41B08809" wp14:editId="2C5F9484">
                    <wp:simplePos x="0" y="0"/>
                    <wp:positionH relativeFrom="page">
                      <wp:align>center</wp:align>
                    </wp:positionH>
                    <wp:positionV relativeFrom="margin">
                      <wp:align>bottom</wp:align>
                    </wp:positionV>
                    <wp:extent cx="5943600" cy="374904"/>
                    <wp:effectExtent l="0" t="0" r="0" b="2540"/>
                    <wp:wrapNone/>
                    <wp:docPr id="69" name="תיבת טקסט 73"/>
                    <wp:cNvGraphicFramePr/>
                    <a:graphic xmlns:a="http://schemas.openxmlformats.org/drawingml/2006/main">
                      <a:graphicData uri="http://schemas.microsoft.com/office/word/2010/wordprocessingShape">
                        <wps:wsp>
                          <wps:cNvSpPr txBox="1"/>
                          <wps:spPr>
                            <a:xfrm flipH="1">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ECCB89" w14:textId="6D26C194" w:rsidR="00BA3094" w:rsidRDefault="00BA3094" w:rsidP="00BA3094">
                                <w:pPr>
                                  <w:pStyle w:val="af"/>
                                  <w:jc w:val="center"/>
                                  <w:rPr>
                                    <w:color w:val="15608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41B08809" id="_x0000_t202" coordsize="21600,21600" o:spt="202" path="m,l,21600r21600,l21600,xe">
                    <v:stroke joinstyle="miter"/>
                    <v:path gradientshapeok="t" o:connecttype="rect"/>
                  </v:shapetype>
                  <v:shape id="תיבת טקסט 73" o:spid="_x0000_s1026" type="#_x0000_t202" style="position:absolute;left:0;text-align:left;margin-left:0;margin-top:0;width:468pt;height:29.5pt;flip:x;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" filled="f" stroked="f" strokeweight=".5pt">
                    <v:textbox style="mso-fit-shape-to-text:t" inset="0,0,0,0">
                      <w:txbxContent>
                        <w:p w14:paraId="05ECCB89" w14:textId="6D26C194" w:rsidR="00BA3094" w:rsidRDefault="00BA3094" w:rsidP="00BA3094">
                          <w:pPr>
                            <w:pStyle w:val="af"/>
                            <w:jc w:val="center"/>
                            <w:rPr>
                              <w:color w:val="156082" w:themeColor="accent1"/>
                              <w:sz w:val="36"/>
                              <w:szCs w:val="36"/>
                            </w:rPr>
                          </w:pPr>
                        </w:p>
                      </w:txbxContent>
                    </v:textbox>
                    <w10:wrap anchorx="page" anchory="margin"/>
                  </v:shape>
                </w:pict>
              </mc:Fallback>
            </mc:AlternateContent>
          </w:r>
        </w:p>
        <w:p w14:paraId="64E9D9DB" w14:textId="6549F5FA" w:rsidR="00BA3094" w:rsidRDefault="00BA3094">
          <w:pPr>
            <w:rPr>
              <w:rFonts w:ascii="David" w:hAnsi="David" w:cs="David"/>
              <w:i/>
              <w:iCs/>
              <w:color w:val="0F4761" w:themeColor="accent1" w:themeShade="BF"/>
              <w:sz w:val="24"/>
              <w:szCs w:val="24"/>
              <w:rtl/>
            </w:rPr>
          </w:pPr>
          <w:r>
            <w:rPr>
              <w:noProof/>
            </w:rPr>
            <mc:AlternateContent>
              <mc:Choice Requires="wps">
                <w:drawing>
                  <wp:anchor distT="0" distB="0" distL="114300" distR="114300" simplePos="0" relativeHeight="251661312" behindDoc="0" locked="0" layoutInCell="1" allowOverlap="1" wp14:anchorId="2F7E5058" wp14:editId="616E5C39">
                    <wp:simplePos x="0" y="0"/>
                    <wp:positionH relativeFrom="margin">
                      <wp:align>left</wp:align>
                    </wp:positionH>
                    <wp:positionV relativeFrom="margin">
                      <wp:posOffset>739140</wp:posOffset>
                    </wp:positionV>
                    <wp:extent cx="5943600" cy="914400"/>
                    <wp:effectExtent l="0" t="0" r="0" b="1905"/>
                    <wp:wrapNone/>
                    <wp:docPr id="62" name="תיבת טקסט 66"/>
                    <wp:cNvGraphicFramePr/>
                    <a:graphic xmlns:a="http://schemas.openxmlformats.org/drawingml/2006/main">
                      <a:graphicData uri="http://schemas.microsoft.com/office/word/2010/wordprocessingShape">
                        <wps:wsp>
                          <wps:cNvSpPr txBox="1"/>
                          <wps:spPr>
                            <a:xfrm flipH="1">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David" w:eastAsiaTheme="majorEastAsia" w:hAnsi="David" w:cs="David"/>
                                    <w:caps/>
                                    <w:color w:val="2C7FCE" w:themeColor="text2" w:themeTint="99"/>
                                    <w:sz w:val="64"/>
                                    <w:szCs w:val="64"/>
                                    <w:rtl/>
                                  </w:rPr>
                                  <w:alias w:val="כותרת"/>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EB10382" w14:textId="44402A50" w:rsidR="00BA3094" w:rsidRDefault="00A6349C" w:rsidP="00BA3094">
                                    <w:pPr>
                                      <w:pStyle w:val="af"/>
                                      <w:jc w:val="center"/>
                                      <w:rPr>
                                        <w:rFonts w:asciiTheme="majorHAnsi" w:eastAsiaTheme="majorEastAsia" w:hAnsiTheme="majorHAnsi" w:cstheme="majorBidi"/>
                                        <w:caps/>
                                        <w:color w:val="2C7FCE" w:themeColor="text2" w:themeTint="99"/>
                                        <w:sz w:val="68"/>
                                        <w:szCs w:val="68"/>
                                      </w:rPr>
                                    </w:pPr>
                                    <w:r>
                                      <w:rPr>
                                        <w:rFonts w:ascii="David" w:eastAsiaTheme="majorEastAsia" w:hAnsi="David" w:cs="David"/>
                                        <w:caps/>
                                        <w:color w:val="2C7FCE" w:themeColor="text2" w:themeTint="99"/>
                                        <w:sz w:val="64"/>
                                        <w:szCs w:val="64"/>
                                        <w:rtl/>
                                      </w:rPr>
                                      <w:t>פלורליזם בחברה הישראלית</w:t>
                                    </w:r>
                                  </w:p>
                                </w:sdtContent>
                              </w:sdt>
                              <w:p w14:paraId="37E04A59" w14:textId="73B5DF55" w:rsidR="00BA3094" w:rsidRDefault="00000000" w:rsidP="00BA3094">
                                <w:pPr>
                                  <w:pStyle w:val="af"/>
                                  <w:spacing w:before="120"/>
                                  <w:jc w:val="center"/>
                                  <w:rPr>
                                    <w:color w:val="156082" w:themeColor="accent1"/>
                                    <w:sz w:val="36"/>
                                    <w:szCs w:val="36"/>
                                  </w:rPr>
                                </w:pPr>
                                <w:sdt>
                                  <w:sdtPr>
                                    <w:rPr>
                                      <w:color w:val="156082" w:themeColor="accent1"/>
                                      <w:sz w:val="36"/>
                                      <w:szCs w:val="36"/>
                                      <w:rtl/>
                                    </w:rPr>
                                    <w:alias w:val="כותרת משנה"/>
                                    <w:tag w:val=""/>
                                    <w:id w:val="2021743002"/>
                                    <w:dataBinding w:prefixMappings="xmlns:ns0='http://purl.org/dc/elements/1.1/' xmlns:ns1='http://schemas.openxmlformats.org/package/2006/metadata/core-properties' " w:xpath="/ns1:coreProperties[1]/ns0:subject[1]" w:storeItemID="{6C3C8BC8-F283-45AE-878A-BAB7291924A1}"/>
                                    <w:text/>
                                  </w:sdtPr>
                                  <w:sdtContent>
                                    <w:r w:rsidR="00A6349C">
                                      <w:rPr>
                                        <w:color w:val="156082" w:themeColor="accent1"/>
                                        <w:sz w:val="36"/>
                                        <w:szCs w:val="36"/>
                                        <w:rtl/>
                                      </w:rPr>
                                      <w:t>מאת: רותם לב שפירו</w:t>
                                    </w:r>
                                  </w:sdtContent>
                                </w:sdt>
                              </w:p>
                              <w:p w14:paraId="3291140C" w14:textId="77777777" w:rsidR="00BA3094" w:rsidRDefault="00BA30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F7E5058" id="_x0000_t202" coordsize="21600,21600" o:spt="202" path="m,l,21600r21600,l21600,xe">
                    <v:stroke joinstyle="miter"/>
                    <v:path gradientshapeok="t" o:connecttype="rect"/>
                  </v:shapetype>
                  <v:shape id="תיבת טקסט 66" o:spid="_x0000_s1027" type="#_x0000_t202" style="position:absolute;left:0;text-align:left;margin-left:0;margin-top:58.2pt;width:468pt;height:1in;flip:x;z-index:251661312;visibility:visible;mso-wrap-style:square;mso-width-percent:765;mso-wrap-distance-left:9pt;mso-wrap-distance-top:0;mso-wrap-distance-right:9pt;mso-wrap-distance-bottom:0;mso-position-horizontal:lef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" filled="f" stroked="f" strokeweight=".5pt">
                    <v:textbox style="mso-fit-shape-to-text:t">
                      <w:txbxContent>
                        <w:sdt>
                          <w:sdtPr>
                            <w:rPr>
                              <w:rFonts w:ascii="David" w:eastAsiaTheme="majorEastAsia" w:hAnsi="David" w:cs="David"/>
                              <w:caps/>
                              <w:color w:val="2C7FCE" w:themeColor="text2" w:themeTint="99"/>
                              <w:sz w:val="64"/>
                              <w:szCs w:val="64"/>
                              <w:rtl/>
                            </w:rPr>
                            <w:alias w:val="כותרת"/>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EB10382" w14:textId="44402A50" w:rsidR="00BA3094" w:rsidRDefault="00A6349C" w:rsidP="00BA3094">
                              <w:pPr>
                                <w:pStyle w:val="af"/>
                                <w:jc w:val="center"/>
                                <w:rPr>
                                  <w:rFonts w:asciiTheme="majorHAnsi" w:eastAsiaTheme="majorEastAsia" w:hAnsiTheme="majorHAnsi" w:cstheme="majorBidi"/>
                                  <w:caps/>
                                  <w:color w:val="2C7FCE" w:themeColor="text2" w:themeTint="99"/>
                                  <w:sz w:val="68"/>
                                  <w:szCs w:val="68"/>
                                </w:rPr>
                              </w:pPr>
                              <w:r>
                                <w:rPr>
                                  <w:rFonts w:ascii="David" w:eastAsiaTheme="majorEastAsia" w:hAnsi="David" w:cs="David"/>
                                  <w:caps/>
                                  <w:color w:val="2C7FCE" w:themeColor="text2" w:themeTint="99"/>
                                  <w:sz w:val="64"/>
                                  <w:szCs w:val="64"/>
                                  <w:rtl/>
                                </w:rPr>
                                <w:t>פלורליזם בחברה הישראלית</w:t>
                              </w:r>
                            </w:p>
                          </w:sdtContent>
                        </w:sdt>
                        <w:p w14:paraId="37E04A59" w14:textId="73B5DF55" w:rsidR="00BA3094" w:rsidRDefault="00000000" w:rsidP="00BA3094">
                          <w:pPr>
                            <w:pStyle w:val="af"/>
                            <w:spacing w:before="120"/>
                            <w:jc w:val="center"/>
                            <w:rPr>
                              <w:color w:val="156082" w:themeColor="accent1"/>
                              <w:sz w:val="36"/>
                              <w:szCs w:val="36"/>
                            </w:rPr>
                          </w:pPr>
                          <w:sdt>
                            <w:sdtPr>
                              <w:rPr>
                                <w:color w:val="156082" w:themeColor="accent1"/>
                                <w:sz w:val="36"/>
                                <w:szCs w:val="36"/>
                                <w:rtl/>
                              </w:rPr>
                              <w:alias w:val="כותרת משנה"/>
                              <w:tag w:val=""/>
                              <w:id w:val="2021743002"/>
                              <w:dataBinding w:prefixMappings="xmlns:ns0='http://purl.org/dc/elements/1.1/' xmlns:ns1='http://schemas.openxmlformats.org/package/2006/metadata/core-properties' " w:xpath="/ns1:coreProperties[1]/ns0:subject[1]" w:storeItemID="{6C3C8BC8-F283-45AE-878A-BAB7291924A1}"/>
                              <w:text/>
                            </w:sdtPr>
                            <w:sdtContent>
                              <w:r w:rsidR="00A6349C">
                                <w:rPr>
                                  <w:color w:val="156082" w:themeColor="accent1"/>
                                  <w:sz w:val="36"/>
                                  <w:szCs w:val="36"/>
                                  <w:rtl/>
                                </w:rPr>
                                <w:t>מאת: רותם לב שפירו</w:t>
                              </w:r>
                            </w:sdtContent>
                          </w:sdt>
                        </w:p>
                        <w:p w14:paraId="3291140C" w14:textId="77777777" w:rsidR="00BA3094" w:rsidRDefault="00BA3094"/>
                      </w:txbxContent>
                    </v:textbox>
                    <w10:wrap anchorx="margin" anchory="margin"/>
                  </v:shape>
                </w:pict>
              </mc:Fallback>
            </mc:AlternateContent>
          </w:r>
          <w:r>
            <w:rPr>
              <w:rFonts w:ascii="David" w:hAnsi="David" w:cs="David"/>
              <w:sz w:val="24"/>
              <w:szCs w:val="24"/>
              <w:rtl/>
            </w:rPr>
            <w:br w:type="page"/>
          </w:r>
        </w:p>
      </w:sdtContent>
    </w:sdt>
    <w:sdt>
      <w:sdtPr>
        <w:rPr>
          <w:rFonts w:asciiTheme="minorHAnsi" w:eastAsiaTheme="minorEastAsia" w:hAnsiTheme="minorHAnsi" w:cs="Times New Roman"/>
          <w:color w:val="auto"/>
          <w:sz w:val="22"/>
          <w:szCs w:val="22"/>
          <w:lang w:val="he-IL"/>
        </w:rPr>
        <w:id w:val="1532919318"/>
        <w:docPartObj>
          <w:docPartGallery w:val="Table of Contents"/>
          <w:docPartUnique/>
        </w:docPartObj>
      </w:sdtPr>
      <w:sdtEndPr>
        <w:rPr>
          <w:lang w:val="en-US"/>
        </w:rPr>
      </w:sdtEndPr>
      <w:sdtContent>
        <w:p w14:paraId="1EE2B52C" w14:textId="037EAC95" w:rsidR="00856E56" w:rsidRDefault="00856E56">
          <w:pPr>
            <w:pStyle w:val="af5"/>
          </w:pPr>
          <w:r>
            <w:rPr>
              <w:lang w:val="he-IL"/>
            </w:rPr>
            <w:t>תוכן עניינים</w:t>
          </w:r>
        </w:p>
        <w:p w14:paraId="79A753BE" w14:textId="66E136F7" w:rsidR="00856E56" w:rsidRDefault="00856E56">
          <w:pPr>
            <w:pStyle w:val="TOC2"/>
            <w:ind w:left="216"/>
          </w:pPr>
          <w:r>
            <w:rPr>
              <w:rFonts w:hint="cs"/>
            </w:rPr>
            <w:t>תוכן עניינים</w:t>
          </w:r>
          <w:r>
            <w:ptab w:relativeTo="margin" w:alignment="right" w:leader="dot"/>
          </w:r>
          <w:r>
            <w:rPr>
              <w:rFonts w:hint="cs"/>
              <w:lang w:val="he-IL"/>
            </w:rPr>
            <w:t>1</w:t>
          </w:r>
        </w:p>
        <w:p w14:paraId="2344943D" w14:textId="0FE8714F" w:rsidR="00856E56" w:rsidRDefault="00856E56" w:rsidP="00856E56">
          <w:pPr>
            <w:pStyle w:val="TOC3"/>
          </w:pPr>
          <w:r>
            <w:rPr>
              <w:rFonts w:hint="cs"/>
            </w:rPr>
            <w:t>מפת המבוא</w:t>
          </w:r>
          <w:r>
            <w:ptab w:relativeTo="margin" w:alignment="right" w:leader="dot"/>
          </w:r>
          <w:r>
            <w:rPr>
              <w:rFonts w:hint="cs"/>
              <w:lang w:val="he-IL"/>
            </w:rPr>
            <w:t>2</w:t>
          </w:r>
        </w:p>
        <w:p w14:paraId="7247DDC6" w14:textId="249235BC" w:rsidR="00856E56" w:rsidRDefault="00856E56">
          <w:pPr>
            <w:pStyle w:val="TOC2"/>
            <w:ind w:left="216"/>
          </w:pPr>
          <w:r>
            <w:rPr>
              <w:rFonts w:hint="cs"/>
            </w:rPr>
            <w:t>פסקת המתווה</w:t>
          </w:r>
          <w:r>
            <w:ptab w:relativeTo="margin" w:alignment="right" w:leader="dot"/>
          </w:r>
          <w:r>
            <w:rPr>
              <w:rFonts w:hint="cs"/>
            </w:rPr>
            <w:t>4</w:t>
          </w:r>
        </w:p>
        <w:p w14:paraId="4A13F62E" w14:textId="5A816DFA" w:rsidR="00856E56" w:rsidRDefault="00856E56">
          <w:pPr>
            <w:pStyle w:val="TOC3"/>
            <w:ind w:left="446"/>
          </w:pPr>
          <w:r>
            <w:rPr>
              <w:rFonts w:hint="cs"/>
              <w:cs w:val="0"/>
            </w:rPr>
            <w:t>ביבליוגרפי</w:t>
          </w:r>
          <w:r>
            <w:rPr>
              <w:rFonts w:hint="eastAsia"/>
              <w:cs w:val="0"/>
            </w:rPr>
            <w:t>ה</w:t>
          </w:r>
          <w:r>
            <w:ptab w:relativeTo="margin" w:alignment="right" w:leader="dot"/>
          </w:r>
          <w:r>
            <w:rPr>
              <w:rFonts w:hint="cs"/>
              <w:lang w:val="he-IL"/>
            </w:rPr>
            <w:t>4</w:t>
          </w:r>
        </w:p>
      </w:sdtContent>
    </w:sdt>
    <w:p w14:paraId="533C8A0D" w14:textId="77777777" w:rsidR="00BA3094" w:rsidRPr="00856E56" w:rsidRDefault="00BA3094" w:rsidP="00BA3094">
      <w:pPr>
        <w:rPr>
          <w:rFonts w:ascii="David" w:hAnsi="David" w:cs="David"/>
          <w:b/>
          <w:bCs/>
          <w:sz w:val="24"/>
          <w:szCs w:val="24"/>
          <w:u w:val="single"/>
          <w:rtl/>
        </w:rPr>
      </w:pPr>
    </w:p>
    <w:p w14:paraId="3E9BC226" w14:textId="77777777" w:rsidR="00BA3094" w:rsidRPr="00856E56" w:rsidRDefault="00BA3094" w:rsidP="00264698">
      <w:pPr>
        <w:spacing w:line="360" w:lineRule="auto"/>
        <w:jc w:val="both"/>
        <w:rPr>
          <w:rFonts w:ascii="David" w:hAnsi="David" w:cs="David"/>
          <w:b/>
          <w:bCs/>
          <w:sz w:val="24"/>
          <w:szCs w:val="24"/>
          <w:u w:val="single"/>
          <w:rtl/>
        </w:rPr>
      </w:pPr>
    </w:p>
    <w:p w14:paraId="4860F967" w14:textId="77777777" w:rsidR="00BA3094" w:rsidRPr="00856E56" w:rsidRDefault="00BA3094">
      <w:pPr>
        <w:rPr>
          <w:rFonts w:ascii="David" w:hAnsi="David" w:cs="David"/>
          <w:b/>
          <w:bCs/>
          <w:sz w:val="24"/>
          <w:szCs w:val="24"/>
          <w:u w:val="single"/>
          <w:rtl/>
        </w:rPr>
      </w:pPr>
      <w:r w:rsidRPr="00856E56">
        <w:rPr>
          <w:rFonts w:ascii="David" w:hAnsi="David" w:cs="David"/>
          <w:b/>
          <w:bCs/>
          <w:sz w:val="24"/>
          <w:szCs w:val="24"/>
          <w:u w:val="single"/>
          <w:rtl/>
        </w:rPr>
        <w:br w:type="page"/>
      </w:r>
    </w:p>
    <w:p w14:paraId="0C41DA79" w14:textId="7874087D" w:rsidR="00264698" w:rsidRPr="00264698" w:rsidRDefault="00BA3094" w:rsidP="00264698">
      <w:pPr>
        <w:spacing w:line="360" w:lineRule="auto"/>
        <w:jc w:val="both"/>
        <w:rPr>
          <w:rFonts w:ascii="David" w:hAnsi="David" w:cs="David"/>
          <w:b/>
          <w:bCs/>
          <w:sz w:val="24"/>
          <w:szCs w:val="24"/>
          <w:u w:val="single"/>
          <w:rtl/>
        </w:rPr>
      </w:pPr>
      <w:r w:rsidRPr="00856E56">
        <w:rPr>
          <w:rFonts w:ascii="David" w:hAnsi="David" w:cs="David"/>
          <w:b/>
          <w:bCs/>
          <w:sz w:val="24"/>
          <w:szCs w:val="24"/>
          <w:u w:val="single"/>
          <w:rtl/>
        </w:rPr>
        <w:lastRenderedPageBreak/>
        <w:t>מפת המבוא:</w:t>
      </w:r>
    </w:p>
    <w:p w14:paraId="55670063" w14:textId="66071909" w:rsidR="00264698" w:rsidRPr="00264698" w:rsidRDefault="00264698" w:rsidP="00264698">
      <w:pPr>
        <w:spacing w:line="360" w:lineRule="auto"/>
        <w:jc w:val="both"/>
        <w:rPr>
          <w:rFonts w:ascii="David" w:hAnsi="David" w:cs="David"/>
          <w:sz w:val="24"/>
          <w:szCs w:val="24"/>
        </w:rPr>
      </w:pPr>
      <w:r w:rsidRPr="00A6349C">
        <w:rPr>
          <w:rFonts w:ascii="David" w:hAnsi="David" w:cs="David"/>
          <w:b/>
          <w:bCs/>
          <w:sz w:val="24"/>
          <w:szCs w:val="24"/>
          <w:rtl/>
        </w:rPr>
        <w:t>רקע:</w:t>
      </w:r>
      <w:r w:rsidRPr="00264698">
        <w:rPr>
          <w:rFonts w:ascii="David" w:hAnsi="David" w:cs="David"/>
          <w:sz w:val="24"/>
          <w:szCs w:val="24"/>
          <w:rtl/>
        </w:rPr>
        <w:t xml:space="preserve"> </w:t>
      </w:r>
      <w:r w:rsidRPr="00264698">
        <w:rPr>
          <w:rFonts w:ascii="David" w:hAnsi="David" w:cs="David"/>
          <w:sz w:val="24"/>
          <w:szCs w:val="24"/>
          <w:rtl/>
        </w:rPr>
        <w:br/>
        <w:t xml:space="preserve">ישראל </w:t>
      </w:r>
      <w:r w:rsidRPr="00856E56">
        <w:rPr>
          <w:rFonts w:ascii="David" w:hAnsi="David" w:cs="David"/>
          <w:sz w:val="24"/>
          <w:szCs w:val="24"/>
          <w:rtl/>
        </w:rPr>
        <w:t xml:space="preserve">היא </w:t>
      </w:r>
      <w:r w:rsidRPr="00264698">
        <w:rPr>
          <w:rFonts w:ascii="David" w:hAnsi="David" w:cs="David"/>
          <w:sz w:val="24"/>
          <w:szCs w:val="24"/>
          <w:rtl/>
        </w:rPr>
        <w:t>מדינה דמוקרטית וגם חברת מהגרים אשר חיות בה קבוצות מיעוטים רבות, ומתוך כך פלורליזם הוא חלק אינטגרלי וחשוב במערכת היחסים בין המיעוטים. בנוסף, עיקרון הפלורליזם הוא חלק מערכי דמוקרטיה. </w:t>
      </w:r>
    </w:p>
    <w:p w14:paraId="6B86CB26" w14:textId="77777777" w:rsidR="00264698" w:rsidRPr="00264698" w:rsidRDefault="00264698" w:rsidP="00264698">
      <w:pPr>
        <w:spacing w:line="360" w:lineRule="auto"/>
        <w:jc w:val="both"/>
        <w:rPr>
          <w:rFonts w:ascii="David" w:hAnsi="David" w:cs="David"/>
          <w:sz w:val="24"/>
          <w:szCs w:val="24"/>
          <w:rtl/>
        </w:rPr>
      </w:pPr>
      <w:r w:rsidRPr="00264698">
        <w:rPr>
          <w:rFonts w:ascii="David" w:hAnsi="David" w:cs="David"/>
          <w:sz w:val="24"/>
          <w:szCs w:val="24"/>
          <w:rtl/>
        </w:rPr>
        <w:t>פלורליזם היא גישה פילוסופית, חברתית או פוליטית, המדגישה את חשיבות ריבוי הדעות והאמונות בתוך החברה, כחלק מגישה זו יש תמיכה בסובלנות כלפי גיוון וגורסת כי אין אמת אחת (אמת סובייקטיבית לעומת אמת אובייקטיבית).</w:t>
      </w:r>
    </w:p>
    <w:p w14:paraId="2D2C744E" w14:textId="77777777" w:rsidR="00264698" w:rsidRPr="00264698" w:rsidRDefault="00264698" w:rsidP="00264698">
      <w:pPr>
        <w:spacing w:line="360" w:lineRule="auto"/>
        <w:jc w:val="both"/>
        <w:rPr>
          <w:rFonts w:ascii="David" w:hAnsi="David" w:cs="David"/>
          <w:sz w:val="24"/>
          <w:szCs w:val="24"/>
          <w:rtl/>
        </w:rPr>
      </w:pPr>
      <w:r w:rsidRPr="00264698">
        <w:rPr>
          <w:rFonts w:ascii="David" w:hAnsi="David" w:cs="David"/>
          <w:sz w:val="24"/>
          <w:szCs w:val="24"/>
          <w:rtl/>
        </w:rPr>
        <w:t>פלורליזם חברתי- חברה פתוחה אשר מכילה בתוכה קבוצות שונות, כאשר מתקיים בין הקבוצות יחסי קיום, תוך הכרה בהבדלים בין הקבוצות וכן במורשת תרבותית שונה. </w:t>
      </w:r>
    </w:p>
    <w:p w14:paraId="1D76A5C9" w14:textId="77777777" w:rsidR="00264698" w:rsidRPr="00264698" w:rsidRDefault="00264698" w:rsidP="00264698">
      <w:pPr>
        <w:spacing w:line="360" w:lineRule="auto"/>
        <w:jc w:val="both"/>
        <w:rPr>
          <w:rFonts w:ascii="David" w:hAnsi="David" w:cs="David"/>
          <w:sz w:val="24"/>
          <w:szCs w:val="24"/>
          <w:rtl/>
        </w:rPr>
      </w:pPr>
      <w:r w:rsidRPr="00264698">
        <w:rPr>
          <w:rFonts w:ascii="David" w:hAnsi="David" w:cs="David"/>
          <w:sz w:val="24"/>
          <w:szCs w:val="24"/>
          <w:rtl/>
        </w:rPr>
        <w:t xml:space="preserve">משטר לא פלורליסטי- משטר שאינו תומך בהפגנות ואף פועל </w:t>
      </w:r>
      <w:proofErr w:type="spellStart"/>
      <w:r w:rsidRPr="00264698">
        <w:rPr>
          <w:rFonts w:ascii="David" w:hAnsi="David" w:cs="David"/>
          <w:sz w:val="24"/>
          <w:szCs w:val="24"/>
          <w:rtl/>
        </w:rPr>
        <w:t>לדכא</w:t>
      </w:r>
      <w:proofErr w:type="spellEnd"/>
      <w:r w:rsidRPr="00264698">
        <w:rPr>
          <w:rFonts w:ascii="David" w:hAnsi="David" w:cs="David"/>
          <w:sz w:val="24"/>
          <w:szCs w:val="24"/>
          <w:rtl/>
        </w:rPr>
        <w:t xml:space="preserve"> אותן </w:t>
      </w:r>
      <w:proofErr w:type="spellStart"/>
      <w:r w:rsidRPr="00264698">
        <w:rPr>
          <w:rFonts w:ascii="David" w:hAnsi="David" w:cs="David"/>
          <w:sz w:val="24"/>
          <w:szCs w:val="24"/>
          <w:rtl/>
        </w:rPr>
        <w:t>בכח</w:t>
      </w:r>
      <w:proofErr w:type="spellEnd"/>
      <w:r w:rsidRPr="00264698">
        <w:rPr>
          <w:rFonts w:ascii="David" w:hAnsi="David" w:cs="David"/>
          <w:sz w:val="24"/>
          <w:szCs w:val="24"/>
          <w:rtl/>
        </w:rPr>
        <w:t>, משטרים כאלה נקראים לעתים "דמוקרטיה טוטליטרית" </w:t>
      </w:r>
    </w:p>
    <w:p w14:paraId="5EAE3CB9" w14:textId="3283312E" w:rsidR="004A0452" w:rsidRPr="00856E56" w:rsidRDefault="00264698" w:rsidP="004A0452">
      <w:pPr>
        <w:spacing w:line="360" w:lineRule="auto"/>
        <w:jc w:val="both"/>
        <w:rPr>
          <w:rFonts w:ascii="David" w:hAnsi="David" w:cs="David"/>
          <w:sz w:val="24"/>
          <w:szCs w:val="24"/>
          <w:rtl/>
        </w:rPr>
      </w:pPr>
      <w:r w:rsidRPr="00264698">
        <w:rPr>
          <w:rFonts w:ascii="David" w:hAnsi="David" w:cs="David"/>
          <w:sz w:val="24"/>
          <w:szCs w:val="24"/>
          <w:rtl/>
        </w:rPr>
        <w:t>בשנותיה הראשונות של המדינה דגל השלטון באידיאולוגיה של "כור היתוך", שהיא ההפך הגמור מפלורליזם.</w:t>
      </w:r>
      <w:r w:rsidR="004A0452" w:rsidRPr="00856E56">
        <w:rPr>
          <w:rFonts w:ascii="David" w:hAnsi="David" w:cs="David"/>
          <w:sz w:val="24"/>
          <w:szCs w:val="24"/>
          <w:rtl/>
        </w:rPr>
        <w:t xml:space="preserve"> בן גוריון ראה במדיניות של כור ההיתוך כאידיאל, ופעל ליישומו. כך כותבת מיכל </w:t>
      </w:r>
      <w:proofErr w:type="spellStart"/>
      <w:r w:rsidR="004A0452" w:rsidRPr="00856E56">
        <w:rPr>
          <w:rFonts w:ascii="David" w:hAnsi="David" w:cs="David"/>
          <w:sz w:val="24"/>
          <w:szCs w:val="24"/>
          <w:rtl/>
        </w:rPr>
        <w:t>צויג</w:t>
      </w:r>
      <w:proofErr w:type="spellEnd"/>
      <w:r w:rsidR="004A0452" w:rsidRPr="00856E56">
        <w:rPr>
          <w:rFonts w:ascii="David" w:hAnsi="David" w:cs="David"/>
          <w:sz w:val="24"/>
          <w:szCs w:val="24"/>
          <w:rtl/>
        </w:rPr>
        <w:t>: "בן–גוריון סבר שחשוב מאוד ליצור בסיס משותף לאומה המתהווה ; בחזונו הוא ראה אומה אחידה הפועלת בהתאם לאתוס הציוני החלוצי . מסיבה זו הוא בחר במדיניות הקליטה של כור ההיתוך , כמדיניות שמטרתה למזג את כל העדות וליצור את הדמות הארצישראלית" (</w:t>
      </w:r>
      <w:proofErr w:type="spellStart"/>
      <w:r w:rsidR="004A0452" w:rsidRPr="00856E56">
        <w:rPr>
          <w:rFonts w:ascii="David" w:hAnsi="David" w:cs="David"/>
          <w:sz w:val="24"/>
          <w:szCs w:val="24"/>
          <w:rtl/>
        </w:rPr>
        <w:t>צויג</w:t>
      </w:r>
      <w:proofErr w:type="spellEnd"/>
      <w:r w:rsidR="004A0452" w:rsidRPr="00856E56">
        <w:rPr>
          <w:rFonts w:ascii="David" w:hAnsi="David" w:cs="David"/>
          <w:sz w:val="24"/>
          <w:szCs w:val="24"/>
          <w:rtl/>
        </w:rPr>
        <w:t>, 2007)</w:t>
      </w:r>
    </w:p>
    <w:p w14:paraId="6BC2D480" w14:textId="7E9D1606" w:rsidR="00264698" w:rsidRPr="00264698" w:rsidRDefault="00264698" w:rsidP="004A0452">
      <w:pPr>
        <w:spacing w:line="360" w:lineRule="auto"/>
        <w:jc w:val="both"/>
        <w:rPr>
          <w:rFonts w:ascii="David" w:hAnsi="David" w:cs="David"/>
          <w:sz w:val="24"/>
          <w:szCs w:val="24"/>
          <w:rtl/>
        </w:rPr>
      </w:pPr>
      <w:r w:rsidRPr="00264698">
        <w:rPr>
          <w:rFonts w:ascii="David" w:hAnsi="David" w:cs="David"/>
          <w:sz w:val="24"/>
          <w:szCs w:val="24"/>
          <w:rtl/>
        </w:rPr>
        <w:t xml:space="preserve">בעוד פלורליזם דוגל בהכרה בהבדלים בין הקבוצות ובשימור התרבות, כור היתוך דוגל בכך </w:t>
      </w:r>
      <w:r w:rsidRPr="00856E56">
        <w:rPr>
          <w:rFonts w:ascii="David" w:hAnsi="David" w:cs="David"/>
          <w:sz w:val="24"/>
          <w:szCs w:val="24"/>
          <w:rtl/>
        </w:rPr>
        <w:t>ש</w:t>
      </w:r>
      <w:r w:rsidRPr="00264698">
        <w:rPr>
          <w:rFonts w:ascii="David" w:hAnsi="David" w:cs="David"/>
          <w:sz w:val="24"/>
          <w:szCs w:val="24"/>
          <w:rtl/>
        </w:rPr>
        <w:t>כל הקבוצות קטנות צריכות להתכופף בפני הקבוצה הגדולה, ובכך להפוך לקבוצה אחת בלי הבדלים. בעקבות האידיאולוגיה שננהגה בקום המדינה</w:t>
      </w:r>
      <w:r w:rsidRPr="00856E56">
        <w:rPr>
          <w:rFonts w:ascii="David" w:hAnsi="David" w:cs="David"/>
          <w:sz w:val="24"/>
          <w:szCs w:val="24"/>
          <w:rtl/>
        </w:rPr>
        <w:t>,</w:t>
      </w:r>
      <w:r w:rsidRPr="00264698">
        <w:rPr>
          <w:rFonts w:ascii="David" w:hAnsi="David" w:cs="David"/>
          <w:sz w:val="24"/>
          <w:szCs w:val="24"/>
          <w:rtl/>
        </w:rPr>
        <w:t xml:space="preserve"> יש בישראל קבוצות אשר מרגישות כי לא מכבדים את האמונות והדעות שלהם. </w:t>
      </w:r>
    </w:p>
    <w:p w14:paraId="7876A0F5" w14:textId="77777777" w:rsidR="007833CE" w:rsidRPr="00856E56" w:rsidRDefault="00264698" w:rsidP="007833CE">
      <w:pPr>
        <w:spacing w:line="360" w:lineRule="auto"/>
        <w:jc w:val="both"/>
        <w:rPr>
          <w:rFonts w:ascii="David" w:hAnsi="David" w:cs="David"/>
          <w:sz w:val="24"/>
          <w:szCs w:val="24"/>
          <w:rtl/>
        </w:rPr>
      </w:pPr>
      <w:r w:rsidRPr="00264698">
        <w:rPr>
          <w:rFonts w:ascii="David" w:hAnsi="David" w:cs="David"/>
          <w:sz w:val="24"/>
          <w:szCs w:val="24"/>
          <w:rtl/>
        </w:rPr>
        <w:t>ניקח לדוגמא את קהילת האתיופים. על פי מחקרים שנערכו, נוכל לראות שבתוך מערכת החינוך מתעקשים לדגול בעיקרון של "כור ההיתוך"</w:t>
      </w:r>
      <w:r w:rsidRPr="00856E56">
        <w:rPr>
          <w:rFonts w:ascii="David" w:hAnsi="David" w:cs="David"/>
          <w:sz w:val="24"/>
          <w:szCs w:val="24"/>
          <w:rtl/>
        </w:rPr>
        <w:t xml:space="preserve">. </w:t>
      </w:r>
      <w:r w:rsidR="006C3772" w:rsidRPr="00856E56">
        <w:rPr>
          <w:rFonts w:ascii="David" w:hAnsi="David" w:cs="David"/>
          <w:sz w:val="24"/>
          <w:szCs w:val="24"/>
          <w:rtl/>
        </w:rPr>
        <w:t xml:space="preserve"> כדוגמא, אביא ציטוט מהמאמר של </w:t>
      </w:r>
      <w:r w:rsidR="007833CE" w:rsidRPr="00856E56">
        <w:rPr>
          <w:rFonts w:ascii="David" w:hAnsi="David" w:cs="David"/>
          <w:sz w:val="24"/>
          <w:szCs w:val="24"/>
          <w:rtl/>
        </w:rPr>
        <w:t xml:space="preserve">שלי </w:t>
      </w:r>
      <w:proofErr w:type="spellStart"/>
      <w:r w:rsidR="007833CE" w:rsidRPr="00856E56">
        <w:rPr>
          <w:rFonts w:ascii="David" w:hAnsi="David" w:cs="David"/>
          <w:sz w:val="24"/>
          <w:szCs w:val="24"/>
          <w:rtl/>
        </w:rPr>
        <w:t>אינגדאו</w:t>
      </w:r>
      <w:proofErr w:type="spellEnd"/>
      <w:r w:rsidR="007833CE" w:rsidRPr="00856E56">
        <w:rPr>
          <w:rFonts w:ascii="David" w:hAnsi="David" w:cs="David"/>
          <w:sz w:val="24"/>
          <w:szCs w:val="24"/>
          <w:rtl/>
        </w:rPr>
        <w:t>-ונדה</w:t>
      </w:r>
      <w:r w:rsidR="006C3772" w:rsidRPr="00856E56">
        <w:rPr>
          <w:rFonts w:ascii="David" w:hAnsi="David" w:cs="David"/>
          <w:sz w:val="24"/>
          <w:szCs w:val="24"/>
          <w:rtl/>
        </w:rPr>
        <w:t>, בנושא</w:t>
      </w:r>
      <w:r w:rsidR="007833CE" w:rsidRPr="00856E56">
        <w:rPr>
          <w:rFonts w:ascii="David" w:hAnsi="David" w:cs="David"/>
          <w:sz w:val="24"/>
          <w:szCs w:val="24"/>
          <w:rtl/>
        </w:rPr>
        <w:t xml:space="preserve"> של תפיסת אנשי החינוך את יוצאי אתיופיה.</w:t>
      </w:r>
      <w:r w:rsidR="006C3772" w:rsidRPr="00856E56">
        <w:rPr>
          <w:rFonts w:ascii="David" w:hAnsi="David" w:cs="David"/>
          <w:sz w:val="24"/>
          <w:szCs w:val="24"/>
          <w:rtl/>
        </w:rPr>
        <w:t xml:space="preserve"> </w:t>
      </w:r>
      <w:r w:rsidRPr="00264698">
        <w:rPr>
          <w:rFonts w:ascii="David" w:hAnsi="David" w:cs="David"/>
          <w:sz w:val="24"/>
          <w:szCs w:val="24"/>
          <w:rtl/>
        </w:rPr>
        <w:t xml:space="preserve"> "ונציה (2011) ציינה שבעוד שברמת ההצהרה נשמעות אמירות המטפחות פלורליזם ורב-תרבותיות, סובלנות וקבלת השונה, בפועל מתגלה כי הסטראוטיפים רק מתחזקים ומתקבעים; כמו כן עובדה זו באה לידי ביטוי בתוך מערכת החינוך, האחראית על חינוכם של האזרחים לעתיד ומופקדת במידה רבה על הטמעת השינוי בתפיסה חברתית מ"כור היתוך" לגישה רב- תרבותית</w:t>
      </w:r>
      <w:r w:rsidR="007833CE" w:rsidRPr="00856E56">
        <w:rPr>
          <w:rFonts w:ascii="David" w:hAnsi="David" w:cs="David"/>
          <w:sz w:val="24"/>
          <w:szCs w:val="24"/>
          <w:rtl/>
        </w:rPr>
        <w:t xml:space="preserve">. </w:t>
      </w:r>
      <w:r w:rsidRPr="00264698">
        <w:rPr>
          <w:rFonts w:ascii="David" w:hAnsi="David" w:cs="David"/>
          <w:sz w:val="24"/>
          <w:szCs w:val="24"/>
          <w:rtl/>
        </w:rPr>
        <w:t>ממצאי המחקר הנוכחי תומכים בתיאור</w:t>
      </w:r>
      <w:r w:rsidRPr="00856E56">
        <w:rPr>
          <w:rFonts w:ascii="David" w:hAnsi="David" w:cs="David"/>
          <w:sz w:val="24"/>
          <w:szCs w:val="24"/>
        </w:rPr>
        <w:t xml:space="preserve"> </w:t>
      </w:r>
      <w:r w:rsidRPr="00264698">
        <w:rPr>
          <w:rFonts w:ascii="David" w:hAnsi="David" w:cs="David"/>
          <w:sz w:val="24"/>
          <w:szCs w:val="24"/>
          <w:rtl/>
        </w:rPr>
        <w:t>זה."</w:t>
      </w:r>
      <w:r w:rsidRPr="00856E56">
        <w:rPr>
          <w:rFonts w:ascii="David" w:hAnsi="David" w:cs="David"/>
          <w:sz w:val="24"/>
          <w:szCs w:val="24"/>
        </w:rPr>
        <w:t xml:space="preserve"> </w:t>
      </w:r>
      <w:r w:rsidRPr="00264698">
        <w:rPr>
          <w:rFonts w:ascii="David" w:hAnsi="David" w:cs="David"/>
          <w:sz w:val="24"/>
          <w:szCs w:val="24"/>
          <w:rtl/>
        </w:rPr>
        <w:t>(</w:t>
      </w:r>
      <w:proofErr w:type="spellStart"/>
      <w:r w:rsidR="006C3772" w:rsidRPr="00856E56">
        <w:rPr>
          <w:rFonts w:ascii="David" w:hAnsi="David" w:cs="David"/>
          <w:sz w:val="24"/>
          <w:szCs w:val="24"/>
          <w:rtl/>
        </w:rPr>
        <w:t>אינגדאו</w:t>
      </w:r>
      <w:proofErr w:type="spellEnd"/>
      <w:r w:rsidR="006C3772" w:rsidRPr="00856E56">
        <w:rPr>
          <w:rFonts w:ascii="David" w:hAnsi="David" w:cs="David"/>
          <w:sz w:val="24"/>
          <w:szCs w:val="24"/>
          <w:rtl/>
        </w:rPr>
        <w:t>-ונדה, 2021)</w:t>
      </w:r>
    </w:p>
    <w:p w14:paraId="2F18850B" w14:textId="5336CD81" w:rsidR="007833CE" w:rsidRPr="00856E56" w:rsidRDefault="00264698" w:rsidP="007833CE">
      <w:pPr>
        <w:spacing w:line="360" w:lineRule="auto"/>
        <w:jc w:val="both"/>
        <w:rPr>
          <w:rFonts w:ascii="David" w:hAnsi="David" w:cs="David"/>
          <w:sz w:val="24"/>
          <w:szCs w:val="24"/>
          <w:rtl/>
        </w:rPr>
      </w:pPr>
      <w:r w:rsidRPr="00856E56">
        <w:rPr>
          <w:rFonts w:ascii="David" w:hAnsi="David" w:cs="David"/>
          <w:sz w:val="24"/>
          <w:szCs w:val="24"/>
          <w:rtl/>
        </w:rPr>
        <w:br/>
      </w:r>
      <w:r w:rsidRPr="00856E56">
        <w:rPr>
          <w:rFonts w:ascii="David" w:hAnsi="David" w:cs="David"/>
          <w:sz w:val="24"/>
          <w:szCs w:val="24"/>
          <w:u w:val="single"/>
          <w:rtl/>
        </w:rPr>
        <w:t>המצב כיום בישראל:</w:t>
      </w:r>
      <w:r w:rsidRPr="00856E56">
        <w:rPr>
          <w:rFonts w:ascii="David" w:hAnsi="David" w:cs="David"/>
          <w:sz w:val="24"/>
          <w:szCs w:val="24"/>
          <w:rtl/>
        </w:rPr>
        <w:t xml:space="preserve"> </w:t>
      </w:r>
    </w:p>
    <w:p w14:paraId="1C1142FB" w14:textId="650461BA" w:rsidR="00264698" w:rsidRPr="00264698" w:rsidRDefault="00264698" w:rsidP="00BA3094">
      <w:pPr>
        <w:spacing w:line="360" w:lineRule="auto"/>
        <w:jc w:val="both"/>
        <w:rPr>
          <w:rFonts w:ascii="David" w:hAnsi="David" w:cs="David"/>
          <w:sz w:val="24"/>
          <w:szCs w:val="24"/>
          <w:rtl/>
        </w:rPr>
      </w:pPr>
      <w:r w:rsidRPr="00264698">
        <w:rPr>
          <w:rFonts w:ascii="David" w:hAnsi="David" w:cs="David"/>
          <w:sz w:val="24"/>
          <w:szCs w:val="24"/>
          <w:rtl/>
        </w:rPr>
        <w:t xml:space="preserve">אנו חווים כיום עלייה במודעות </w:t>
      </w:r>
      <w:r w:rsidRPr="00856E56">
        <w:rPr>
          <w:rFonts w:ascii="David" w:hAnsi="David" w:cs="David"/>
          <w:sz w:val="24"/>
          <w:szCs w:val="24"/>
          <w:rtl/>
        </w:rPr>
        <w:t>לפלורליזם</w:t>
      </w:r>
      <w:r w:rsidRPr="00264698">
        <w:rPr>
          <w:rFonts w:ascii="David" w:hAnsi="David" w:cs="David"/>
          <w:sz w:val="24"/>
          <w:szCs w:val="24"/>
          <w:rtl/>
        </w:rPr>
        <w:t xml:space="preserve">, ואף יש גופים בארץ שמקדמים </w:t>
      </w:r>
      <w:r w:rsidRPr="00856E56">
        <w:rPr>
          <w:rFonts w:ascii="David" w:hAnsi="David" w:cs="David"/>
          <w:sz w:val="24"/>
          <w:szCs w:val="24"/>
          <w:rtl/>
        </w:rPr>
        <w:t>את ערכיו</w:t>
      </w:r>
      <w:r w:rsidRPr="00264698">
        <w:rPr>
          <w:rFonts w:ascii="David" w:hAnsi="David" w:cs="David"/>
          <w:sz w:val="24"/>
          <w:szCs w:val="24"/>
          <w:rtl/>
        </w:rPr>
        <w:t xml:space="preserve">. עם זאת, אנו חווים את ההשפעות של כשלון "כור ההיתוך" שהיה בשנותיה הראשונות של המדינה. מדיניות זו של כור היתוך מנעה בעצם הכרה של קהילות תרבותיות זו בזו, ויצרה מאבקי כוח בין החברות השונות במדינה. </w:t>
      </w:r>
      <w:r w:rsidR="007833CE" w:rsidRPr="00856E56">
        <w:rPr>
          <w:rFonts w:ascii="David" w:hAnsi="David" w:cs="David"/>
          <w:sz w:val="24"/>
          <w:szCs w:val="24"/>
          <w:rtl/>
        </w:rPr>
        <w:t xml:space="preserve">לדוגמא, נוכל לראות כי יש מאבקי כוח בין קבוצות שונות במישור הדתי בחברה. כך כותב אמנון רובינשטיין, במאמרו "המיעוט החילוני". </w:t>
      </w:r>
      <w:r w:rsidRPr="00264698">
        <w:rPr>
          <w:rFonts w:ascii="David" w:hAnsi="David" w:cs="David"/>
          <w:sz w:val="24"/>
          <w:szCs w:val="24"/>
          <w:rtl/>
        </w:rPr>
        <w:t xml:space="preserve">"ההבחנה בין קבוצת הרוב לבין קבוצת מיעוט מתקיימת ביסודה כסממן ליחסי הכוחות </w:t>
      </w:r>
      <w:r w:rsidRPr="00264698">
        <w:rPr>
          <w:rFonts w:ascii="David" w:hAnsi="David" w:cs="David"/>
          <w:sz w:val="24"/>
          <w:szCs w:val="24"/>
          <w:rtl/>
        </w:rPr>
        <w:lastRenderedPageBreak/>
        <w:t>בחברה. במרכזה של רשימה זו ניצבת הטענה כי על אף גודלה היחסי באוכלוסייה, אין לקבוצה החילונית השפעה תואמת על אורח החיים של חבריה." (רובינשטיין, 2019). רובינשטיין ממשיך "ההנחה הרווחת היא כי לנוכח גודלה היחסי של קבוצת הרוב, יהיה ביכולתה לשמר את ההגמוניה במרחב הציבורי. אולם רשימה זו תַ ראה כי הנחה זו אינה נכונה בהכרח." על פי רובינשטיין, החברה החילונית נמצאת במעמד השפעה נמוך על פי גודלה היחסי. מאמר זה הוא עדות למאבקי כוחות מתמשכים</w:t>
      </w:r>
      <w:r w:rsidR="007833CE" w:rsidRPr="00856E56">
        <w:rPr>
          <w:rFonts w:ascii="David" w:hAnsi="David" w:cs="David"/>
          <w:sz w:val="24"/>
          <w:szCs w:val="24"/>
          <w:rtl/>
        </w:rPr>
        <w:t>,</w:t>
      </w:r>
      <w:r w:rsidRPr="00264698">
        <w:rPr>
          <w:rFonts w:ascii="David" w:hAnsi="David" w:cs="David"/>
          <w:sz w:val="24"/>
          <w:szCs w:val="24"/>
          <w:rtl/>
        </w:rPr>
        <w:t xml:space="preserve"> בחברה הישראלית.</w:t>
      </w:r>
    </w:p>
    <w:p w14:paraId="5D436508" w14:textId="77777777" w:rsidR="00264698" w:rsidRPr="00A6349C" w:rsidRDefault="00264698" w:rsidP="00264698">
      <w:pPr>
        <w:spacing w:line="360" w:lineRule="auto"/>
        <w:jc w:val="both"/>
        <w:rPr>
          <w:rFonts w:ascii="David" w:hAnsi="David" w:cs="David"/>
          <w:b/>
          <w:bCs/>
          <w:sz w:val="24"/>
          <w:szCs w:val="24"/>
        </w:rPr>
      </w:pPr>
      <w:r w:rsidRPr="00A6349C">
        <w:rPr>
          <w:rFonts w:ascii="David" w:hAnsi="David" w:cs="David"/>
          <w:b/>
          <w:bCs/>
          <w:sz w:val="24"/>
          <w:szCs w:val="24"/>
          <w:rtl/>
        </w:rPr>
        <w:t>שאלת המחקר: </w:t>
      </w:r>
    </w:p>
    <w:p w14:paraId="5FB18A14" w14:textId="4D8E3E99" w:rsidR="00264698" w:rsidRPr="00264698" w:rsidRDefault="00264698" w:rsidP="00BA3094">
      <w:pPr>
        <w:spacing w:line="360" w:lineRule="auto"/>
        <w:jc w:val="both"/>
        <w:rPr>
          <w:rFonts w:ascii="David" w:hAnsi="David" w:cs="David"/>
          <w:sz w:val="24"/>
          <w:szCs w:val="24"/>
          <w:rtl/>
        </w:rPr>
      </w:pPr>
      <w:r w:rsidRPr="00264698">
        <w:rPr>
          <w:rFonts w:ascii="David" w:hAnsi="David" w:cs="David"/>
          <w:sz w:val="24"/>
          <w:szCs w:val="24"/>
          <w:rtl/>
        </w:rPr>
        <w:t>עד כמה עקרון הפלורליזם מיושם בחברה הישראלית, והאם הוא מצליח לקדם את הערכים שבעיקרון הזה?</w:t>
      </w:r>
    </w:p>
    <w:p w14:paraId="390B005A" w14:textId="77777777" w:rsidR="00264698" w:rsidRPr="00A6349C" w:rsidRDefault="00264698" w:rsidP="00264698">
      <w:pPr>
        <w:spacing w:line="360" w:lineRule="auto"/>
        <w:jc w:val="both"/>
        <w:rPr>
          <w:rFonts w:ascii="David" w:hAnsi="David" w:cs="David"/>
          <w:b/>
          <w:bCs/>
          <w:sz w:val="24"/>
          <w:szCs w:val="24"/>
        </w:rPr>
      </w:pPr>
      <w:r w:rsidRPr="00A6349C">
        <w:rPr>
          <w:rFonts w:ascii="David" w:hAnsi="David" w:cs="David"/>
          <w:b/>
          <w:bCs/>
          <w:sz w:val="24"/>
          <w:szCs w:val="24"/>
          <w:rtl/>
        </w:rPr>
        <w:t>טענה: </w:t>
      </w:r>
    </w:p>
    <w:p w14:paraId="423C986B" w14:textId="7425F6DB" w:rsidR="00264698" w:rsidRPr="00264698" w:rsidRDefault="00264698" w:rsidP="00BA3094">
      <w:pPr>
        <w:spacing w:line="360" w:lineRule="auto"/>
        <w:jc w:val="both"/>
        <w:rPr>
          <w:rFonts w:ascii="David" w:hAnsi="David" w:cs="David"/>
          <w:sz w:val="24"/>
          <w:szCs w:val="24"/>
          <w:rtl/>
        </w:rPr>
      </w:pPr>
      <w:r w:rsidRPr="00264698">
        <w:rPr>
          <w:rFonts w:ascii="David" w:hAnsi="David" w:cs="David"/>
          <w:sz w:val="24"/>
          <w:szCs w:val="24"/>
          <w:rtl/>
        </w:rPr>
        <w:t>בישראל קיים פלורליזם פוליטי, אשר מאפשר קיום הפגנות, וויכוחים ברשתות הטלוויזיה ודיונים ערים. אך למרות זאת, הממשל כושל ביישום עקרון הפלורליזם. כשלון זה מתבטא בעיקר בהפגנות של ציבור א' נגד ציבור ב'. דבר המעיד על מאבקי כוחות, מי החברה הגדולה שתחתיה השאר צריכים להתכופף. </w:t>
      </w:r>
    </w:p>
    <w:p w14:paraId="29B02966" w14:textId="77777777" w:rsidR="00264698" w:rsidRPr="00A6349C" w:rsidRDefault="00264698" w:rsidP="00264698">
      <w:pPr>
        <w:spacing w:line="360" w:lineRule="auto"/>
        <w:jc w:val="both"/>
        <w:rPr>
          <w:rFonts w:ascii="David" w:hAnsi="David" w:cs="David"/>
          <w:b/>
          <w:bCs/>
          <w:sz w:val="24"/>
          <w:szCs w:val="24"/>
        </w:rPr>
      </w:pPr>
      <w:r w:rsidRPr="00A6349C">
        <w:rPr>
          <w:rFonts w:ascii="David" w:hAnsi="David" w:cs="David"/>
          <w:b/>
          <w:bCs/>
          <w:sz w:val="24"/>
          <w:szCs w:val="24"/>
          <w:rtl/>
        </w:rPr>
        <w:t>החידוש וההצדקה:</w:t>
      </w:r>
    </w:p>
    <w:p w14:paraId="6630F070" w14:textId="77777777" w:rsidR="00264698" w:rsidRPr="00264698" w:rsidRDefault="00264698" w:rsidP="00264698">
      <w:pPr>
        <w:spacing w:line="360" w:lineRule="auto"/>
        <w:jc w:val="both"/>
        <w:rPr>
          <w:rFonts w:ascii="David" w:hAnsi="David" w:cs="David"/>
          <w:sz w:val="24"/>
          <w:szCs w:val="24"/>
          <w:rtl/>
        </w:rPr>
      </w:pPr>
      <w:r w:rsidRPr="00264698">
        <w:rPr>
          <w:rFonts w:ascii="David" w:hAnsi="David" w:cs="David"/>
          <w:sz w:val="24"/>
          <w:szCs w:val="24"/>
          <w:rtl/>
        </w:rPr>
        <w:t>במסגרת המאמר אציג גישה חדשנית בסוגיית הפלורליזם בחברה הישראלית, אנתח את שורשי הבעיה, תוך הישענות על מאמרים ומחקרים שנכתבו בנושא.  בנוסף, במסגרת המאמר, אציג פתרון אידיאלי המאפשר את קידום ערכי הפלורליזם. בעוד שאר המאמרים מציגים את הבעיה ומתעלמים כמעט לחלוטין מפתרונה, אני אציג את הבעיה והפתרון.  </w:t>
      </w:r>
    </w:p>
    <w:p w14:paraId="4DEB58E6" w14:textId="6F7C2B0A" w:rsidR="00264698" w:rsidRPr="00264698" w:rsidRDefault="00000000" w:rsidP="00BA3094">
      <w:pPr>
        <w:spacing w:line="360" w:lineRule="auto"/>
        <w:jc w:val="both"/>
        <w:rPr>
          <w:rFonts w:ascii="David" w:hAnsi="David" w:cs="David"/>
          <w:sz w:val="24"/>
          <w:szCs w:val="24"/>
          <w:rtl/>
        </w:rPr>
      </w:pPr>
      <w:hyperlink r:id="rId7" w:history="1">
        <w:dir w:val="rtl">
          <w:r>
            <w:t>‬</w:t>
          </w:r>
        </w:dir>
      </w:hyperlink>
    </w:p>
    <w:p w14:paraId="36BB1143" w14:textId="77777777" w:rsidR="00264698" w:rsidRPr="00856E56" w:rsidRDefault="00264698" w:rsidP="00264698">
      <w:pPr>
        <w:spacing w:line="360" w:lineRule="auto"/>
        <w:jc w:val="both"/>
        <w:rPr>
          <w:rFonts w:ascii="David" w:hAnsi="David" w:cs="David"/>
          <w:sz w:val="24"/>
          <w:szCs w:val="24"/>
          <w:rtl/>
        </w:rPr>
      </w:pPr>
    </w:p>
    <w:p w14:paraId="564E87C2" w14:textId="77777777" w:rsidR="00BA3094" w:rsidRPr="00856E56" w:rsidRDefault="00BA3094" w:rsidP="00264698">
      <w:pPr>
        <w:spacing w:line="360" w:lineRule="auto"/>
        <w:jc w:val="both"/>
        <w:rPr>
          <w:rFonts w:ascii="David" w:hAnsi="David" w:cs="David"/>
          <w:sz w:val="24"/>
          <w:szCs w:val="24"/>
          <w:rtl/>
        </w:rPr>
      </w:pPr>
    </w:p>
    <w:p w14:paraId="2B0D34D0" w14:textId="77777777" w:rsidR="00BA3094" w:rsidRPr="00856E56" w:rsidRDefault="00BA3094" w:rsidP="00264698">
      <w:pPr>
        <w:spacing w:line="360" w:lineRule="auto"/>
        <w:jc w:val="both"/>
        <w:rPr>
          <w:rFonts w:ascii="David" w:hAnsi="David" w:cs="David"/>
          <w:sz w:val="24"/>
          <w:szCs w:val="24"/>
          <w:rtl/>
        </w:rPr>
      </w:pPr>
    </w:p>
    <w:p w14:paraId="57B472F7" w14:textId="77777777" w:rsidR="00BA3094" w:rsidRPr="00856E56" w:rsidRDefault="00BA3094" w:rsidP="00264698">
      <w:pPr>
        <w:spacing w:line="360" w:lineRule="auto"/>
        <w:jc w:val="both"/>
        <w:rPr>
          <w:rFonts w:ascii="David" w:hAnsi="David" w:cs="David"/>
          <w:sz w:val="24"/>
          <w:szCs w:val="24"/>
          <w:rtl/>
        </w:rPr>
      </w:pPr>
    </w:p>
    <w:p w14:paraId="07698C41" w14:textId="77777777" w:rsidR="00BA3094" w:rsidRPr="00856E56" w:rsidRDefault="00BA3094" w:rsidP="00264698">
      <w:pPr>
        <w:spacing w:line="360" w:lineRule="auto"/>
        <w:jc w:val="both"/>
        <w:rPr>
          <w:rFonts w:ascii="David" w:hAnsi="David" w:cs="David"/>
          <w:sz w:val="24"/>
          <w:szCs w:val="24"/>
          <w:rtl/>
        </w:rPr>
      </w:pPr>
    </w:p>
    <w:p w14:paraId="7C03FCD2" w14:textId="77777777" w:rsidR="00BA3094" w:rsidRPr="00856E56" w:rsidRDefault="00BA3094" w:rsidP="00264698">
      <w:pPr>
        <w:spacing w:line="360" w:lineRule="auto"/>
        <w:jc w:val="both"/>
        <w:rPr>
          <w:rFonts w:ascii="David" w:hAnsi="David" w:cs="David"/>
          <w:sz w:val="24"/>
          <w:szCs w:val="24"/>
          <w:rtl/>
        </w:rPr>
      </w:pPr>
    </w:p>
    <w:p w14:paraId="69A8977B" w14:textId="77777777" w:rsidR="00BA3094" w:rsidRPr="00856E56" w:rsidRDefault="00BA3094" w:rsidP="00264698">
      <w:pPr>
        <w:spacing w:line="360" w:lineRule="auto"/>
        <w:jc w:val="both"/>
        <w:rPr>
          <w:rFonts w:ascii="David" w:hAnsi="David" w:cs="David"/>
          <w:sz w:val="24"/>
          <w:szCs w:val="24"/>
          <w:rtl/>
        </w:rPr>
      </w:pPr>
    </w:p>
    <w:p w14:paraId="34EA0519" w14:textId="77777777" w:rsidR="00BA3094" w:rsidRPr="00856E56" w:rsidRDefault="00BA3094" w:rsidP="00264698">
      <w:pPr>
        <w:spacing w:line="360" w:lineRule="auto"/>
        <w:jc w:val="both"/>
        <w:rPr>
          <w:rFonts w:ascii="David" w:hAnsi="David" w:cs="David"/>
          <w:sz w:val="24"/>
          <w:szCs w:val="24"/>
          <w:rtl/>
        </w:rPr>
      </w:pPr>
    </w:p>
    <w:p w14:paraId="6EF4E56B" w14:textId="77777777" w:rsidR="00BA3094" w:rsidRPr="00856E56" w:rsidRDefault="00BA3094" w:rsidP="00264698">
      <w:pPr>
        <w:spacing w:line="360" w:lineRule="auto"/>
        <w:jc w:val="both"/>
        <w:rPr>
          <w:rFonts w:ascii="David" w:hAnsi="David" w:cs="David"/>
          <w:sz w:val="24"/>
          <w:szCs w:val="24"/>
          <w:rtl/>
        </w:rPr>
      </w:pPr>
    </w:p>
    <w:p w14:paraId="0892F084" w14:textId="77777777" w:rsidR="00BA3094" w:rsidRPr="00856E56" w:rsidRDefault="00BA3094" w:rsidP="00264698">
      <w:pPr>
        <w:spacing w:line="360" w:lineRule="auto"/>
        <w:jc w:val="both"/>
        <w:rPr>
          <w:rFonts w:ascii="David" w:hAnsi="David" w:cs="David"/>
          <w:sz w:val="24"/>
          <w:szCs w:val="24"/>
          <w:rtl/>
        </w:rPr>
      </w:pPr>
    </w:p>
    <w:p w14:paraId="0D811ABC" w14:textId="77777777" w:rsidR="00BA3094" w:rsidRPr="00856E56" w:rsidRDefault="00BA3094" w:rsidP="00264698">
      <w:pPr>
        <w:spacing w:line="360" w:lineRule="auto"/>
        <w:jc w:val="both"/>
        <w:rPr>
          <w:rFonts w:ascii="David" w:hAnsi="David" w:cs="David"/>
          <w:sz w:val="24"/>
          <w:szCs w:val="24"/>
          <w:rtl/>
        </w:rPr>
      </w:pPr>
    </w:p>
    <w:p w14:paraId="58EF5EA5" w14:textId="77777777" w:rsidR="00BA3094" w:rsidRPr="00856E56" w:rsidRDefault="00BA3094" w:rsidP="00264698">
      <w:pPr>
        <w:spacing w:line="360" w:lineRule="auto"/>
        <w:jc w:val="both"/>
        <w:rPr>
          <w:rFonts w:ascii="David" w:hAnsi="David" w:cs="David"/>
          <w:sz w:val="24"/>
          <w:szCs w:val="24"/>
          <w:rtl/>
        </w:rPr>
      </w:pPr>
    </w:p>
    <w:p w14:paraId="47F06EAE" w14:textId="77777777" w:rsidR="00BA3094" w:rsidRPr="00264698" w:rsidRDefault="00BA3094" w:rsidP="00264698">
      <w:pPr>
        <w:spacing w:line="360" w:lineRule="auto"/>
        <w:jc w:val="both"/>
        <w:rPr>
          <w:rFonts w:ascii="David" w:hAnsi="David" w:cs="David"/>
          <w:sz w:val="24"/>
          <w:szCs w:val="24"/>
          <w:rtl/>
        </w:rPr>
      </w:pPr>
    </w:p>
    <w:p w14:paraId="1FFA9E8A" w14:textId="6F27BC91" w:rsidR="007A4A5A" w:rsidRPr="00856E56" w:rsidRDefault="00264698" w:rsidP="007A4A5A">
      <w:pPr>
        <w:spacing w:line="360" w:lineRule="auto"/>
        <w:jc w:val="both"/>
        <w:rPr>
          <w:rFonts w:ascii="David" w:hAnsi="David" w:cs="David"/>
          <w:b/>
          <w:bCs/>
          <w:sz w:val="24"/>
          <w:szCs w:val="24"/>
          <w:u w:val="single"/>
          <w:rtl/>
        </w:rPr>
      </w:pPr>
      <w:r w:rsidRPr="00856E56">
        <w:rPr>
          <w:rFonts w:ascii="David" w:hAnsi="David" w:cs="David"/>
          <w:b/>
          <w:bCs/>
          <w:sz w:val="24"/>
          <w:szCs w:val="24"/>
          <w:u w:val="single"/>
          <w:rtl/>
        </w:rPr>
        <w:lastRenderedPageBreak/>
        <w:t>פסקת המתווה:</w:t>
      </w:r>
      <w:r w:rsidRPr="00856E56">
        <w:rPr>
          <w:rFonts w:ascii="David" w:hAnsi="David" w:cs="David"/>
          <w:b/>
          <w:bCs/>
          <w:sz w:val="24"/>
          <w:szCs w:val="24"/>
          <w:u w:val="single"/>
        </w:rPr>
        <w:t xml:space="preserve"> </w:t>
      </w:r>
    </w:p>
    <w:p w14:paraId="1143C6CA" w14:textId="6BE4ADB0" w:rsidR="007A4A5A" w:rsidRPr="00856E56" w:rsidRDefault="007A4A5A" w:rsidP="007A4A5A">
      <w:pPr>
        <w:spacing w:line="360" w:lineRule="auto"/>
        <w:jc w:val="both"/>
        <w:rPr>
          <w:rFonts w:ascii="David" w:hAnsi="David" w:cs="David"/>
          <w:sz w:val="24"/>
          <w:szCs w:val="24"/>
          <w:rtl/>
        </w:rPr>
      </w:pPr>
      <w:r w:rsidRPr="00856E56">
        <w:rPr>
          <w:rFonts w:ascii="David" w:hAnsi="David" w:cs="David"/>
          <w:sz w:val="24"/>
          <w:szCs w:val="24"/>
          <w:rtl/>
        </w:rPr>
        <w:t>במאמר זה אני אסקור את נושא הפלורליזם בחברה הישראלית. ראשית, המאמר יעסוק בערך הפלורליזם, את מקורותיו ואת הרקע ההיסטורי שלו. בנוסף, אנתח את עקרון הפלורליזם בתחומי החיים השונים</w:t>
      </w:r>
      <w:r w:rsidR="00F86825" w:rsidRPr="00856E56">
        <w:rPr>
          <w:rFonts w:ascii="David" w:hAnsi="David" w:cs="David"/>
          <w:sz w:val="24"/>
          <w:szCs w:val="24"/>
          <w:rtl/>
        </w:rPr>
        <w:t>.</w:t>
      </w:r>
    </w:p>
    <w:p w14:paraId="5A677374" w14:textId="3DAC0E52" w:rsidR="00F86825" w:rsidRPr="00856E56" w:rsidRDefault="00F86825" w:rsidP="007A4A5A">
      <w:pPr>
        <w:spacing w:line="360" w:lineRule="auto"/>
        <w:jc w:val="both"/>
        <w:rPr>
          <w:rFonts w:ascii="David" w:hAnsi="David" w:cs="David"/>
          <w:sz w:val="24"/>
          <w:szCs w:val="24"/>
          <w:rtl/>
        </w:rPr>
      </w:pPr>
      <w:r w:rsidRPr="00856E56">
        <w:rPr>
          <w:rFonts w:ascii="David" w:hAnsi="David" w:cs="David"/>
          <w:sz w:val="24"/>
          <w:szCs w:val="24"/>
          <w:rtl/>
        </w:rPr>
        <w:t>ואעמוד על ההבדלים בינו לבין מדיניות "כור ההיתוך"</w:t>
      </w:r>
    </w:p>
    <w:p w14:paraId="461CE7ED" w14:textId="2CF8A666" w:rsidR="007A4A5A" w:rsidRPr="00856E56" w:rsidRDefault="00F86825" w:rsidP="00F86825">
      <w:pPr>
        <w:spacing w:line="360" w:lineRule="auto"/>
        <w:jc w:val="both"/>
        <w:rPr>
          <w:rFonts w:ascii="David" w:hAnsi="David" w:cs="David"/>
          <w:sz w:val="24"/>
          <w:szCs w:val="24"/>
          <w:rtl/>
        </w:rPr>
      </w:pPr>
      <w:r w:rsidRPr="00856E56">
        <w:rPr>
          <w:rFonts w:ascii="David" w:hAnsi="David" w:cs="David"/>
          <w:sz w:val="24"/>
          <w:szCs w:val="24"/>
          <w:rtl/>
        </w:rPr>
        <w:t xml:space="preserve">לאחר סקירה זו, אני אתמקד בחברה הישראלית וכיצד עקרון הפלורליזם מיושם בחברה הישראלית, תוך שאני מתייחס למדיניות כור ההיתוך שננקטה בישראל בשנותיה הראשונות. אסביר כיצד גישה זו משפיעה עלינו עד היום, אתייחס לקבוצות שונות בחברה ועל יחסי הכוחות בין הקבוצות השונות. </w:t>
      </w:r>
    </w:p>
    <w:p w14:paraId="3DE6717C" w14:textId="20222D24" w:rsidR="00F86825" w:rsidRPr="00856E56" w:rsidRDefault="00F86825" w:rsidP="00F86825">
      <w:pPr>
        <w:spacing w:line="360" w:lineRule="auto"/>
        <w:jc w:val="both"/>
        <w:rPr>
          <w:rFonts w:ascii="David" w:hAnsi="David" w:cs="David"/>
          <w:sz w:val="24"/>
          <w:szCs w:val="24"/>
          <w:rtl/>
        </w:rPr>
      </w:pPr>
      <w:r w:rsidRPr="00856E56">
        <w:rPr>
          <w:rFonts w:ascii="David" w:hAnsi="David" w:cs="David"/>
          <w:sz w:val="24"/>
          <w:szCs w:val="24"/>
          <w:rtl/>
        </w:rPr>
        <w:t xml:space="preserve">לאחר סקירה זו, אני אתמקד בשאלת המחקר הראשית של המאמר, </w:t>
      </w:r>
      <w:r w:rsidRPr="00264698">
        <w:rPr>
          <w:rFonts w:ascii="David" w:hAnsi="David" w:cs="David"/>
          <w:sz w:val="24"/>
          <w:szCs w:val="24"/>
          <w:rtl/>
        </w:rPr>
        <w:t>עד כמה עקרון הפלורליזם מיושם בחברה הישראלית</w:t>
      </w:r>
      <w:r w:rsidRPr="00856E56">
        <w:rPr>
          <w:rFonts w:ascii="David" w:hAnsi="David" w:cs="David"/>
          <w:sz w:val="24"/>
          <w:szCs w:val="24"/>
          <w:rtl/>
        </w:rPr>
        <w:t>.</w:t>
      </w:r>
    </w:p>
    <w:p w14:paraId="37789542" w14:textId="77777777" w:rsidR="00140B7E" w:rsidRPr="00856E56" w:rsidRDefault="00140B7E" w:rsidP="00F86825">
      <w:pPr>
        <w:spacing w:line="360" w:lineRule="auto"/>
        <w:jc w:val="both"/>
        <w:rPr>
          <w:rFonts w:ascii="David" w:hAnsi="David" w:cs="David"/>
          <w:sz w:val="24"/>
          <w:szCs w:val="24"/>
          <w:rtl/>
        </w:rPr>
      </w:pPr>
      <w:r w:rsidRPr="00856E56">
        <w:rPr>
          <w:rFonts w:ascii="David" w:hAnsi="David" w:cs="David"/>
          <w:sz w:val="24"/>
          <w:szCs w:val="24"/>
          <w:rtl/>
        </w:rPr>
        <w:t>מתווה הפתרון שלי יבוא כדלקמן:</w:t>
      </w:r>
    </w:p>
    <w:p w14:paraId="2AC35AEA" w14:textId="052FA4DA" w:rsidR="00140B7E" w:rsidRPr="00264698" w:rsidRDefault="00F86825" w:rsidP="00140B7E">
      <w:pPr>
        <w:spacing w:line="360" w:lineRule="auto"/>
        <w:jc w:val="both"/>
        <w:rPr>
          <w:rFonts w:ascii="David" w:hAnsi="David" w:cs="David"/>
          <w:sz w:val="24"/>
          <w:szCs w:val="24"/>
          <w:rtl/>
        </w:rPr>
      </w:pPr>
      <w:r w:rsidRPr="00856E56">
        <w:rPr>
          <w:rFonts w:ascii="David" w:hAnsi="David" w:cs="David"/>
          <w:sz w:val="24"/>
          <w:szCs w:val="24"/>
          <w:rtl/>
        </w:rPr>
        <w:t xml:space="preserve"> </w:t>
      </w:r>
      <w:r w:rsidR="00140B7E" w:rsidRPr="00856E56">
        <w:rPr>
          <w:rFonts w:ascii="David" w:hAnsi="David" w:cs="David"/>
          <w:sz w:val="24"/>
          <w:szCs w:val="24"/>
          <w:rtl/>
        </w:rPr>
        <w:t xml:space="preserve">במסגרת הפתרון ייערך סקר אשר יתפרס על פני 5 שנים, אשר ישתתפו בו אנשים קבועים אשר ייבחרו ממגוון האוכלוסייה בישראל, בדומה למדידת הרייטינג. סקר זה יבדוק את מגמת יישום הפלורליזם בחברה הישראלית. לאחר סקר זה ושכלול תוצאותיו, אבצע  השוואה בין תוצאות הסקר לבין תשובות של סקרים אחרים בנושא. לאחר השוואה זו, אתן את הצבעת הפתרון שלי. </w:t>
      </w:r>
    </w:p>
    <w:p w14:paraId="4B1CF096" w14:textId="21E72216" w:rsidR="00BA3094" w:rsidRPr="00856E56" w:rsidRDefault="00BA3094" w:rsidP="00F86825">
      <w:pPr>
        <w:spacing w:line="360" w:lineRule="auto"/>
        <w:jc w:val="both"/>
        <w:rPr>
          <w:rFonts w:ascii="David" w:hAnsi="David" w:cs="David"/>
          <w:sz w:val="24"/>
          <w:szCs w:val="24"/>
          <w:rtl/>
        </w:rPr>
      </w:pPr>
    </w:p>
    <w:p w14:paraId="0DE114FF" w14:textId="77777777" w:rsidR="00856E56" w:rsidRPr="00856E56" w:rsidRDefault="00856E56" w:rsidP="00BA3094">
      <w:pPr>
        <w:rPr>
          <w:rFonts w:ascii="David" w:hAnsi="David" w:cs="David"/>
          <w:sz w:val="24"/>
          <w:szCs w:val="24"/>
          <w:rtl/>
        </w:rPr>
      </w:pPr>
      <w:r w:rsidRPr="00856E56">
        <w:rPr>
          <w:rFonts w:ascii="David" w:hAnsi="David" w:cs="David"/>
          <w:sz w:val="24"/>
          <w:szCs w:val="24"/>
          <w:rtl/>
        </w:rPr>
        <w:br/>
      </w:r>
    </w:p>
    <w:sdt>
      <w:sdtPr>
        <w:rPr>
          <w:rFonts w:ascii="David" w:eastAsiaTheme="minorHAnsi" w:hAnsi="David" w:cs="David"/>
          <w:color w:val="auto"/>
          <w:sz w:val="22"/>
          <w:szCs w:val="22"/>
          <w:rtl/>
          <w:lang w:val="he-IL"/>
        </w:rPr>
        <w:id w:val="553890881"/>
        <w:docPartObj>
          <w:docPartGallery w:val="Bibliographies"/>
          <w:docPartUnique/>
        </w:docPartObj>
      </w:sdtPr>
      <w:sdtEndPr>
        <w:rPr>
          <w:lang w:val="en-US"/>
        </w:rPr>
      </w:sdtEndPr>
      <w:sdtContent>
        <w:p w14:paraId="04797650" w14:textId="51E2D937" w:rsidR="00856E56" w:rsidRPr="00856E56" w:rsidRDefault="00856E56">
          <w:pPr>
            <w:pStyle w:val="1"/>
            <w:rPr>
              <w:rFonts w:ascii="David" w:hAnsi="David" w:cs="David"/>
            </w:rPr>
          </w:pPr>
          <w:r w:rsidRPr="00856E56">
            <w:rPr>
              <w:rFonts w:ascii="David" w:hAnsi="David" w:cs="David"/>
              <w:rtl/>
              <w:lang w:val="he-IL"/>
            </w:rPr>
            <w:t xml:space="preserve">ביבליוגרפיה </w:t>
          </w:r>
        </w:p>
        <w:sdt>
          <w:sdtPr>
            <w:rPr>
              <w:rFonts w:ascii="David" w:hAnsi="David" w:cs="David"/>
              <w:rtl/>
            </w:rPr>
            <w:id w:val="-573587230"/>
            <w:bibliography/>
          </w:sdtPr>
          <w:sdtContent>
            <w:p w14:paraId="39B11B3B" w14:textId="77777777" w:rsidR="00856E56" w:rsidRPr="00856E56" w:rsidRDefault="00856E56" w:rsidP="00856E56">
              <w:pPr>
                <w:rPr>
                  <w:rFonts w:ascii="David" w:hAnsi="David" w:cs="David"/>
                  <w:sz w:val="24"/>
                  <w:szCs w:val="24"/>
                </w:rPr>
              </w:pPr>
              <w:proofErr w:type="spellStart"/>
              <w:r w:rsidRPr="00856E56">
                <w:rPr>
                  <w:rFonts w:ascii="David" w:hAnsi="David" w:cs="David"/>
                  <w:sz w:val="24"/>
                  <w:szCs w:val="24"/>
                  <w:rtl/>
                </w:rPr>
                <w:t>צויג</w:t>
              </w:r>
              <w:proofErr w:type="spellEnd"/>
              <w:r w:rsidRPr="00856E56">
                <w:rPr>
                  <w:rFonts w:ascii="David" w:hAnsi="David" w:cs="David"/>
                  <w:sz w:val="24"/>
                  <w:szCs w:val="24"/>
                  <w:rtl/>
                </w:rPr>
                <w:t>, מיכל. "כור ההיתוך - בין הלכה למעשה</w:t>
              </w:r>
              <w:r w:rsidRPr="00856E56">
                <w:rPr>
                  <w:rFonts w:ascii="David" w:hAnsi="David" w:cs="David"/>
                  <w:sz w:val="24"/>
                  <w:szCs w:val="24"/>
                </w:rPr>
                <w:t xml:space="preserve">." </w:t>
              </w:r>
              <w:r w:rsidRPr="00856E56">
                <w:rPr>
                  <w:rFonts w:ascii="David" w:hAnsi="David" w:cs="David"/>
                  <w:i/>
                  <w:iCs/>
                  <w:sz w:val="24"/>
                  <w:szCs w:val="24"/>
                  <w:rtl/>
                </w:rPr>
                <w:t>ישראלים: כתב עת רב-תחומי לחקר ישראל</w:t>
              </w:r>
              <w:r w:rsidRPr="00856E56">
                <w:rPr>
                  <w:rFonts w:ascii="David" w:hAnsi="David" w:cs="David"/>
                  <w:sz w:val="24"/>
                  <w:szCs w:val="24"/>
                </w:rPr>
                <w:t xml:space="preserve">, </w:t>
              </w:r>
              <w:r w:rsidRPr="00856E56">
                <w:rPr>
                  <w:rFonts w:ascii="David" w:hAnsi="David" w:cs="David"/>
                  <w:sz w:val="24"/>
                  <w:szCs w:val="24"/>
                  <w:rtl/>
                </w:rPr>
                <w:t>כרך 1, 2007, עמ' 19-55</w:t>
              </w:r>
              <w:r w:rsidRPr="00856E56">
                <w:rPr>
                  <w:rFonts w:ascii="David" w:hAnsi="David" w:cs="David"/>
                  <w:sz w:val="24"/>
                  <w:szCs w:val="24"/>
                </w:rPr>
                <w:t>.</w:t>
              </w:r>
            </w:p>
            <w:p w14:paraId="5A6E872A" w14:textId="77777777" w:rsidR="00856E56" w:rsidRPr="00856E56" w:rsidRDefault="00856E56" w:rsidP="00856E56">
              <w:pPr>
                <w:rPr>
                  <w:rFonts w:ascii="David" w:hAnsi="David" w:cs="David"/>
                  <w:sz w:val="24"/>
                  <w:szCs w:val="24"/>
                </w:rPr>
              </w:pPr>
              <w:r w:rsidRPr="00856E56">
                <w:rPr>
                  <w:rFonts w:ascii="David" w:hAnsi="David" w:cs="David"/>
                  <w:sz w:val="24"/>
                  <w:szCs w:val="24"/>
                  <w:rtl/>
                </w:rPr>
                <w:t>רובינשטיין, אמנון, גאון, אביב. "המיעוט החילוני</w:t>
              </w:r>
              <w:r w:rsidRPr="00856E56">
                <w:rPr>
                  <w:rFonts w:ascii="David" w:hAnsi="David" w:cs="David"/>
                  <w:sz w:val="24"/>
                  <w:szCs w:val="24"/>
                </w:rPr>
                <w:t xml:space="preserve">." </w:t>
              </w:r>
              <w:r w:rsidRPr="00856E56">
                <w:rPr>
                  <w:rFonts w:ascii="David" w:hAnsi="David" w:cs="David"/>
                  <w:i/>
                  <w:iCs/>
                  <w:sz w:val="24"/>
                  <w:szCs w:val="24"/>
                  <w:rtl/>
                </w:rPr>
                <w:t>משפט ועסקים</w:t>
              </w:r>
              <w:r w:rsidRPr="00856E56">
                <w:rPr>
                  <w:rFonts w:ascii="David" w:hAnsi="David" w:cs="David"/>
                  <w:sz w:val="24"/>
                  <w:szCs w:val="24"/>
                </w:rPr>
                <w:t xml:space="preserve">, </w:t>
              </w:r>
              <w:r w:rsidRPr="00856E56">
                <w:rPr>
                  <w:rFonts w:ascii="David" w:hAnsi="David" w:cs="David"/>
                  <w:sz w:val="24"/>
                  <w:szCs w:val="24"/>
                  <w:rtl/>
                </w:rPr>
                <w:t>כרך כ"ב, 2019, עמ' 197-250</w:t>
              </w:r>
              <w:r w:rsidRPr="00856E56">
                <w:rPr>
                  <w:rFonts w:ascii="David" w:hAnsi="David" w:cs="David"/>
                  <w:sz w:val="24"/>
                  <w:szCs w:val="24"/>
                </w:rPr>
                <w:t>.</w:t>
              </w:r>
            </w:p>
            <w:p w14:paraId="5D444334" w14:textId="77777777" w:rsidR="00856E56" w:rsidRPr="00856E56" w:rsidRDefault="00856E56" w:rsidP="00856E56">
              <w:pPr>
                <w:rPr>
                  <w:rFonts w:ascii="David" w:hAnsi="David" w:cs="David"/>
                  <w:sz w:val="24"/>
                  <w:szCs w:val="24"/>
                </w:rPr>
              </w:pPr>
              <w:proofErr w:type="spellStart"/>
              <w:r w:rsidRPr="00856E56">
                <w:rPr>
                  <w:rFonts w:ascii="David" w:hAnsi="David" w:cs="David"/>
                  <w:sz w:val="24"/>
                  <w:szCs w:val="24"/>
                  <w:rtl/>
                </w:rPr>
                <w:t>אינגדאו</w:t>
              </w:r>
              <w:proofErr w:type="spellEnd"/>
              <w:r w:rsidRPr="00856E56">
                <w:rPr>
                  <w:rFonts w:ascii="David" w:hAnsi="David" w:cs="David"/>
                  <w:sz w:val="24"/>
                  <w:szCs w:val="24"/>
                  <w:rtl/>
                </w:rPr>
                <w:t>-ונדה, שלי, ישראל, מורן. ""אנחנו" ו"הם": תפיסות של אנשי מערכת החינוך ביחס ליוצאי אתיופיה</w:t>
              </w:r>
              <w:r w:rsidRPr="00856E56">
                <w:rPr>
                  <w:rFonts w:ascii="David" w:hAnsi="David" w:cs="David"/>
                  <w:sz w:val="24"/>
                  <w:szCs w:val="24"/>
                </w:rPr>
                <w:t xml:space="preserve">." </w:t>
              </w:r>
              <w:r w:rsidRPr="00856E56">
                <w:rPr>
                  <w:rFonts w:ascii="David" w:hAnsi="David" w:cs="David"/>
                  <w:i/>
                  <w:iCs/>
                  <w:sz w:val="24"/>
                  <w:szCs w:val="24"/>
                  <w:rtl/>
                </w:rPr>
                <w:t>מפגש לעבודה חינוכית-סוציאלית</w:t>
              </w:r>
              <w:r w:rsidRPr="00856E56">
                <w:rPr>
                  <w:rFonts w:ascii="David" w:hAnsi="David" w:cs="David"/>
                  <w:sz w:val="24"/>
                  <w:szCs w:val="24"/>
                </w:rPr>
                <w:t xml:space="preserve">, </w:t>
              </w:r>
              <w:r w:rsidRPr="00856E56">
                <w:rPr>
                  <w:rFonts w:ascii="David" w:hAnsi="David" w:cs="David"/>
                  <w:sz w:val="24"/>
                  <w:szCs w:val="24"/>
                  <w:rtl/>
                </w:rPr>
                <w:t>כרך כ"ט, גיליון 53, יוני 2021, עמ' 167-192</w:t>
              </w:r>
              <w:r w:rsidRPr="00856E56">
                <w:rPr>
                  <w:rFonts w:ascii="David" w:hAnsi="David" w:cs="David"/>
                  <w:sz w:val="24"/>
                  <w:szCs w:val="24"/>
                </w:rPr>
                <w:t>.</w:t>
              </w:r>
            </w:p>
            <w:p w14:paraId="42BC7F2E" w14:textId="1ED2FFC7" w:rsidR="00856E56" w:rsidRPr="00856E56" w:rsidRDefault="00000000">
              <w:pPr>
                <w:rPr>
                  <w:rFonts w:ascii="David" w:hAnsi="David" w:cs="David"/>
                </w:rPr>
              </w:pPr>
            </w:p>
          </w:sdtContent>
        </w:sdt>
      </w:sdtContent>
    </w:sdt>
    <w:p w14:paraId="09025DA0" w14:textId="65C2FD3A" w:rsidR="00856E56" w:rsidRPr="00856E56" w:rsidRDefault="00856E56">
      <w:pPr>
        <w:rPr>
          <w:rFonts w:ascii="David" w:hAnsi="David" w:cs="David"/>
        </w:rPr>
      </w:pPr>
    </w:p>
    <w:p w14:paraId="1A78A88E" w14:textId="7696AFBE" w:rsidR="00F86825" w:rsidRPr="00856E56" w:rsidRDefault="00F86825" w:rsidP="00BA3094">
      <w:pPr>
        <w:rPr>
          <w:rFonts w:ascii="David" w:hAnsi="David" w:cs="David"/>
          <w:sz w:val="24"/>
          <w:szCs w:val="24"/>
          <w:rtl/>
        </w:rPr>
      </w:pPr>
    </w:p>
    <w:sectPr w:rsidR="00F86825" w:rsidRPr="00856E56" w:rsidSect="00BA3094">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1C5FE3" w14:textId="77777777" w:rsidR="00631913" w:rsidRDefault="00631913" w:rsidP="00BA3094">
      <w:pPr>
        <w:spacing w:after="0" w:line="240" w:lineRule="auto"/>
      </w:pPr>
      <w:r>
        <w:separator/>
      </w:r>
    </w:p>
  </w:endnote>
  <w:endnote w:type="continuationSeparator" w:id="0">
    <w:p w14:paraId="0965EB8E" w14:textId="77777777" w:rsidR="00631913" w:rsidRDefault="00631913" w:rsidP="00BA3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519665111"/>
      <w:docPartObj>
        <w:docPartGallery w:val="Page Numbers (Bottom of Page)"/>
        <w:docPartUnique/>
      </w:docPartObj>
    </w:sdtPr>
    <w:sdtContent>
      <w:p w14:paraId="3DCED150" w14:textId="29A08E37" w:rsidR="00BA3094" w:rsidRDefault="00BA3094">
        <w:pPr>
          <w:pStyle w:val="af3"/>
        </w:pPr>
        <w:r>
          <w:rPr>
            <w:noProof/>
            <w:rtl/>
          </w:rPr>
          <mc:AlternateContent>
            <mc:Choice Requires="wps">
              <w:drawing>
                <wp:anchor distT="0" distB="0" distL="114300" distR="114300" simplePos="0" relativeHeight="251659264" behindDoc="0" locked="0" layoutInCell="1" allowOverlap="1" wp14:anchorId="40DC3BE8" wp14:editId="75FF21F1">
                  <wp:simplePos x="0" y="0"/>
                  <wp:positionH relativeFrom="leftMargin">
                    <wp:align>center</wp:align>
                  </wp:positionH>
                  <wp:positionV relativeFrom="bottomMargin">
                    <wp:align>top</wp:align>
                  </wp:positionV>
                  <wp:extent cx="762000" cy="895350"/>
                  <wp:effectExtent l="0" t="0" r="0" b="0"/>
                  <wp:wrapNone/>
                  <wp:docPr id="309332767" name="מלבן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tl/>
                                </w:rPr>
                                <w:id w:val="1709992740"/>
                              </w:sdtPr>
                              <w:sdtContent>
                                <w:sdt>
                                  <w:sdtPr>
                                    <w:rPr>
                                      <w:rFonts w:asciiTheme="majorHAnsi" w:eastAsiaTheme="majorEastAsia" w:hAnsiTheme="majorHAnsi" w:cstheme="majorBidi"/>
                                      <w:sz w:val="48"/>
                                      <w:szCs w:val="48"/>
                                      <w:rtl/>
                                    </w:rPr>
                                    <w:id w:val="-1904517296"/>
                                  </w:sdtPr>
                                  <w:sdtContent>
                                    <w:p w14:paraId="5BF31D74" w14:textId="77777777" w:rsidR="00BA3094" w:rsidRDefault="00BA3094">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8"/>
                                          <w:szCs w:val="48"/>
                                          <w:rtl/>
                                          <w:lang w:val="he-IL"/>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DC3BE8" id="מלבן 1" o:spid="_x0000_s1028" style="position:absolute;left:0;text-align:left;margin-left:0;margin-top:0;width:60pt;height:70.5pt;flip:x;z-index:251659264;visibility:visible;mso-wrap-style:square;mso-width-percent:0;mso-height-percent:0;mso-wrap-distance-left:9pt;mso-wrap-distance-top:0;mso-wrap-distance-right:9pt;mso-wrap-distance-bottom:0;mso-position-horizontal:center;mso-position-horizontal-relative:lef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" stroked="f">
                  <v:textbox>
                    <w:txbxContent>
                      <w:sdt>
                        <w:sdtPr>
                          <w:rPr>
                            <w:rFonts w:asciiTheme="majorHAnsi" w:eastAsiaTheme="majorEastAsia" w:hAnsiTheme="majorHAnsi" w:cstheme="majorBidi"/>
                            <w:sz w:val="48"/>
                            <w:szCs w:val="48"/>
                            <w:rtl/>
                          </w:rPr>
                          <w:id w:val="1709992740"/>
                        </w:sdtPr>
                        <w:sdtContent>
                          <w:sdt>
                            <w:sdtPr>
                              <w:rPr>
                                <w:rFonts w:asciiTheme="majorHAnsi" w:eastAsiaTheme="majorEastAsia" w:hAnsiTheme="majorHAnsi" w:cstheme="majorBidi"/>
                                <w:sz w:val="48"/>
                                <w:szCs w:val="48"/>
                                <w:rtl/>
                              </w:rPr>
                              <w:id w:val="-1904517296"/>
                            </w:sdtPr>
                            <w:sdtContent>
                              <w:p w14:paraId="5BF31D74" w14:textId="77777777" w:rsidR="00BA3094" w:rsidRDefault="00BA3094">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8"/>
                                    <w:szCs w:val="48"/>
                                    <w:rtl/>
                                    <w:lang w:val="he-IL"/>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780C25" w14:textId="77777777" w:rsidR="00631913" w:rsidRDefault="00631913" w:rsidP="00BA3094">
      <w:pPr>
        <w:spacing w:after="0" w:line="240" w:lineRule="auto"/>
      </w:pPr>
      <w:r>
        <w:separator/>
      </w:r>
    </w:p>
  </w:footnote>
  <w:footnote w:type="continuationSeparator" w:id="0">
    <w:p w14:paraId="5D558D34" w14:textId="77777777" w:rsidR="00631913" w:rsidRDefault="00631913" w:rsidP="00BA30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698"/>
    <w:rsid w:val="000523B0"/>
    <w:rsid w:val="00140B7E"/>
    <w:rsid w:val="002308B6"/>
    <w:rsid w:val="00264698"/>
    <w:rsid w:val="00281EEA"/>
    <w:rsid w:val="004A0452"/>
    <w:rsid w:val="00631913"/>
    <w:rsid w:val="006C3772"/>
    <w:rsid w:val="006F1C93"/>
    <w:rsid w:val="007833CE"/>
    <w:rsid w:val="007A4A5A"/>
    <w:rsid w:val="00856E56"/>
    <w:rsid w:val="00955336"/>
    <w:rsid w:val="00A6349C"/>
    <w:rsid w:val="00BA3094"/>
    <w:rsid w:val="00E3132A"/>
    <w:rsid w:val="00E6186C"/>
    <w:rsid w:val="00F8682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F8DCA"/>
  <w15:chartTrackingRefBased/>
  <w15:docId w15:val="{21CF453B-3BBC-43D1-AB32-6B98019BB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4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64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646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646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46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46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46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46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46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6469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6469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6469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64698"/>
    <w:rPr>
      <w:rFonts w:eastAsiaTheme="majorEastAsia" w:cstheme="majorBidi"/>
      <w:i/>
      <w:iCs/>
      <w:color w:val="0F4761" w:themeColor="accent1" w:themeShade="BF"/>
    </w:rPr>
  </w:style>
  <w:style w:type="character" w:customStyle="1" w:styleId="50">
    <w:name w:val="כותרת 5 תו"/>
    <w:basedOn w:val="a0"/>
    <w:link w:val="5"/>
    <w:uiPriority w:val="9"/>
    <w:semiHidden/>
    <w:rsid w:val="00264698"/>
    <w:rPr>
      <w:rFonts w:eastAsiaTheme="majorEastAsia" w:cstheme="majorBidi"/>
      <w:color w:val="0F4761" w:themeColor="accent1" w:themeShade="BF"/>
    </w:rPr>
  </w:style>
  <w:style w:type="character" w:customStyle="1" w:styleId="60">
    <w:name w:val="כותרת 6 תו"/>
    <w:basedOn w:val="a0"/>
    <w:link w:val="6"/>
    <w:uiPriority w:val="9"/>
    <w:semiHidden/>
    <w:rsid w:val="00264698"/>
    <w:rPr>
      <w:rFonts w:eastAsiaTheme="majorEastAsia" w:cstheme="majorBidi"/>
      <w:i/>
      <w:iCs/>
      <w:color w:val="595959" w:themeColor="text1" w:themeTint="A6"/>
    </w:rPr>
  </w:style>
  <w:style w:type="character" w:customStyle="1" w:styleId="70">
    <w:name w:val="כותרת 7 תו"/>
    <w:basedOn w:val="a0"/>
    <w:link w:val="7"/>
    <w:uiPriority w:val="9"/>
    <w:semiHidden/>
    <w:rsid w:val="00264698"/>
    <w:rPr>
      <w:rFonts w:eastAsiaTheme="majorEastAsia" w:cstheme="majorBidi"/>
      <w:color w:val="595959" w:themeColor="text1" w:themeTint="A6"/>
    </w:rPr>
  </w:style>
  <w:style w:type="character" w:customStyle="1" w:styleId="80">
    <w:name w:val="כותרת 8 תו"/>
    <w:basedOn w:val="a0"/>
    <w:link w:val="8"/>
    <w:uiPriority w:val="9"/>
    <w:semiHidden/>
    <w:rsid w:val="00264698"/>
    <w:rPr>
      <w:rFonts w:eastAsiaTheme="majorEastAsia" w:cstheme="majorBidi"/>
      <w:i/>
      <w:iCs/>
      <w:color w:val="272727" w:themeColor="text1" w:themeTint="D8"/>
    </w:rPr>
  </w:style>
  <w:style w:type="character" w:customStyle="1" w:styleId="90">
    <w:name w:val="כותרת 9 תו"/>
    <w:basedOn w:val="a0"/>
    <w:link w:val="9"/>
    <w:uiPriority w:val="9"/>
    <w:semiHidden/>
    <w:rsid w:val="00264698"/>
    <w:rPr>
      <w:rFonts w:eastAsiaTheme="majorEastAsia" w:cstheme="majorBidi"/>
      <w:color w:val="272727" w:themeColor="text1" w:themeTint="D8"/>
    </w:rPr>
  </w:style>
  <w:style w:type="paragraph" w:styleId="a3">
    <w:name w:val="Title"/>
    <w:basedOn w:val="a"/>
    <w:next w:val="a"/>
    <w:link w:val="a4"/>
    <w:uiPriority w:val="10"/>
    <w:qFormat/>
    <w:rsid w:val="00264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646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469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6469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64698"/>
    <w:pPr>
      <w:spacing w:before="160"/>
      <w:jc w:val="center"/>
    </w:pPr>
    <w:rPr>
      <w:i/>
      <w:iCs/>
      <w:color w:val="404040" w:themeColor="text1" w:themeTint="BF"/>
    </w:rPr>
  </w:style>
  <w:style w:type="character" w:customStyle="1" w:styleId="a8">
    <w:name w:val="ציטוט תו"/>
    <w:basedOn w:val="a0"/>
    <w:link w:val="a7"/>
    <w:uiPriority w:val="29"/>
    <w:rsid w:val="00264698"/>
    <w:rPr>
      <w:i/>
      <w:iCs/>
      <w:color w:val="404040" w:themeColor="text1" w:themeTint="BF"/>
    </w:rPr>
  </w:style>
  <w:style w:type="paragraph" w:styleId="a9">
    <w:name w:val="List Paragraph"/>
    <w:basedOn w:val="a"/>
    <w:uiPriority w:val="34"/>
    <w:qFormat/>
    <w:rsid w:val="00264698"/>
    <w:pPr>
      <w:ind w:left="720"/>
      <w:contextualSpacing/>
    </w:pPr>
  </w:style>
  <w:style w:type="character" w:styleId="aa">
    <w:name w:val="Intense Emphasis"/>
    <w:basedOn w:val="a0"/>
    <w:uiPriority w:val="21"/>
    <w:qFormat/>
    <w:rsid w:val="00264698"/>
    <w:rPr>
      <w:i/>
      <w:iCs/>
      <w:color w:val="0F4761" w:themeColor="accent1" w:themeShade="BF"/>
    </w:rPr>
  </w:style>
  <w:style w:type="paragraph" w:styleId="ab">
    <w:name w:val="Intense Quote"/>
    <w:basedOn w:val="a"/>
    <w:next w:val="a"/>
    <w:link w:val="ac"/>
    <w:uiPriority w:val="30"/>
    <w:qFormat/>
    <w:rsid w:val="00264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64698"/>
    <w:rPr>
      <w:i/>
      <w:iCs/>
      <w:color w:val="0F4761" w:themeColor="accent1" w:themeShade="BF"/>
    </w:rPr>
  </w:style>
  <w:style w:type="character" w:styleId="ad">
    <w:name w:val="Intense Reference"/>
    <w:basedOn w:val="a0"/>
    <w:uiPriority w:val="32"/>
    <w:qFormat/>
    <w:rsid w:val="00264698"/>
    <w:rPr>
      <w:b/>
      <w:bCs/>
      <w:smallCaps/>
      <w:color w:val="0F4761" w:themeColor="accent1" w:themeShade="BF"/>
      <w:spacing w:val="5"/>
    </w:rPr>
  </w:style>
  <w:style w:type="character" w:styleId="Hyperlink">
    <w:name w:val="Hyperlink"/>
    <w:basedOn w:val="a0"/>
    <w:uiPriority w:val="99"/>
    <w:unhideWhenUsed/>
    <w:rsid w:val="00264698"/>
    <w:rPr>
      <w:color w:val="467886" w:themeColor="hyperlink"/>
      <w:u w:val="single"/>
    </w:rPr>
  </w:style>
  <w:style w:type="character" w:styleId="ae">
    <w:name w:val="Unresolved Mention"/>
    <w:basedOn w:val="a0"/>
    <w:uiPriority w:val="99"/>
    <w:semiHidden/>
    <w:unhideWhenUsed/>
    <w:rsid w:val="00264698"/>
    <w:rPr>
      <w:color w:val="605E5C"/>
      <w:shd w:val="clear" w:color="auto" w:fill="E1DFDD"/>
    </w:rPr>
  </w:style>
  <w:style w:type="paragraph" w:styleId="af">
    <w:name w:val="No Spacing"/>
    <w:link w:val="af0"/>
    <w:uiPriority w:val="1"/>
    <w:qFormat/>
    <w:rsid w:val="00BA3094"/>
    <w:pPr>
      <w:spacing w:after="0" w:line="240" w:lineRule="auto"/>
    </w:pPr>
    <w:rPr>
      <w:rFonts w:eastAsiaTheme="minorEastAsia"/>
      <w14:ligatures w14:val="none"/>
    </w:rPr>
  </w:style>
  <w:style w:type="character" w:customStyle="1" w:styleId="af0">
    <w:name w:val="ללא מרווח תו"/>
    <w:basedOn w:val="a0"/>
    <w:link w:val="af"/>
    <w:uiPriority w:val="1"/>
    <w:rsid w:val="00BA3094"/>
    <w:rPr>
      <w:rFonts w:eastAsiaTheme="minorEastAsia"/>
      <w14:ligatures w14:val="none"/>
    </w:rPr>
  </w:style>
  <w:style w:type="paragraph" w:styleId="af1">
    <w:name w:val="header"/>
    <w:basedOn w:val="a"/>
    <w:link w:val="af2"/>
    <w:uiPriority w:val="99"/>
    <w:unhideWhenUsed/>
    <w:rsid w:val="00BA3094"/>
    <w:pPr>
      <w:tabs>
        <w:tab w:val="center" w:pos="4513"/>
        <w:tab w:val="right" w:pos="9026"/>
      </w:tabs>
      <w:spacing w:after="0" w:line="240" w:lineRule="auto"/>
    </w:pPr>
  </w:style>
  <w:style w:type="character" w:customStyle="1" w:styleId="af2">
    <w:name w:val="כותרת עליונה תו"/>
    <w:basedOn w:val="a0"/>
    <w:link w:val="af1"/>
    <w:uiPriority w:val="99"/>
    <w:rsid w:val="00BA3094"/>
  </w:style>
  <w:style w:type="paragraph" w:styleId="af3">
    <w:name w:val="footer"/>
    <w:basedOn w:val="a"/>
    <w:link w:val="af4"/>
    <w:uiPriority w:val="99"/>
    <w:unhideWhenUsed/>
    <w:rsid w:val="00BA3094"/>
    <w:pPr>
      <w:tabs>
        <w:tab w:val="center" w:pos="4513"/>
        <w:tab w:val="right" w:pos="9026"/>
      </w:tabs>
      <w:spacing w:after="0" w:line="240" w:lineRule="auto"/>
    </w:pPr>
  </w:style>
  <w:style w:type="character" w:customStyle="1" w:styleId="af4">
    <w:name w:val="כותרת תחתונה תו"/>
    <w:basedOn w:val="a0"/>
    <w:link w:val="af3"/>
    <w:uiPriority w:val="99"/>
    <w:rsid w:val="00BA3094"/>
  </w:style>
  <w:style w:type="paragraph" w:styleId="af5">
    <w:name w:val="TOC Heading"/>
    <w:basedOn w:val="1"/>
    <w:next w:val="a"/>
    <w:uiPriority w:val="39"/>
    <w:unhideWhenUsed/>
    <w:qFormat/>
    <w:rsid w:val="00BA3094"/>
    <w:pPr>
      <w:spacing w:before="240" w:after="0"/>
      <w:outlineLvl w:val="9"/>
    </w:pPr>
    <w:rPr>
      <w:sz w:val="32"/>
      <w:szCs w:val="32"/>
      <w:rtl/>
      <w:cs/>
      <w14:ligatures w14:val="none"/>
    </w:rPr>
  </w:style>
  <w:style w:type="paragraph" w:styleId="TOC2">
    <w:name w:val="toc 2"/>
    <w:basedOn w:val="a"/>
    <w:next w:val="a"/>
    <w:autoRedefine/>
    <w:uiPriority w:val="39"/>
    <w:unhideWhenUsed/>
    <w:rsid w:val="00BA3094"/>
    <w:pPr>
      <w:spacing w:after="100"/>
      <w:ind w:left="220"/>
    </w:pPr>
    <w:rPr>
      <w:rFonts w:eastAsiaTheme="minorEastAsia" w:cs="Times New Roman"/>
      <w:rtl/>
      <w:cs/>
      <w14:ligatures w14:val="none"/>
    </w:rPr>
  </w:style>
  <w:style w:type="paragraph" w:styleId="TOC1">
    <w:name w:val="toc 1"/>
    <w:basedOn w:val="a"/>
    <w:next w:val="a"/>
    <w:autoRedefine/>
    <w:uiPriority w:val="39"/>
    <w:unhideWhenUsed/>
    <w:rsid w:val="00BA3094"/>
    <w:pPr>
      <w:spacing w:after="100"/>
    </w:pPr>
    <w:rPr>
      <w:rFonts w:eastAsiaTheme="minorEastAsia" w:cs="Times New Roman"/>
      <w:rtl/>
      <w:cs/>
      <w14:ligatures w14:val="none"/>
    </w:rPr>
  </w:style>
  <w:style w:type="paragraph" w:styleId="TOC3">
    <w:name w:val="toc 3"/>
    <w:basedOn w:val="a"/>
    <w:next w:val="a"/>
    <w:autoRedefine/>
    <w:uiPriority w:val="39"/>
    <w:unhideWhenUsed/>
    <w:rsid w:val="00BA3094"/>
    <w:pPr>
      <w:spacing w:after="100"/>
      <w:ind w:left="440"/>
    </w:pPr>
    <w:rPr>
      <w:rFonts w:eastAsiaTheme="minorEastAsia" w:cs="Times New Roman"/>
      <w:rtl/>
      <w:cs/>
      <w14:ligatures w14:val="none"/>
    </w:rPr>
  </w:style>
  <w:style w:type="paragraph" w:styleId="NormalWeb">
    <w:name w:val="Normal (Web)"/>
    <w:basedOn w:val="a"/>
    <w:uiPriority w:val="99"/>
    <w:semiHidden/>
    <w:unhideWhenUsed/>
    <w:rsid w:val="00856E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959897">
      <w:bodyDiv w:val="1"/>
      <w:marLeft w:val="0"/>
      <w:marRight w:val="0"/>
      <w:marTop w:val="0"/>
      <w:marBottom w:val="0"/>
      <w:divBdr>
        <w:top w:val="none" w:sz="0" w:space="0" w:color="auto"/>
        <w:left w:val="none" w:sz="0" w:space="0" w:color="auto"/>
        <w:bottom w:val="none" w:sz="0" w:space="0" w:color="auto"/>
        <w:right w:val="none" w:sz="0" w:space="0" w:color="auto"/>
      </w:divBdr>
    </w:div>
    <w:div w:id="281425702">
      <w:bodyDiv w:val="1"/>
      <w:marLeft w:val="0"/>
      <w:marRight w:val="0"/>
      <w:marTop w:val="0"/>
      <w:marBottom w:val="0"/>
      <w:divBdr>
        <w:top w:val="none" w:sz="0" w:space="0" w:color="auto"/>
        <w:left w:val="none" w:sz="0" w:space="0" w:color="auto"/>
        <w:bottom w:val="none" w:sz="0" w:space="0" w:color="auto"/>
        <w:right w:val="none" w:sz="0" w:space="0" w:color="auto"/>
      </w:divBdr>
    </w:div>
    <w:div w:id="834683735">
      <w:bodyDiv w:val="1"/>
      <w:marLeft w:val="0"/>
      <w:marRight w:val="0"/>
      <w:marTop w:val="0"/>
      <w:marBottom w:val="0"/>
      <w:divBdr>
        <w:top w:val="none" w:sz="0" w:space="0" w:color="auto"/>
        <w:left w:val="none" w:sz="0" w:space="0" w:color="auto"/>
        <w:bottom w:val="none" w:sz="0" w:space="0" w:color="auto"/>
        <w:right w:val="none" w:sz="0" w:space="0" w:color="auto"/>
      </w:divBdr>
    </w:div>
    <w:div w:id="1106581345">
      <w:bodyDiv w:val="1"/>
      <w:marLeft w:val="0"/>
      <w:marRight w:val="0"/>
      <w:marTop w:val="0"/>
      <w:marBottom w:val="0"/>
      <w:divBdr>
        <w:top w:val="none" w:sz="0" w:space="0" w:color="auto"/>
        <w:left w:val="none" w:sz="0" w:space="0" w:color="auto"/>
        <w:bottom w:val="none" w:sz="0" w:space="0" w:color="auto"/>
        <w:right w:val="none" w:sz="0" w:space="0" w:color="auto"/>
      </w:divBdr>
    </w:div>
    <w:div w:id="1128012569">
      <w:bodyDiv w:val="1"/>
      <w:marLeft w:val="0"/>
      <w:marRight w:val="0"/>
      <w:marTop w:val="0"/>
      <w:marBottom w:val="0"/>
      <w:divBdr>
        <w:top w:val="none" w:sz="0" w:space="0" w:color="auto"/>
        <w:left w:val="none" w:sz="0" w:space="0" w:color="auto"/>
        <w:bottom w:val="none" w:sz="0" w:space="0" w:color="auto"/>
        <w:right w:val="none" w:sz="0" w:space="0" w:color="auto"/>
      </w:divBdr>
    </w:div>
    <w:div w:id="1598323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aifa-primo-hosted-exlibrisgroup-com.mgs.hac.ac.il/primo-explore/fulldisplay?docid=Alma_IHP7127111840002792&amp;context=L&amp;vid=IHP&amp;lang=iw_IL&amp;search_scope=articles&amp;adaptor=Local%20Search%20Engine&amp;tab=default_tab&amp;query=any,contains,%D7%A4%D7%9C%D7%95%D7%A8%D7%9C%D7%99%D7%96%D7%9D&amp;facet=tlevel,include,peer_reviewed&amp;facet=topic,include,%D7%99%D7%A9%D7%A8%D7%90%D7%9C%20--%20%D7%97%D7%91%D7%A8%D7%94&amp;offset=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C9DB9-F384-47F8-89B4-CBAB40276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5</Pages>
  <Words>906</Words>
  <Characters>4530</Characters>
  <Application>Microsoft Office Word</Application>
  <DocSecurity>0</DocSecurity>
  <Lines>37</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פלורליזם בחברה הישראלית</dc:title>
  <dc:subject>מאת: רותם לב שפירו</dc:subject>
  <dc:creator>רותם רותם</dc:creator>
  <cp:keywords/>
  <dc:description/>
  <cp:lastModifiedBy>רותם רותם</cp:lastModifiedBy>
  <cp:revision>3</cp:revision>
  <dcterms:created xsi:type="dcterms:W3CDTF">2024-08-22T05:15:00Z</dcterms:created>
  <dcterms:modified xsi:type="dcterms:W3CDTF">2024-08-22T17:58:00Z</dcterms:modified>
</cp:coreProperties>
</file>