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Website Design, Development and Maintenance Services Agreement</w:t>
      </w:r>
    </w:p>
    <w:p>
      <w:pPr>
        <w:pStyle w:val="Subtitle"/>
        <w:jc w:val="center"/>
      </w:pPr>
      <w:r>
        <w:t>Clean signing draft | Rotsi Labs and Neighbourhood Cocktails</w:t>
      </w:r>
    </w:p>
    <w:tbl>
      <w:tblPr>
        <w:tblW w:type="dxa" w:w="9360"/>
        <w:jc w:val="left"/>
        <w:tblLayout w:type="fixed"/>
        <w:tblLook w:firstColumn="1" w:firstRow="1" w:lastColumn="0" w:lastRow="0" w:noHBand="0" w:noVBand="1" w:val="04A0"/>
        <w:tblInd w:type="dxa" w:w="0"/>
      </w:tblPr>
      <w:tblGrid>
        <w:gridCol w:w="2200"/>
        <w:gridCol w:w="7160"/>
      </w:tblGrid>
      <w:tr>
        <w:trPr>
          <w:tblHeader w:val="true"/>
        </w:trPr>
        <w:tc>
          <w:tcPr>
            <w:tcW w:type="dxa" w:w="2200"/>
            <w:tcMar>
              <w:top w:w="100" w:type="dxa"/>
              <w:bottom w:w="100" w:type="dxa"/>
              <w:start w:w="120" w:type="dxa"/>
              <w:end w:w="120" w:type="dxa"/>
            </w:tcMar>
            <w:tcBorders>
              <w:top w:val="single" w:sz="6" w:space="0" w:color="C9D2D6"/>
              <w:left w:val="single" w:sz="6" w:space="0" w:color="C9D2D6"/>
              <w:bottom w:val="single" w:sz="6" w:space="0" w:color="C9D2D6"/>
              <w:right w:val="single" w:sz="6" w:space="0" w:color="C9D2D6"/>
            </w:tcBorders>
            <w:vAlign w:val="center"/>
            <w:shd w:fill="EAF0F2"/>
          </w:tcPr>
          <w:p>
            <w:pPr>
              <w:spacing w:after="0"/>
            </w:pPr>
            <w:r>
              <w:rPr>
                <w:b/>
                <w:color w:val="1F4E5F"/>
                <w:sz w:val="19"/>
              </w:rPr>
              <w:t>Service Provider</w:t>
            </w:r>
          </w:p>
        </w:tc>
        <w:tc>
          <w:tcPr>
            <w:tcW w:type="dxa" w:w="7160"/>
            <w:tcMar>
              <w:top w:w="100" w:type="dxa"/>
              <w:bottom w:w="100" w:type="dxa"/>
              <w:start w:w="120" w:type="dxa"/>
              <w:end w:w="120" w:type="dxa"/>
            </w:tcMar>
            <w:tcBorders>
              <w:top w:val="single" w:sz="6" w:space="0" w:color="C9D2D6"/>
              <w:left w:val="single" w:sz="6" w:space="0" w:color="C9D2D6"/>
              <w:bottom w:val="single" w:sz="6" w:space="0" w:color="C9D2D6"/>
              <w:right w:val="single" w:sz="6" w:space="0" w:color="C9D2D6"/>
            </w:tcBorders>
            <w:vAlign w:val="center"/>
            <w:shd w:fill="FFFFFF"/>
          </w:tcPr>
          <w:p>
            <w:pPr>
              <w:spacing w:after="0"/>
            </w:pPr>
            <w:r>
              <w:rPr>
                <w:sz w:val="19"/>
              </w:rPr>
              <w:t>Rotsi Api Solutions, trading as Rotsi Labs</w:t>
            </w:r>
          </w:p>
        </w:tc>
      </w:tr>
      <w:tr>
        <w:trPr/>
        <w:tc>
          <w:tcPr>
            <w:tcW w:type="dxa" w:w="2200"/>
            <w:tcMar>
              <w:top w:w="100" w:type="dxa"/>
              <w:bottom w:w="100" w:type="dxa"/>
              <w:start w:w="120" w:type="dxa"/>
              <w:end w:w="120" w:type="dxa"/>
            </w:tcMar>
            <w:tcBorders>
              <w:top w:val="single" w:sz="6" w:space="0" w:color="C9D2D6"/>
              <w:left w:val="single" w:sz="6" w:space="0" w:color="C9D2D6"/>
              <w:bottom w:val="single" w:sz="6" w:space="0" w:color="C9D2D6"/>
              <w:right w:val="single" w:sz="6" w:space="0" w:color="C9D2D6"/>
            </w:tcBorders>
            <w:vAlign w:val="center"/>
            <w:shd w:fill="EAF0F2"/>
          </w:tcPr>
          <w:p>
            <w:pPr>
              <w:spacing w:after="0"/>
            </w:pPr>
            <w:r>
              <w:rPr>
                <w:b/>
                <w:color w:val="1F4E5F"/>
                <w:sz w:val="19"/>
              </w:rPr>
              <w:t>Client</w:t>
            </w:r>
          </w:p>
        </w:tc>
        <w:tc>
          <w:tcPr>
            <w:tcW w:type="dxa" w:w="7160"/>
            <w:tcMar>
              <w:top w:w="100" w:type="dxa"/>
              <w:bottom w:w="100" w:type="dxa"/>
              <w:start w:w="120" w:type="dxa"/>
              <w:end w:w="120" w:type="dxa"/>
            </w:tcMar>
            <w:tcBorders>
              <w:top w:val="single" w:sz="6" w:space="0" w:color="C9D2D6"/>
              <w:left w:val="single" w:sz="6" w:space="0" w:color="C9D2D6"/>
              <w:bottom w:val="single" w:sz="6" w:space="0" w:color="C9D2D6"/>
              <w:right w:val="single" w:sz="6" w:space="0" w:color="C9D2D6"/>
            </w:tcBorders>
            <w:vAlign w:val="center"/>
            <w:shd w:fill="FFFFFF"/>
          </w:tcPr>
          <w:p>
            <w:pPr>
              <w:spacing w:after="0"/>
            </w:pPr>
            <w:r>
              <w:rPr>
                <w:sz w:val="19"/>
              </w:rPr>
              <w:t>[Client legal name], trading as Neighbourhood Cocktails</w:t>
            </w:r>
          </w:p>
        </w:tc>
      </w:tr>
      <w:tr>
        <w:trPr/>
        <w:tc>
          <w:tcPr>
            <w:tcW w:type="dxa" w:w="2200"/>
            <w:tcMar>
              <w:top w:w="100" w:type="dxa"/>
              <w:bottom w:w="100" w:type="dxa"/>
              <w:start w:w="120" w:type="dxa"/>
              <w:end w:w="120" w:type="dxa"/>
            </w:tcMar>
            <w:tcBorders>
              <w:top w:val="single" w:sz="6" w:space="0" w:color="C9D2D6"/>
              <w:left w:val="single" w:sz="6" w:space="0" w:color="C9D2D6"/>
              <w:bottom w:val="single" w:sz="6" w:space="0" w:color="C9D2D6"/>
              <w:right w:val="single" w:sz="6" w:space="0" w:color="C9D2D6"/>
            </w:tcBorders>
            <w:vAlign w:val="center"/>
            <w:shd w:fill="EAF0F2"/>
          </w:tcPr>
          <w:p>
            <w:pPr>
              <w:spacing w:after="0"/>
            </w:pPr>
            <w:r>
              <w:rPr>
                <w:b/>
                <w:color w:val="1F4E5F"/>
                <w:sz w:val="19"/>
              </w:rPr>
              <w:t>Project</w:t>
            </w:r>
          </w:p>
        </w:tc>
        <w:tc>
          <w:tcPr>
            <w:tcW w:type="dxa" w:w="7160"/>
            <w:tcMar>
              <w:top w:w="100" w:type="dxa"/>
              <w:bottom w:w="100" w:type="dxa"/>
              <w:start w:w="120" w:type="dxa"/>
              <w:end w:w="120" w:type="dxa"/>
            </w:tcMar>
            <w:tcBorders>
              <w:top w:val="single" w:sz="6" w:space="0" w:color="C9D2D6"/>
              <w:left w:val="single" w:sz="6" w:space="0" w:color="C9D2D6"/>
              <w:bottom w:val="single" w:sz="6" w:space="0" w:color="C9D2D6"/>
              <w:right w:val="single" w:sz="6" w:space="0" w:color="C9D2D6"/>
            </w:tcBorders>
            <w:vAlign w:val="center"/>
            <w:shd w:fill="FFFFFF"/>
          </w:tcPr>
          <w:p>
            <w:pPr>
              <w:spacing w:after="0"/>
            </w:pPr>
            <w:r>
              <w:rPr>
                <w:sz w:val="19"/>
              </w:rPr>
              <w:t>Landing-page website, embedded Substack integration, booking data collection, deployment, and downtime maintenance</w:t>
            </w:r>
          </w:p>
        </w:tc>
      </w:tr>
      <w:tr>
        <w:trPr/>
        <w:tc>
          <w:tcPr>
            <w:tcW w:type="dxa" w:w="2200"/>
            <w:tcMar>
              <w:top w:w="100" w:type="dxa"/>
              <w:bottom w:w="100" w:type="dxa"/>
              <w:start w:w="120" w:type="dxa"/>
              <w:end w:w="120" w:type="dxa"/>
            </w:tcMar>
            <w:tcBorders>
              <w:top w:val="single" w:sz="6" w:space="0" w:color="C9D2D6"/>
              <w:left w:val="single" w:sz="6" w:space="0" w:color="C9D2D6"/>
              <w:bottom w:val="single" w:sz="6" w:space="0" w:color="C9D2D6"/>
              <w:right w:val="single" w:sz="6" w:space="0" w:color="C9D2D6"/>
            </w:tcBorders>
            <w:vAlign w:val="center"/>
            <w:shd w:fill="EAF0F2"/>
          </w:tcPr>
          <w:p>
            <w:pPr>
              <w:spacing w:after="0"/>
            </w:pPr>
            <w:r>
              <w:rPr>
                <w:b/>
                <w:color w:val="1F4E5F"/>
                <w:sz w:val="19"/>
              </w:rPr>
              <w:t>Start / Duration</w:t>
            </w:r>
          </w:p>
        </w:tc>
        <w:tc>
          <w:tcPr>
            <w:tcW w:type="dxa" w:w="7160"/>
            <w:tcMar>
              <w:top w:w="100" w:type="dxa"/>
              <w:bottom w:w="100" w:type="dxa"/>
              <w:start w:w="120" w:type="dxa"/>
              <w:end w:w="120" w:type="dxa"/>
            </w:tcMar>
            <w:tcBorders>
              <w:top w:val="single" w:sz="6" w:space="0" w:color="C9D2D6"/>
              <w:left w:val="single" w:sz="6" w:space="0" w:color="C9D2D6"/>
              <w:bottom w:val="single" w:sz="6" w:space="0" w:color="C9D2D6"/>
              <w:right w:val="single" w:sz="6" w:space="0" w:color="C9D2D6"/>
            </w:tcBorders>
            <w:vAlign w:val="center"/>
            <w:shd w:fill="FFFFFF"/>
          </w:tcPr>
          <w:p>
            <w:pPr>
              <w:spacing w:after="0"/>
            </w:pPr>
            <w:r>
              <w:rPr>
                <w:sz w:val="19"/>
              </w:rPr>
              <w:t>18 May 2026 / maximum 3 weeks, subject to permitted extensions</w:t>
            </w:r>
          </w:p>
        </w:tc>
      </w:tr>
    </w:tbl>
    <w:p/>
    <w:p>
      <w:pPr>
        <w:pStyle w:val="ContractMetadata"/>
        <w:jc w:val="center"/>
      </w:pPr>
      <w:r>
        <w:t>Prepared from the working contract draft. Bracketed fields remain editable before signing.</w:t>
      </w:r>
    </w:p>
    <w:p>
      <w:pPr>
        <w:sectPr>
          <w:headerReference w:type="default" r:id="rId9"/>
          <w:footerReference w:type="default" r:id="rId10"/>
          <w:pgSz w:w="12240" w:h="15840"/>
          <w:pgMar w:top="1440" w:right="1440" w:bottom="1440" w:left="1440" w:header="720" w:footer="720" w:gutter="0"/>
          <w:cols w:space="720"/>
          <w:docGrid w:linePitch="360"/>
        </w:sectPr>
      </w:pPr>
    </w:p>
    <w:p>
      <w:r>
        <w:t>This Website Design, Development and Maintenance Services Agreement (</w:t>
      </w:r>
      <w:r>
        <w:rPr>
          <w:b/>
        </w:rPr>
        <w:t>Agreement</w:t>
      </w:r>
      <w:r>
        <w:t xml:space="preserve">) is made on </w:t>
      </w:r>
      <w:r>
        <w:rPr>
          <w:b/>
        </w:rPr>
        <w:t>[date]</w:t>
      </w:r>
      <w:r>
        <w:t>.</w:t>
      </w:r>
    </w:p>
    <w:p>
      <w:r>
        <w:t>Between:</w:t>
      </w:r>
    </w:p>
    <w:p>
      <w:r>
        <w:t xml:space="preserve">1. </w:t>
      </w:r>
      <w:r>
        <w:rPr>
          <w:b/>
        </w:rPr>
        <w:t>Rotsi Api Solutions</w:t>
      </w:r>
      <w:r>
        <w:t xml:space="preserve">, trading as </w:t>
      </w:r>
      <w:r>
        <w:rPr>
          <w:b/>
        </w:rPr>
        <w:t>Rotsi Labs</w:t>
      </w:r>
      <w:r>
        <w:t xml:space="preserve">, of </w:t>
      </w:r>
      <w:r>
        <w:rPr>
          <w:b/>
        </w:rPr>
        <w:t>[address]</w:t>
      </w:r>
      <w:r>
        <w:t xml:space="preserve">, registration/PIN number </w:t>
      </w:r>
      <w:r>
        <w:rPr>
          <w:b/>
        </w:rPr>
        <w:t>[insert]</w:t>
      </w:r>
      <w:r>
        <w:t xml:space="preserve"> (</w:t>
      </w:r>
      <w:r>
        <w:rPr>
          <w:b/>
        </w:rPr>
        <w:t>Service Provider</w:t>
      </w:r>
      <w:r>
        <w:t>); and</w:t>
      </w:r>
    </w:p>
    <w:p>
      <w:r>
        <w:t xml:space="preserve">2. </w:t>
      </w:r>
      <w:r>
        <w:rPr>
          <w:b/>
        </w:rPr>
        <w:t>[Client legal name]</w:t>
      </w:r>
      <w:r>
        <w:t xml:space="preserve">, trading as </w:t>
      </w:r>
      <w:r>
        <w:rPr>
          <w:b/>
        </w:rPr>
        <w:t>Neighbourhood Cocktails</w:t>
      </w:r>
      <w:r>
        <w:t xml:space="preserve">, of </w:t>
      </w:r>
      <w:r>
        <w:rPr>
          <w:b/>
        </w:rPr>
        <w:t>[address]</w:t>
      </w:r>
      <w:r>
        <w:t xml:space="preserve">, registration/ID/PIN number </w:t>
      </w:r>
      <w:r>
        <w:rPr>
          <w:b/>
        </w:rPr>
        <w:t>[insert]</w:t>
      </w:r>
      <w:r>
        <w:t xml:space="preserve"> (</w:t>
      </w:r>
      <w:r>
        <w:rPr>
          <w:b/>
        </w:rPr>
        <w:t>Client</w:t>
      </w:r>
      <w:r>
        <w:t>).</w:t>
      </w:r>
    </w:p>
    <w:p>
      <w:r>
        <w:t xml:space="preserve">The Service Provider and the Client are each a </w:t>
      </w:r>
      <w:r>
        <w:rPr>
          <w:b/>
        </w:rPr>
        <w:t>Party</w:t>
      </w:r>
      <w:r>
        <w:t xml:space="preserve"> and together the </w:t>
      </w:r>
      <w:r>
        <w:rPr>
          <w:b/>
        </w:rPr>
        <w:t>Parties</w:t>
      </w:r>
      <w:r>
        <w:t>.</w:t>
      </w:r>
    </w:p>
    <w:p>
      <w:pPr>
        <w:pStyle w:val="Heading2"/>
      </w:pPr>
      <w:r>
        <w:t>1. Definitions</w:t>
      </w:r>
    </w:p>
    <w:p>
      <w:r>
        <w:t>In this Agreement:</w:t>
      </w:r>
    </w:p>
    <w:p>
      <w:r>
        <w:rPr>
          <w:b/>
        </w:rPr>
        <w:t>Acceptance Period</w:t>
      </w:r>
      <w:r>
        <w:t xml:space="preserve"> means </w:t>
      </w:r>
      <w:r>
        <w:rPr>
          <w:b/>
        </w:rPr>
        <w:t>[5 business days]</w:t>
      </w:r>
      <w:r>
        <w:t xml:space="preserve"> after delivery of a milestone, preview link, staging site, production deployment, or other deliverable for review.</w:t>
      </w:r>
    </w:p>
    <w:p>
      <w:r>
        <w:rPr>
          <w:b/>
        </w:rPr>
        <w:t>Booking Data</w:t>
      </w:r>
      <w:r>
        <w:t xml:space="preserve"> means personal data submitted by prospective customers or guests through the Website for booking enquiries, including names, contact details, requested date or time, number of guests, message content, and any other booking fields agreed in Schedule 1.</w:t>
      </w:r>
    </w:p>
    <w:p>
      <w:r>
        <w:rPr>
          <w:b/>
        </w:rPr>
        <w:t>Change Request</w:t>
      </w:r>
      <w:r>
        <w:t xml:space="preserve"> means any requested change to scope, deliverables, timeline, technical assumptions, fees, design, user interface, functionality, integrations, content structure, hosting setup, or support obligations after agreement of the relevant scope or after final approval.</w:t>
      </w:r>
    </w:p>
    <w:p>
      <w:r>
        <w:rPr>
          <w:b/>
        </w:rPr>
        <w:t>Client Content</w:t>
      </w:r>
      <w:r>
        <w:t xml:space="preserve"> means all text, images, logos, trademarks, domain names, business information, brand materials, product information, contact details, newsletter content, and other materials supplied by or on behalf of the Client.</w:t>
      </w:r>
    </w:p>
    <w:p>
      <w:r>
        <w:rPr>
          <w:b/>
        </w:rPr>
        <w:t>Codebase</w:t>
      </w:r>
      <w:r>
        <w:t xml:space="preserve"> means the source code, scripts, components, layouts, configuration, templates, development environment, deployment scripts, reusable libraries, technical architecture, and repository used to create or maintain the Website.</w:t>
      </w:r>
    </w:p>
    <w:p>
      <w:r>
        <w:rPr>
          <w:b/>
        </w:rPr>
        <w:t>Final Approval</w:t>
      </w:r>
      <w:r>
        <w:t xml:space="preserve"> means the Client's written approval of the Website for launch or completion, including approval by email, signed approval form, project management comment, or other written record.</w:t>
      </w:r>
    </w:p>
    <w:p>
      <w:r>
        <w:rPr>
          <w:b/>
        </w:rPr>
        <w:t>Maintenance Services</w:t>
      </w:r>
      <w:r>
        <w:t xml:space="preserve"> means functional maintenance for the Website going down or being materially unavailable due to a fault within the Service Provider's agreed responsibility, as more specifically described in Schedule 2.</w:t>
      </w:r>
    </w:p>
    <w:p>
      <w:r>
        <w:rPr>
          <w:b/>
        </w:rPr>
        <w:t>Project</w:t>
      </w:r>
      <w:r>
        <w:t xml:space="preserve"> means the landing-page website design, website development, Substack integration, booking-related data collection setup, deployment support, and related services described in Schedule 1.</w:t>
      </w:r>
    </w:p>
    <w:p>
      <w:r>
        <w:rPr>
          <w:b/>
        </w:rPr>
        <w:t>Substack Integration</w:t>
      </w:r>
      <w:r>
        <w:t xml:space="preserve"> means the integration of Substack-related newsletter subscription, link, embed, routing, or other agreed Substack functionality described in Schedule 1, subject to Substack's own platform rules and availability.</w:t>
      </w:r>
    </w:p>
    <w:p>
      <w:r>
        <w:rPr>
          <w:b/>
        </w:rPr>
        <w:t>Website</w:t>
      </w:r>
      <w:r>
        <w:t xml:space="preserve"> means the website to be designed and developed for the Client under this Agreement.</w:t>
      </w:r>
    </w:p>
    <w:p>
      <w:pPr>
        <w:pStyle w:val="Heading2"/>
      </w:pPr>
      <w:r>
        <w:t>2. Appointment and Term</w:t>
      </w:r>
    </w:p>
    <w:p>
      <w:r>
        <w:t>2.1 The Client appoints the Service Provider to provide the Project services, and the Service Provider accepts the appointment, subject to this Agreement.</w:t>
      </w:r>
    </w:p>
    <w:p>
      <w:r>
        <w:t xml:space="preserve">2.2 This Agreement starts on </w:t>
      </w:r>
      <w:r>
        <w:rPr>
          <w:b/>
        </w:rPr>
        <w:t>18 May 2026</w:t>
      </w:r>
      <w:r>
        <w:t xml:space="preserve"> and continues until completion of the Project and expiry of the Maintenance Services, unless terminated earlier under this Agreement.</w:t>
      </w:r>
    </w:p>
    <w:p>
      <w:r>
        <w:t xml:space="preserve">2.3 The Parties expect the Project to be completed within a maximum of </w:t>
      </w:r>
      <w:r>
        <w:rPr>
          <w:b/>
        </w:rPr>
        <w:t>3 weeks</w:t>
      </w:r>
      <w:r>
        <w:t xml:space="preserve"> from the start date. This period shall be extended by a reasonable time for Client delays, late content or approvals, unavailable access, domain purchase or DNS delays, Substack or hosting provider issues, agreed Change Requests, unpaid fees, or other causes outside the Service Provider's reasonable control.</w:t>
      </w:r>
    </w:p>
    <w:p>
      <w:r>
        <w:t>2.4 Any further design, development, UI modification, feature work, content updates, integration work, or support after the agreed scope or after Final Approval must be agreed through a separate written Change Request, statement of work, or contract.</w:t>
      </w:r>
    </w:p>
    <w:p>
      <w:pPr>
        <w:pStyle w:val="Heading2"/>
      </w:pPr>
      <w:r>
        <w:t>3. Scope of Services</w:t>
      </w:r>
    </w:p>
    <w:p>
      <w:r>
        <w:t>3.1 The Service Provider shall provide:</w:t>
      </w:r>
    </w:p>
    <w:p>
      <w:pPr>
        <w:pStyle w:val="ListBullet"/>
      </w:pPr>
      <w:r>
        <w:t>website design services;</w:t>
      </w:r>
    </w:p>
    <w:p>
      <w:pPr>
        <w:pStyle w:val="ListBullet"/>
      </w:pPr>
      <w:r>
        <w:t>website development services;</w:t>
      </w:r>
    </w:p>
    <w:p>
      <w:pPr>
        <w:pStyle w:val="ListBullet"/>
      </w:pPr>
      <w:r>
        <w:t>Substack integration as described in Schedule 1;</w:t>
      </w:r>
    </w:p>
    <w:p>
      <w:pPr>
        <w:pStyle w:val="ListBullet"/>
      </w:pPr>
      <w:r>
        <w:t>booking-related data collection setup as described in Schedule 1;</w:t>
      </w:r>
    </w:p>
    <w:p>
      <w:pPr>
        <w:pStyle w:val="ListBullet"/>
      </w:pPr>
      <w:r>
        <w:t>deployment support as described in Schedule 1; and</w:t>
      </w:r>
    </w:p>
    <w:p>
      <w:pPr>
        <w:pStyle w:val="ListBullet"/>
      </w:pPr>
      <w:r>
        <w:t>Maintenance Services as described in Schedule 2.</w:t>
      </w:r>
    </w:p>
    <w:p>
      <w:r>
        <w:t>3.2 The Service Provider is not responsible for any services or deliverables not expressly listed in this Agreement or an agreed written Change Request.</w:t>
      </w:r>
    </w:p>
    <w:p>
      <w:r>
        <w:t>3.3 Unless expressly agreed in Schedule 1, the scope excludes:</w:t>
      </w:r>
    </w:p>
    <w:p>
      <w:pPr>
        <w:pStyle w:val="ListBullet"/>
      </w:pPr>
      <w:r>
        <w:t>copywriting, photography, video production, illustration, brand identity creation, logo design, or content entry;</w:t>
      </w:r>
    </w:p>
    <w:p>
      <w:pPr>
        <w:pStyle w:val="ListBullet"/>
      </w:pPr>
      <w:r>
        <w:t>paid advertising, SEO campaigns, analytics strategy, newsletter strategy, or growth marketing;</w:t>
      </w:r>
    </w:p>
    <w:p>
      <w:pPr>
        <w:pStyle w:val="ListBullet"/>
      </w:pPr>
      <w:r>
        <w:t>e-commerce, payment processing, user accounts, custom dashboards, custom booking engines, CRM integrations, or APIs other than the agreed Substack Integration and basic booking data collection described in Schedule 1;</w:t>
      </w:r>
    </w:p>
    <w:p>
      <w:pPr>
        <w:pStyle w:val="ListBullet"/>
      </w:pPr>
      <w:r>
        <w:t>hosting fees, domain fees, email hosting, Substack subscription fees, plugin fees, SaaS fees, stock assets, licence fees, or other third-party charges;</w:t>
      </w:r>
    </w:p>
    <w:p>
      <w:pPr>
        <w:pStyle w:val="ListBullet"/>
      </w:pPr>
      <w:r>
        <w:t>legal, tax, data protection, accessibility, financial services, health, or regulated-sector advice;</w:t>
      </w:r>
    </w:p>
    <w:p>
      <w:pPr>
        <w:pStyle w:val="ListBullet"/>
      </w:pPr>
      <w:r>
        <w:t>UI changes, redesign, layout changes, new pages, new features, or enhancements after Final Approval; and</w:t>
      </w:r>
    </w:p>
    <w:p>
      <w:pPr>
        <w:pStyle w:val="ListBullet"/>
      </w:pPr>
      <w:r>
        <w:t>recovery from faults caused by the Client, third-party platforms, hosting providers, domain registrars, DNS providers, Substack, payment providers, or unauthorised changes by third parties.</w:t>
      </w:r>
    </w:p>
    <w:p>
      <w:pPr>
        <w:pStyle w:val="Heading2"/>
      </w:pPr>
      <w:r>
        <w:t>4. Client Responsibilities</w:t>
      </w:r>
    </w:p>
    <w:p>
      <w:r>
        <w:t>4.1 The Client shall:</w:t>
      </w:r>
    </w:p>
    <w:p>
      <w:pPr>
        <w:pStyle w:val="ListBullet"/>
      </w:pPr>
      <w:r>
        <w:t>provide accurate Client Content, brand materials, domain access, Substack access, hosting access, approvals, and decisions needed for the Project;</w:t>
      </w:r>
    </w:p>
    <w:p>
      <w:pPr>
        <w:pStyle w:val="ListBullet"/>
      </w:pPr>
      <w:r>
        <w:t>ensure it has the rights to use all Client Content supplied to the Service Provider;</w:t>
      </w:r>
    </w:p>
    <w:p>
      <w:pPr>
        <w:pStyle w:val="ListBullet"/>
      </w:pPr>
      <w:r>
        <w:t>review deliverables within the Acceptance Period;</w:t>
      </w:r>
    </w:p>
    <w:p>
      <w:pPr>
        <w:pStyle w:val="ListBullet"/>
      </w:pPr>
      <w:r>
        <w:t>appoint one authorised project contact with authority to approve deliverables and Change Requests;</w:t>
      </w:r>
    </w:p>
    <w:p>
      <w:pPr>
        <w:pStyle w:val="ListBullet"/>
      </w:pPr>
      <w:r>
        <w:t>pay all fees and third-party charges on time;</w:t>
      </w:r>
    </w:p>
    <w:p>
      <w:pPr>
        <w:pStyle w:val="ListBullet"/>
      </w:pPr>
      <w:r>
        <w:t>register, own, control, and renew the domain name annually; and</w:t>
      </w:r>
    </w:p>
    <w:p>
      <w:pPr>
        <w:pStyle w:val="ListBullet"/>
      </w:pPr>
      <w:r>
        <w:t>maintain valid accounts with any domain registrar, hosting provider, Substack account, email provider, analytics provider, or other third-party service used for the Website.</w:t>
      </w:r>
    </w:p>
    <w:p>
      <w:r>
        <w:t>4.2 Delays caused by missing Client Content, late feedback, unpaid invoices, unavailable third-party platforms, or lack of access shall extend the project timeline by a reasonable period.</w:t>
      </w:r>
    </w:p>
    <w:p>
      <w:r>
        <w:t>4.3 The Client is responsible for the legality, accuracy, truthfulness, and regulatory compliance of the Client Content and the Client's business activities.</w:t>
      </w:r>
    </w:p>
    <w:p>
      <w:pPr>
        <w:pStyle w:val="Heading2"/>
      </w:pPr>
      <w:r>
        <w:t>5. Domain Name and Third-Party Services</w:t>
      </w:r>
    </w:p>
    <w:p>
      <w:r>
        <w:t xml:space="preserve">5.1 The domain name </w:t>
      </w:r>
      <w:r>
        <w:rPr>
          <w:b/>
        </w:rPr>
        <w:t>neighbourhoodcocktails.com</w:t>
      </w:r>
      <w:r>
        <w:t>, once purchased, shall be owned by the Client.</w:t>
      </w:r>
    </w:p>
    <w:p>
      <w:r>
        <w:t>5.2 The Client is solely responsible for purchasing, registering, renewing, paying for, and maintaining the domain name each year.</w:t>
      </w:r>
    </w:p>
    <w:p>
      <w:r>
        <w:t>5.3 The Service Provider may assist with domain configuration, DNS pointing, redirects, SSL setup, or related technical configuration if agreed in Schedule 1, but such assistance does not transfer ownership or renewal responsibility to the Service Provider.</w:t>
      </w:r>
    </w:p>
    <w:p>
      <w:r>
        <w:t>5.4 The Client acknowledges that third-party platforms and services, including Substack, domain registrars, hosting providers, analytics tools, and email providers, are controlled by third parties. The Service Provider is not liable for outages, policy changes, data loss, account suspension, pricing changes, or service changes by those third parties.</w:t>
      </w:r>
    </w:p>
    <w:p>
      <w:r>
        <w:t>5.5 The Website will initially be hosted using a free-tier service on Netlify or Vercel. If Netlify, Vercel, or any other relevant third-party provider changes its free-tier terms, suspends the service, introduces charges, restricts functionality, or becomes unsuitable for the Website, the Service Provider shall look into reasonable alternative free-tier providers. If no suitable free-tier provider is reasonably available, the Client shall be responsible for paying the applicable hosting costs before the Service Provider is required to migrate or continue hosting-related support.</w:t>
      </w:r>
    </w:p>
    <w:p>
      <w:pPr>
        <w:pStyle w:val="Heading2"/>
      </w:pPr>
      <w:r>
        <w:t>6. Fees, Invoicing, and Taxes</w:t>
      </w:r>
    </w:p>
    <w:p>
      <w:r>
        <w:t>6.1 The Client shall pay the Service Provider the fees set out in Schedule 3.</w:t>
      </w:r>
    </w:p>
    <w:p>
      <w:r>
        <w:t>6.2 Unless Schedule 3 states otherwise:</w:t>
      </w:r>
    </w:p>
    <w:p>
      <w:pPr>
        <w:pStyle w:val="ListBullet"/>
      </w:pPr>
      <w:r>
        <w:t xml:space="preserve">all fees are stated in </w:t>
      </w:r>
      <w:r>
        <w:rPr>
          <w:b/>
        </w:rPr>
        <w:t>KES</w:t>
      </w:r>
      <w:r>
        <w:t>;</w:t>
      </w:r>
    </w:p>
    <w:p>
      <w:pPr>
        <w:pStyle w:val="ListBullet"/>
      </w:pPr>
      <w:r>
        <w:t>all fees are exclusive of VAT and other applicable taxes;</w:t>
      </w:r>
    </w:p>
    <w:p>
      <w:pPr>
        <w:pStyle w:val="ListBullet"/>
      </w:pPr>
      <w:r>
        <w:t xml:space="preserve">invoices are payable within </w:t>
      </w:r>
      <w:r>
        <w:rPr>
          <w:b/>
        </w:rPr>
        <w:t>[7] days</w:t>
      </w:r>
      <w:r>
        <w:t xml:space="preserve"> of invoice date;</w:t>
      </w:r>
    </w:p>
    <w:p>
      <w:pPr>
        <w:pStyle w:val="ListBullet"/>
      </w:pPr>
      <w:r>
        <w:t xml:space="preserve">the Service Provider may suspend work for unpaid invoices after giving </w:t>
      </w:r>
      <w:r>
        <w:rPr>
          <w:b/>
        </w:rPr>
        <w:t>[3] business days'</w:t>
      </w:r>
      <w:r>
        <w:t xml:space="preserve"> written notice; and</w:t>
      </w:r>
    </w:p>
    <w:p>
      <w:pPr>
        <w:pStyle w:val="ListBullet"/>
      </w:pPr>
      <w:r>
        <w:t>third-party expenses and licence fees are payable by the Client and may be invoiced in advance.</w:t>
      </w:r>
    </w:p>
    <w:p>
      <w:r>
        <w:t>6.3 The Parties intend that the Service Provider shall receive the KES 5,000 Project fee in full, exclusive of VAT. If the Client is legally required to withhold tax from any payment, the Client shall notify the Service Provider before payment, cooperate on any lawful gross-up or tax documentation required to preserve the agreed commercial position, and provide the Service Provider with the relevant withholding certificate or other official evidence within the statutory or commercially reasonable period.</w:t>
      </w:r>
    </w:p>
    <w:p>
      <w:r>
        <w:t>6.4 The Parties shall cooperate reasonably on tax documentation. Nothing in this Agreement requires either Party to give tax advice to the other.</w:t>
      </w:r>
    </w:p>
    <w:p>
      <w:pPr>
        <w:pStyle w:val="Heading2"/>
      </w:pPr>
      <w:r>
        <w:t>7. Review, Acceptance, and Final Approval</w:t>
      </w:r>
    </w:p>
    <w:p>
      <w:r>
        <w:t>7.1 The Service Provider shall submit deliverables for review at the milestones stated in Schedule 1.</w:t>
      </w:r>
    </w:p>
    <w:p>
      <w:r>
        <w:t>7.2 The Client shall either approve the deliverable or give specific written reasons for rejection within the Acceptance Period.</w:t>
      </w:r>
    </w:p>
    <w:p>
      <w:r>
        <w:t>7.3 A rejection is valid only if the deliverable materially fails to meet the agreed scope in Schedule 1.</w:t>
      </w:r>
    </w:p>
    <w:p>
      <w:r>
        <w:t>7.4 The Service Provider shall correct valid defects within a reasonable time. Corrections do not include new preferences, revised commercial direction, new pages, additional design concepts, new integrations, or changes to previously approved items.</w:t>
      </w:r>
    </w:p>
    <w:p>
      <w:r>
        <w:t>7.5 If the Client does not approve or validly reject a deliverable within the Acceptance Period, the deliverable shall be deemed accepted.</w:t>
      </w:r>
    </w:p>
    <w:p>
      <w:r>
        <w:t>7.6 Final Approval occurs when the Client approves launch/completion or when the Website is deployed to production at the Client's request.</w:t>
      </w:r>
    </w:p>
    <w:p>
      <w:pPr>
        <w:pStyle w:val="Heading2"/>
      </w:pPr>
      <w:r>
        <w:t>8. Change Control</w:t>
      </w:r>
    </w:p>
    <w:p>
      <w:r>
        <w:t>8.1 Any Change Request must be agreed in writing before the Service Provider is required to perform the changed work.</w:t>
      </w:r>
    </w:p>
    <w:p>
      <w:r>
        <w:t>8.2 A Change Request may adjust fees, timelines, acceptance criteria, maintenance obligations, and third-party costs.</w:t>
      </w:r>
    </w:p>
    <w:p>
      <w:r>
        <w:t>8.3 After Final Approval, any UI modification, redesign, layout change, feature request, new integration, content restructure, or enhancement is excluded from Maintenance Services and requires a separate written agreement, Change Request, or new contract.</w:t>
      </w:r>
    </w:p>
    <w:p>
      <w:pPr>
        <w:pStyle w:val="Heading2"/>
      </w:pPr>
      <w:r>
        <w:t>9. Maintenance Services</w:t>
      </w:r>
    </w:p>
    <w:p>
      <w:r>
        <w:t>9.1 The Service Provider shall provide Maintenance Services during the period stated in Schedule 2.</w:t>
      </w:r>
    </w:p>
    <w:p>
      <w:r>
        <w:t>9.2 Maintenance Services are limited to functional maintenance where the Website is down or materially unavailable because of a fault within the Service Provider's agreed responsibility.</w:t>
      </w:r>
    </w:p>
    <w:p>
      <w:r>
        <w:t>9.3 Maintenance Services exclude:</w:t>
      </w:r>
    </w:p>
    <w:p>
      <w:pPr>
        <w:pStyle w:val="ListBullet"/>
      </w:pPr>
      <w:r>
        <w:t>UI modifications, redesign, content updates, new pages, new sections, animations, new features, and enhancements;</w:t>
      </w:r>
    </w:p>
    <w:p>
      <w:pPr>
        <w:pStyle w:val="ListBullet"/>
      </w:pPr>
      <w:r>
        <w:t>issues caused by domain expiry, DNS changes, hosting non-payment, hosting provider outage, Substack outage, registrar outage, third-party API changes, platform policy changes, or third-party account suspension;</w:t>
      </w:r>
    </w:p>
    <w:p>
      <w:pPr>
        <w:pStyle w:val="ListBullet"/>
      </w:pPr>
      <w:r>
        <w:t>issues caused by unauthorised changes, malware introduced outside the Service Provider's control, credential compromise not caused by the Service Provider, or Client-provided code or plugins;</w:t>
      </w:r>
    </w:p>
    <w:p>
      <w:pPr>
        <w:pStyle w:val="ListBullet"/>
      </w:pPr>
      <w:r>
        <w:t>performance optimisation unless expressly included in Schedule 2;</w:t>
      </w:r>
    </w:p>
    <w:p>
      <w:pPr>
        <w:pStyle w:val="ListBullet"/>
      </w:pPr>
      <w:r>
        <w:t>security monitoring, backups, disaster recovery, incident response, and penetration testing unless expressly included in Schedule 2; and</w:t>
      </w:r>
    </w:p>
    <w:p>
      <w:pPr>
        <w:pStyle w:val="ListBullet"/>
      </w:pPr>
      <w:r>
        <w:t>support outside the response times stated in Schedule 2.</w:t>
      </w:r>
    </w:p>
    <w:p>
      <w:r>
        <w:t>9.4 The Client shall promptly notify the Service Provider of downtime using the support contact in Schedule 2 and shall provide reasonable diagnostic information.</w:t>
      </w:r>
    </w:p>
    <w:p>
      <w:pPr>
        <w:pStyle w:val="Heading2"/>
      </w:pPr>
      <w:r>
        <w:t>10. Intellectual Property</w:t>
      </w:r>
    </w:p>
    <w:p>
      <w:r>
        <w:t>10.1 The Client owns the Client Content and the domain name.</w:t>
      </w:r>
    </w:p>
    <w:p>
      <w:r>
        <w:t>10.2 The Service Provider owns the Codebase and all pre-existing materials, reusable components, development tools, frameworks, templates, know-how, processes, libraries, snippets, and technical architecture used or created in connection with the Project, except Client Content and third-party materials.</w:t>
      </w:r>
    </w:p>
    <w:p>
      <w:r>
        <w:t>10.3 Subject to full payment of all undisputed fees, the Service Provider grants the Client a non-exclusive, worldwide, non-transferable licence to use the Website in production for the Client's own business purposes.</w:t>
      </w:r>
    </w:p>
    <w:p>
      <w:r>
        <w:t>10.4 The licence in clause 10.3 permits the Client to access and use the deployed Website but does not transfer ownership of the Codebase, source repository, development environment, reusable components, or underlying tools.</w:t>
      </w:r>
    </w:p>
    <w:p>
      <w:r>
        <w:t>10.5 The Client shall not copy, sell, sublicense, distribute, reverse engineer, extract, or reuse the Codebase for another project or third party without the Service Provider's prior written consent.</w:t>
      </w:r>
    </w:p>
    <w:p>
      <w:r>
        <w:t>10.6 The Service Provider may use general skills, knowledge, methods, ideas, and know-how developed during the Project in other work, provided it does not disclose the Client's Confidential Information.</w:t>
      </w:r>
    </w:p>
    <w:p>
      <w:r>
        <w:t>10.7 Third-party and open-source software remains subject to its own licence terms. The Service Provider shall not knowingly include production dependencies that materially restrict the Client's ordinary use of the Website unless disclosed to the Client.</w:t>
      </w:r>
    </w:p>
    <w:p>
      <w:r>
        <w:t>10.8 Any transfer or assignment of copyright in the Codebase, if later agreed, must be set out in a separate written agreement and reviewed for any applicable recordal or registration requirements.</w:t>
      </w:r>
    </w:p>
    <w:p>
      <w:pPr>
        <w:pStyle w:val="Heading2"/>
      </w:pPr>
      <w:r>
        <w:t>11. Portfolio Use</w:t>
      </w:r>
    </w:p>
    <w:p>
      <w:r>
        <w:t>11.1 Unless the Client objects in writing before launch, the Service Provider may identify the Client as a client and display screenshots, project summaries, and non-confidential Website links in the Service Provider's portfolio, proposals, and social media.</w:t>
      </w:r>
    </w:p>
    <w:p>
      <w:r>
        <w:t>11.2 The Service Provider shall not disclose the Client's Confidential Information in portfolio materials.</w:t>
      </w:r>
    </w:p>
    <w:p>
      <w:pPr>
        <w:pStyle w:val="Heading2"/>
      </w:pPr>
      <w:r>
        <w:t>12. Confidentiality</w:t>
      </w:r>
    </w:p>
    <w:p>
      <w:r>
        <w:t>12.1 Each Party shall keep confidential all non-public business, technical, financial, operational, client, supplier, pricing, strategy, credential, and project information received from the other Party (</w:t>
      </w:r>
      <w:r>
        <w:rPr>
          <w:b/>
        </w:rPr>
        <w:t>Confidential Information</w:t>
      </w:r>
      <w:r>
        <w:t>).</w:t>
      </w:r>
    </w:p>
    <w:p>
      <w:r>
        <w:t>12.2 Confidential Information does not include information that is public, already known without restriction, independently developed without use of the other Party's Confidential Information, or lawfully received from a third party.</w:t>
      </w:r>
    </w:p>
    <w:p>
      <w:r>
        <w:t>12.3 A Party may disclose Confidential Information to its employees, contractors, professional advisers, auditors, hosting providers, and subcontractors who need to know it for the Project and are bound by confidentiality duties.</w:t>
      </w:r>
    </w:p>
    <w:p>
      <w:r>
        <w:t xml:space="preserve">12.4 These confidentiality obligations continue for </w:t>
      </w:r>
      <w:r>
        <w:rPr>
          <w:b/>
        </w:rPr>
        <w:t>[3 years]</w:t>
      </w:r>
      <w:r>
        <w:t xml:space="preserve"> after termination, except for trade secrets, credentials, and source code, which remain confidential for as long as they are not public.</w:t>
      </w:r>
    </w:p>
    <w:p>
      <w:pPr>
        <w:pStyle w:val="Heading2"/>
      </w:pPr>
      <w:r>
        <w:t>13. Data Protection and Security</w:t>
      </w:r>
    </w:p>
    <w:p>
      <w:r>
        <w:t>13.1 The Parties shall comply with applicable data protection law when handling personal data in connection with the Website.</w:t>
      </w:r>
    </w:p>
    <w:p>
      <w:r>
        <w:t>13.2 The Client is responsible for determining what personal data the Website, booking form, Substack Integration, analytics, contact forms, or related tools collect, and for providing any privacy notices, consents, lawful basis, cookie notices, terms, or customer-facing policies required for the Client's business.</w:t>
      </w:r>
    </w:p>
    <w:p>
      <w:r>
        <w:t>13.3 To the extent the Service Provider processes personal data on behalf of the Client, the Service Provider shall:</w:t>
      </w:r>
    </w:p>
    <w:p>
      <w:pPr>
        <w:pStyle w:val="ListBullet"/>
      </w:pPr>
      <w:r>
        <w:t>process personal data only for the Project and on the Client's documented instructions;</w:t>
      </w:r>
    </w:p>
    <w:p>
      <w:pPr>
        <w:pStyle w:val="ListBullet"/>
      </w:pPr>
      <w:r>
        <w:t>ensure personnel with access to personal data are subject to confidentiality obligations;</w:t>
      </w:r>
    </w:p>
    <w:p>
      <w:pPr>
        <w:pStyle w:val="ListBullet"/>
      </w:pPr>
      <w:r>
        <w:t>use commercially reasonable technical and organisational measures appropriate to the Project;</w:t>
      </w:r>
    </w:p>
    <w:p>
      <w:pPr>
        <w:pStyle w:val="ListBullet"/>
      </w:pPr>
      <w:r>
        <w:t>notify the Client without undue delay after becoming aware of a personal data breach affecting Client personal data;</w:t>
      </w:r>
    </w:p>
    <w:p>
      <w:pPr>
        <w:pStyle w:val="ListBullet"/>
      </w:pPr>
      <w:r>
        <w:t>assist the Client reasonably with data subject requests, deletion, return, or regulatory requests, subject to reasonable additional fees where the request is outside the agreed scope;</w:t>
      </w:r>
    </w:p>
    <w:p>
      <w:pPr>
        <w:pStyle w:val="ListBullet"/>
      </w:pPr>
      <w:r>
        <w:t>use subcontractors and third-party services as reasonably necessary for hosting, deployment, analytics, communication, project management, or development; and</w:t>
      </w:r>
    </w:p>
    <w:p>
      <w:pPr>
        <w:pStyle w:val="ListBullet"/>
      </w:pPr>
      <w:r>
        <w:t>delete or return Client personal data after completion or termination, unless retention is required for legal, tax, accounting, backup, dispute, or legitimate business record purposes.</w:t>
      </w:r>
    </w:p>
    <w:p>
      <w:r>
        <w:t>13.4 The Client shall not provide sensitive personal data, health data, financial account data, children's data, passwords, or regulated data to the Service Provider unless expressly agreed in writing with additional safeguards.</w:t>
      </w:r>
    </w:p>
    <w:p>
      <w:r>
        <w:t>13.5 The Client remains responsible for the content and configuration of any Substack account, subscriber list, booking submissions, forms, privacy settings, and customer communications.</w:t>
      </w:r>
    </w:p>
    <w:p>
      <w:pPr>
        <w:pStyle w:val="Heading2"/>
      </w:pPr>
      <w:r>
        <w:t>14. Credentials and Access</w:t>
      </w:r>
    </w:p>
    <w:p>
      <w:r>
        <w:t>14.1 Each Party shall use reasonable care to protect credentials, API keys, domain access, hosting access, Substack access, and administrator accounts.</w:t>
      </w:r>
    </w:p>
    <w:p>
      <w:r>
        <w:t>14.2 The Client shall provide access through secure methods where reasonably possible and shall promptly revoke access that is no longer needed after completion or termination.</w:t>
      </w:r>
    </w:p>
    <w:p>
      <w:r>
        <w:t>14.3 The Service Provider may suspend work if access is unsafe, incomplete, or unavailable.</w:t>
      </w:r>
    </w:p>
    <w:p>
      <w:pPr>
        <w:pStyle w:val="Heading2"/>
      </w:pPr>
      <w:r>
        <w:t>15. Warranties</w:t>
      </w:r>
    </w:p>
    <w:p>
      <w:r>
        <w:t>15.1 Each Party warrants that it has authority to enter into this Agreement.</w:t>
      </w:r>
    </w:p>
    <w:p>
      <w:r>
        <w:t>15.2 The Service Provider warrants that it will perform the services with reasonable skill and care.</w:t>
      </w:r>
    </w:p>
    <w:p>
      <w:r>
        <w:t>15.3 The Client warrants that the Client Content does not infringe third-party rights, is lawful, and may be used for the Project.</w:t>
      </w:r>
    </w:p>
    <w:p>
      <w:r>
        <w:t>15.4 Except as expressly stated in this Agreement, the Service Provider does not warrant that the Website will be uninterrupted, error-free, immune from cyber incidents, achieve any commercial result, meet any search ranking, or remain compatible with all future third-party platform changes.</w:t>
      </w:r>
    </w:p>
    <w:p>
      <w:pPr>
        <w:pStyle w:val="Heading2"/>
      </w:pPr>
      <w:r>
        <w:t>16. Liability</w:t>
      </w:r>
    </w:p>
    <w:p>
      <w:r>
        <w:t>16.1 Subject to clause 16.3, each Party's total aggregate liability arising out of or relating to this Agreement shall not exceed the Project fee paid or payable under this Agreement.</w:t>
      </w:r>
    </w:p>
    <w:p>
      <w:r>
        <w:t>16.2 Neither Party shall be liable for indirect, consequential, special, punitive, or exemplary damages, or for loss of profits, revenue, goodwill, business opportunity, data, or anticipated savings.</w:t>
      </w:r>
    </w:p>
    <w:p>
      <w:r>
        <w:t>16.3 The liability cap and exclusions do not apply to unpaid fees, fraud, wilful misconduct, breach of confidentiality, misuse of intellectual property, or liability that cannot lawfully be limited.</w:t>
      </w:r>
    </w:p>
    <w:p>
      <w:r>
        <w:t>16.4 The Service Provider is not liable for downtime, delay, loss, or damage caused by the Client, third-party platforms, domain registrars, hosting providers, Substack, internet providers, payment processors, force majeure events, or unauthorised third-party changes.</w:t>
      </w:r>
    </w:p>
    <w:p>
      <w:pPr>
        <w:pStyle w:val="Heading2"/>
      </w:pPr>
      <w:r>
        <w:t>17. Termination</w:t>
      </w:r>
    </w:p>
    <w:p>
      <w:r>
        <w:t xml:space="preserve">17.1 Either Party may terminate this Agreement by written notice if the other Party materially breaches the Agreement and does not remedy the breach within </w:t>
      </w:r>
      <w:r>
        <w:rPr>
          <w:b/>
        </w:rPr>
        <w:t>[14 days]</w:t>
      </w:r>
      <w:r>
        <w:t xml:space="preserve"> after written notice.</w:t>
      </w:r>
    </w:p>
    <w:p>
      <w:r>
        <w:t>17.2 The Service Provider may terminate or suspend the Agreement immediately by written notice if:</w:t>
      </w:r>
    </w:p>
    <w:p>
      <w:pPr>
        <w:pStyle w:val="ListBullet"/>
      </w:pPr>
      <w:r>
        <w:t>the Client fails to pay an undisputed overdue invoice after notice;</w:t>
      </w:r>
    </w:p>
    <w:p>
      <w:pPr>
        <w:pStyle w:val="ListBullet"/>
      </w:pPr>
      <w:r>
        <w:t>the Client requests unlawful, infringing, deceptive, abusive, or unsafe work;</w:t>
      </w:r>
    </w:p>
    <w:p>
      <w:pPr>
        <w:pStyle w:val="ListBullet"/>
      </w:pPr>
      <w:r>
        <w:t>continuing the Project would create a material legal, security, or reputational risk; or</w:t>
      </w:r>
    </w:p>
    <w:p>
      <w:pPr>
        <w:pStyle w:val="ListBullet"/>
      </w:pPr>
      <w:r>
        <w:t xml:space="preserve">the Client fails to provide required access, content, or approvals for more than </w:t>
      </w:r>
      <w:r>
        <w:rPr>
          <w:b/>
        </w:rPr>
        <w:t>[30 days]</w:t>
      </w:r>
      <w:r>
        <w:t>.</w:t>
      </w:r>
    </w:p>
    <w:p>
      <w:r>
        <w:t>17.3 On termination, the Client shall pay for all work performed, approved expenses, committed third-party costs, and any non-cancellable obligations up to the termination date.</w:t>
      </w:r>
    </w:p>
    <w:p>
      <w:r>
        <w:t>17.4 Clauses on payment, intellectual property, confidentiality, data protection, liability, termination consequences, notices, dispute resolution, and governing law survive termination.</w:t>
      </w:r>
    </w:p>
    <w:p>
      <w:pPr>
        <w:pStyle w:val="Heading2"/>
      </w:pPr>
      <w:r>
        <w:t>18. Handover</w:t>
      </w:r>
    </w:p>
    <w:p>
      <w:r>
        <w:t>18.1 After Final Approval and full payment, the Service Provider shall provide the handover items listed in Schedule 1.</w:t>
      </w:r>
    </w:p>
    <w:p>
      <w:r>
        <w:t>18.2 Unless expressly agreed, handover does not include transfer of the Codebase, source repository, design source files, reusable components, internal documentation, or development environment.</w:t>
      </w:r>
    </w:p>
    <w:p>
      <w:r>
        <w:t>18.3 Additional transition assistance, migration, source-code transfer, hosting transfer, training, or documentation is chargeable unless included in Schedule 1.</w:t>
      </w:r>
    </w:p>
    <w:p>
      <w:pPr>
        <w:pStyle w:val="Heading2"/>
      </w:pPr>
      <w:r>
        <w:t>19. Non-Solicitation</w:t>
      </w:r>
    </w:p>
    <w:p>
      <w:r>
        <w:t xml:space="preserve">19.1 During the Project and for </w:t>
      </w:r>
      <w:r>
        <w:rPr>
          <w:b/>
        </w:rPr>
        <w:t>[12 months]</w:t>
      </w:r>
      <w:r>
        <w:t xml:space="preserve"> after completion, neither Party shall knowingly solicit for employment or engagement the other Party's employees or contractors who were materially involved in the Project, without prior written consent.</w:t>
      </w:r>
    </w:p>
    <w:p>
      <w:r>
        <w:t>19.2 This clause does not restrict general recruitment advertising not targeted at the other Party's personnel.</w:t>
      </w:r>
    </w:p>
    <w:p>
      <w:pPr>
        <w:pStyle w:val="Heading2"/>
      </w:pPr>
      <w:r>
        <w:t>20. Force Majeure</w:t>
      </w:r>
    </w:p>
    <w:p>
      <w:r>
        <w:t>20.1 Neither Party is liable for delay or failure caused by events beyond reasonable control, including internet outages, hosting outages, cyber incidents not caused by the affected Party's breach, power failures, strikes, government action, war, civil unrest, pandemics, natural disasters, or third-party platform failures.</w:t>
      </w:r>
    </w:p>
    <w:p>
      <w:r>
        <w:t>20.2 The affected Party shall notify the other Party and take reasonable steps to reduce the effect of the event.</w:t>
      </w:r>
    </w:p>
    <w:p>
      <w:pPr>
        <w:pStyle w:val="Heading2"/>
      </w:pPr>
      <w:r>
        <w:t>21. Notices</w:t>
      </w:r>
    </w:p>
    <w:p>
      <w:r>
        <w:t>21.1 Notices under this Agreement must be sent by email and, where commercially reasonable, copied by courier or hand delivery to the addresses below or any updated address notified in writing.</w:t>
      </w:r>
    </w:p>
    <w:p>
      <w:r>
        <w:t xml:space="preserve">Service Provider notice details: </w:t>
      </w:r>
      <w:r>
        <w:rPr>
          <w:b/>
        </w:rPr>
        <w:t>[email and address]</w:t>
      </w:r>
    </w:p>
    <w:p>
      <w:r>
        <w:t xml:space="preserve">Client notice details: </w:t>
      </w:r>
      <w:r>
        <w:rPr>
          <w:b/>
        </w:rPr>
        <w:t>[email and address]</w:t>
      </w:r>
    </w:p>
    <w:p>
      <w:r>
        <w:t>21.2 Email notices are deemed received on the next business day after sending unless the sender receives a delivery failure notice.</w:t>
      </w:r>
    </w:p>
    <w:p>
      <w:pPr>
        <w:pStyle w:val="Heading2"/>
      </w:pPr>
      <w:r>
        <w:t>22. Dispute Resolution</w:t>
      </w:r>
    </w:p>
    <w:p>
      <w:r>
        <w:t>22.1 The Parties shall first try to resolve disputes through good-faith discussions between authorised representatives.</w:t>
      </w:r>
    </w:p>
    <w:p>
      <w:r>
        <w:t xml:space="preserve">22.2 If the dispute is not resolved within </w:t>
      </w:r>
      <w:r>
        <w:rPr>
          <w:b/>
        </w:rPr>
        <w:t>[14 days]</w:t>
      </w:r>
      <w:r>
        <w:t>, either Party may refer the dispute to mediation in Nairobi, Kenya, unless the Parties agree another location.</w:t>
      </w:r>
    </w:p>
    <w:p>
      <w:r>
        <w:t xml:space="preserve">22.3 If mediation fails or is not commenced within </w:t>
      </w:r>
      <w:r>
        <w:rPr>
          <w:b/>
        </w:rPr>
        <w:t>[30 days]</w:t>
      </w:r>
      <w:r>
        <w:t xml:space="preserve"> after referral, either Party may file proceedings in the courts of Kenya.</w:t>
      </w:r>
    </w:p>
    <w:p>
      <w:r>
        <w:t>22.4 Nothing prevents either Party from seeking urgent injunctive or protective relief for confidentiality, intellectual property, data security, or unpaid fees.</w:t>
      </w:r>
    </w:p>
    <w:p>
      <w:pPr>
        <w:pStyle w:val="Heading2"/>
      </w:pPr>
      <w:r>
        <w:t>23. Governing Law</w:t>
      </w:r>
    </w:p>
    <w:p>
      <w:r>
        <w:t>This Agreement is governed by the laws of Kenya, and the courts of Kenya have jurisdiction, subject to the dispute resolution process in clause 22.</w:t>
      </w:r>
    </w:p>
    <w:p>
      <w:pPr>
        <w:pStyle w:val="Heading2"/>
      </w:pPr>
      <w:r>
        <w:t>24. General</w:t>
      </w:r>
    </w:p>
    <w:p>
      <w:r>
        <w:t>24.1 This Agreement, including its schedules and any agreed Change Requests, is the entire agreement between the Parties for the Project.</w:t>
      </w:r>
    </w:p>
    <w:p>
      <w:r>
        <w:t>24.2 Any amendment must be in writing and signed or expressly approved in writing by both Parties.</w:t>
      </w:r>
    </w:p>
    <w:p>
      <w:r>
        <w:t>24.3 The Client may not assign this Agreement without the Service Provider's prior written consent. The Service Provider may assign or subcontract its obligations where reasonably necessary, provided it remains responsible for the services performed under this Agreement.</w:t>
      </w:r>
    </w:p>
    <w:p>
      <w:r>
        <w:t>24.4 If any provision is invalid or unenforceable, the rest of the Agreement remains effective.</w:t>
      </w:r>
    </w:p>
    <w:p>
      <w:r>
        <w:t>24.5 A failure to enforce a provision is not a waiver.</w:t>
      </w:r>
    </w:p>
    <w:p>
      <w:r>
        <w:t>24.6 This Agreement may be signed in counterparts. The Parties consent to electronic signatures where legally valid and supported by an adequate signing record.</w:t>
      </w:r>
    </w:p>
    <w:p>
      <w:pPr>
        <w:pStyle w:val="Heading1"/>
      </w:pPr>
      <w:r>
        <w:t>Schedule 1: Scope of Work</w:t>
      </w:r>
    </w:p>
    <w:p>
      <w:pPr>
        <w:pStyle w:val="Heading2"/>
      </w:pPr>
      <w:r>
        <w:t>A. Project Description</w:t>
      </w:r>
    </w:p>
    <w:p>
      <w:r>
        <w:t>The Service Provider shall design and develop a landing-page website for Neighbourhood Cocktails, including embedded Substack integration, basic booking-related data collection routed by email, setup for the domain neighbourhoodcocktails.com once purchased by the Client, and deployment to a free-tier Netlify or Vercel hosting environment.</w:t>
      </w:r>
    </w:p>
    <w:p>
      <w:pPr>
        <w:pStyle w:val="Heading2"/>
      </w:pPr>
      <w:r>
        <w:t>B. Included Deliverables</w:t>
      </w:r>
    </w:p>
    <w:p>
      <w:pPr>
        <w:pStyle w:val="ListBullet"/>
      </w:pPr>
      <w:r>
        <w:t>Website design direction based on the Client's approved brand materials.</w:t>
      </w:r>
    </w:p>
    <w:p>
      <w:pPr>
        <w:pStyle w:val="ListBullet"/>
      </w:pPr>
      <w:r>
        <w:t>Website development for a landing page only, with sections limited to the content and functionality expressly agreed by the Parties.</w:t>
      </w:r>
    </w:p>
    <w:p>
      <w:pPr>
        <w:pStyle w:val="ListBullet"/>
      </w:pPr>
      <w:r>
        <w:t>Responsive implementation for modern desktop and mobile browsers.</w:t>
      </w:r>
    </w:p>
    <w:p>
      <w:pPr>
        <w:pStyle w:val="ListBullet"/>
      </w:pPr>
      <w:r>
        <w:t>Substack Integration: embedded Substack content or subscription functionality, subject to Substack's available embed features and the Client's account permissions.</w:t>
      </w:r>
    </w:p>
    <w:p>
      <w:pPr>
        <w:pStyle w:val="ListBullet"/>
      </w:pPr>
      <w:r>
        <w:t>Basic booking data collection setup for booking enquiries, with booking submissions routed by email to the Client-designated recipient email address.</w:t>
      </w:r>
    </w:p>
    <w:p>
      <w:pPr>
        <w:pStyle w:val="ListBullet"/>
      </w:pPr>
      <w:r>
        <w:t>Basic launch/deployment support on Netlify or Vercel free tier, subject to the third-party hosting terms described in clause 5.5.</w:t>
      </w:r>
    </w:p>
    <w:p>
      <w:pPr>
        <w:pStyle w:val="ListBullet"/>
      </w:pPr>
      <w:r>
        <w:t>Basic handover: deployment URL, domain/DNS notes for neighbourhoodcocktails.com, and reasonable launch notes for the agreed landing page.</w:t>
      </w:r>
    </w:p>
    <w:p>
      <w:pPr>
        <w:pStyle w:val="Heading2"/>
      </w:pPr>
      <w:r>
        <w:t>C. Milestones</w:t>
      </w:r>
    </w:p>
    <w:tbl>
      <w:tblPr>
        <w:tblW w:type="dxa" w:w="9360"/>
        <w:jc w:val="left"/>
        <w:tblLayout w:type="fixed"/>
        <w:tblLook w:firstColumn="1" w:firstRow="1" w:lastColumn="0" w:lastRow="0" w:noHBand="0" w:noVBand="1" w:val="04A0"/>
        <w:tblInd w:type="dxa" w:w="0"/>
      </w:tblPr>
      <w:tblGrid>
        <w:gridCol w:w="1195"/>
        <w:gridCol w:w="3386"/>
        <w:gridCol w:w="2589"/>
        <w:gridCol w:w="2190"/>
      </w:tblGrid>
      <w:tr>
        <w:trPr>
          <w:tblHeader w:val="true"/>
        </w:trPr>
        <w:tc>
          <w:tcPr>
            <w:tcW w:type="dxa" w:w="1195"/>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EAF0F2"/>
          </w:tcPr>
          <w:p>
            <w:pPr>
              <w:spacing w:after="0"/>
            </w:pPr>
            <w:r>
              <w:rPr>
                <w:b/>
                <w:color w:val="1F4E5F"/>
                <w:sz w:val="18"/>
              </w:rPr>
            </w:r>
            <w:r>
              <w:rPr>
                <w:b/>
                <w:color w:val="1F4E5F"/>
                <w:sz w:val="18"/>
              </w:rPr>
              <w:t>Milestone</w:t>
            </w:r>
          </w:p>
        </w:tc>
        <w:tc>
          <w:tcPr>
            <w:tcW w:type="dxa" w:w="3386"/>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EAF0F2"/>
          </w:tcPr>
          <w:p>
            <w:pPr>
              <w:spacing w:after="0"/>
            </w:pPr>
            <w:r>
              <w:rPr>
                <w:b/>
                <w:color w:val="1F4E5F"/>
                <w:sz w:val="18"/>
              </w:rPr>
            </w:r>
            <w:r>
              <w:rPr>
                <w:b/>
                <w:color w:val="1F4E5F"/>
                <w:sz w:val="18"/>
              </w:rPr>
              <w:t>Deliverable</w:t>
            </w:r>
          </w:p>
        </w:tc>
        <w:tc>
          <w:tcPr>
            <w:tcW w:type="dxa" w:w="2589"/>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EAF0F2"/>
          </w:tcPr>
          <w:p>
            <w:pPr>
              <w:spacing w:after="0"/>
            </w:pPr>
            <w:r>
              <w:rPr>
                <w:b/>
                <w:color w:val="1F4E5F"/>
                <w:sz w:val="18"/>
              </w:rPr>
            </w:r>
            <w:r>
              <w:rPr>
                <w:b/>
                <w:color w:val="1F4E5F"/>
                <w:sz w:val="18"/>
              </w:rPr>
              <w:t>Target Date</w:t>
            </w:r>
          </w:p>
        </w:tc>
        <w:tc>
          <w:tcPr>
            <w:tcW w:type="dxa" w:w="2190"/>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EAF0F2"/>
          </w:tcPr>
          <w:p>
            <w:pPr>
              <w:spacing w:after="0"/>
            </w:pPr>
            <w:r>
              <w:rPr>
                <w:b/>
                <w:color w:val="1F4E5F"/>
                <w:sz w:val="18"/>
              </w:rPr>
            </w:r>
            <w:r>
              <w:rPr>
                <w:b/>
                <w:color w:val="1F4E5F"/>
                <w:sz w:val="18"/>
              </w:rPr>
              <w:t>Fee Trigger</w:t>
            </w:r>
          </w:p>
        </w:tc>
      </w:tr>
      <w:tr>
        <w:trPr/>
        <w:tc>
          <w:tcPr>
            <w:tcW w:type="dxa" w:w="1195"/>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FFFFFF"/>
          </w:tcPr>
          <w:p>
            <w:pPr>
              <w:spacing w:after="0"/>
            </w:pPr>
            <w:r>
              <w:rPr>
                <w:sz w:val="18"/>
              </w:rPr>
            </w:r>
            <w:r>
              <w:rPr>
                <w:sz w:val="18"/>
              </w:rPr>
              <w:t>1</w:t>
            </w:r>
          </w:p>
        </w:tc>
        <w:tc>
          <w:tcPr>
            <w:tcW w:type="dxa" w:w="3386"/>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FFFFFF"/>
          </w:tcPr>
          <w:p>
            <w:pPr>
              <w:spacing w:after="0"/>
            </w:pPr>
            <w:r>
              <w:rPr>
                <w:sz w:val="18"/>
              </w:rPr>
            </w:r>
            <w:r>
              <w:rPr>
                <w:sz w:val="18"/>
              </w:rPr>
              <w:t>Project kickoff and content/access collection</w:t>
            </w:r>
          </w:p>
        </w:tc>
        <w:tc>
          <w:tcPr>
            <w:tcW w:type="dxa" w:w="2589"/>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FFFFFF"/>
          </w:tcPr>
          <w:p>
            <w:pPr>
              <w:spacing w:after="0"/>
            </w:pPr>
            <w:r>
              <w:rPr>
                <w:sz w:val="18"/>
              </w:rPr>
            </w:r>
            <w:r>
              <w:rPr>
                <w:sz w:val="18"/>
              </w:rPr>
              <w:t>18 May 2026</w:t>
            </w:r>
          </w:p>
        </w:tc>
        <w:tc>
          <w:tcPr>
            <w:tcW w:type="dxa" w:w="2190"/>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FFFFFF"/>
          </w:tcPr>
          <w:p>
            <w:pPr>
              <w:spacing w:after="0"/>
            </w:pPr>
            <w:r>
              <w:rPr>
                <w:sz w:val="18"/>
              </w:rPr>
            </w:r>
            <w:r>
              <w:rPr>
                <w:sz w:val="18"/>
              </w:rPr>
              <w:t>No separate milestone payment unless agreed</w:t>
            </w:r>
          </w:p>
        </w:tc>
      </w:tr>
      <w:tr>
        <w:trPr/>
        <w:tc>
          <w:tcPr>
            <w:tcW w:type="dxa" w:w="1195"/>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FFFFFF"/>
          </w:tcPr>
          <w:p>
            <w:pPr>
              <w:spacing w:after="0"/>
            </w:pPr>
            <w:r>
              <w:rPr>
                <w:sz w:val="18"/>
              </w:rPr>
            </w:r>
            <w:r>
              <w:rPr>
                <w:sz w:val="18"/>
              </w:rPr>
              <w:t>2</w:t>
            </w:r>
          </w:p>
        </w:tc>
        <w:tc>
          <w:tcPr>
            <w:tcW w:type="dxa" w:w="3386"/>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FFFFFF"/>
          </w:tcPr>
          <w:p>
            <w:pPr>
              <w:spacing w:after="0"/>
            </w:pPr>
            <w:r>
              <w:rPr>
                <w:sz w:val="18"/>
              </w:rPr>
            </w:r>
            <w:r>
              <w:rPr>
                <w:sz w:val="18"/>
              </w:rPr>
              <w:t>Initial design and development preview</w:t>
            </w:r>
          </w:p>
        </w:tc>
        <w:tc>
          <w:tcPr>
            <w:tcW w:type="dxa" w:w="2589"/>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FFFFFF"/>
          </w:tcPr>
          <w:p>
            <w:pPr>
              <w:spacing w:after="0"/>
            </w:pPr>
            <w:r>
              <w:rPr>
                <w:sz w:val="18"/>
              </w:rPr>
            </w:r>
            <w:r>
              <w:rPr>
                <w:sz w:val="18"/>
              </w:rPr>
              <w:t>[date]</w:t>
            </w:r>
          </w:p>
        </w:tc>
        <w:tc>
          <w:tcPr>
            <w:tcW w:type="dxa" w:w="2190"/>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FFFFFF"/>
          </w:tcPr>
          <w:p>
            <w:pPr>
              <w:spacing w:after="0"/>
            </w:pPr>
            <w:r>
              <w:rPr>
                <w:sz w:val="18"/>
              </w:rPr>
            </w:r>
            <w:r>
              <w:rPr>
                <w:sz w:val="18"/>
              </w:rPr>
              <w:t>No separate milestone payment unless agreed</w:t>
            </w:r>
          </w:p>
        </w:tc>
      </w:tr>
      <w:tr>
        <w:trPr/>
        <w:tc>
          <w:tcPr>
            <w:tcW w:type="dxa" w:w="1195"/>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FFFFFF"/>
          </w:tcPr>
          <w:p>
            <w:pPr>
              <w:spacing w:after="0"/>
            </w:pPr>
            <w:r>
              <w:rPr>
                <w:sz w:val="18"/>
              </w:rPr>
            </w:r>
            <w:r>
              <w:rPr>
                <w:sz w:val="18"/>
              </w:rPr>
              <w:t>3</w:t>
            </w:r>
          </w:p>
        </w:tc>
        <w:tc>
          <w:tcPr>
            <w:tcW w:type="dxa" w:w="3386"/>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FFFFFF"/>
          </w:tcPr>
          <w:p>
            <w:pPr>
              <w:spacing w:after="0"/>
            </w:pPr>
            <w:r>
              <w:rPr>
                <w:sz w:val="18"/>
              </w:rPr>
            </w:r>
            <w:r>
              <w:rPr>
                <w:sz w:val="18"/>
              </w:rPr>
              <w:t>Final review and launch</w:t>
            </w:r>
          </w:p>
        </w:tc>
        <w:tc>
          <w:tcPr>
            <w:tcW w:type="dxa" w:w="2589"/>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FFFFFF"/>
          </w:tcPr>
          <w:p>
            <w:pPr>
              <w:spacing w:after="0"/>
            </w:pPr>
            <w:r>
              <w:rPr>
                <w:sz w:val="18"/>
              </w:rPr>
            </w:r>
            <w:r>
              <w:rPr>
                <w:sz w:val="18"/>
              </w:rPr>
              <w:t>Within 3 weeks from 18 May 2026, subject to permitted extensions</w:t>
            </w:r>
          </w:p>
        </w:tc>
        <w:tc>
          <w:tcPr>
            <w:tcW w:type="dxa" w:w="2190"/>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FFFFFF"/>
          </w:tcPr>
          <w:p>
            <w:pPr>
              <w:spacing w:after="0"/>
            </w:pPr>
            <w:r>
              <w:rPr>
                <w:sz w:val="18"/>
              </w:rPr>
            </w:r>
            <w:r>
              <w:rPr>
                <w:sz w:val="18"/>
              </w:rPr>
              <w:t>KES 5,000 due before Project completion</w:t>
            </w:r>
          </w:p>
        </w:tc>
      </w:tr>
    </w:tbl>
    <w:p/>
    <w:p>
      <w:pPr>
        <w:pStyle w:val="Heading2"/>
      </w:pPr>
      <w:r>
        <w:t>D. Assumptions</w:t>
      </w:r>
    </w:p>
    <w:p>
      <w:pPr>
        <w:pStyle w:val="ListBullet"/>
      </w:pPr>
      <w:r>
        <w:t>The Client will provide all final content, images, logos, links, domain access, Substack access, and approvals on time.</w:t>
      </w:r>
    </w:p>
    <w:p>
      <w:pPr>
        <w:pStyle w:val="ListBullet"/>
      </w:pPr>
      <w:r>
        <w:t>Substack functionality depends on Substack's available features and account permissions.</w:t>
      </w:r>
    </w:p>
    <w:p>
      <w:pPr>
        <w:pStyle w:val="ListBullet"/>
      </w:pPr>
      <w:r>
        <w:t>The Client will purchase and provide access or DNS details for neighbourhoodcocktails.com before launch.</w:t>
      </w:r>
    </w:p>
    <w:p>
      <w:pPr>
        <w:pStyle w:val="ListBullet"/>
      </w:pPr>
      <w:r>
        <w:t>Booking submissions will be routed to an email address designated by the Client before launch.</w:t>
      </w:r>
    </w:p>
    <w:p>
      <w:pPr>
        <w:pStyle w:val="ListBullet"/>
      </w:pPr>
      <w:r>
        <w:t>The Website will not include custom backend systems, payment processing, regulated data processing, user accounts, or a custom booking engine unless added by written Change Request.</w:t>
      </w:r>
    </w:p>
    <w:p>
      <w:pPr>
        <w:pStyle w:val="ListBullet"/>
      </w:pPr>
      <w:r>
        <w:t>The Project includes only the services and deliverables expressly listed in this Agreement. Any other work is excluded unless agreed in writing.</w:t>
      </w:r>
    </w:p>
    <w:p>
      <w:pPr>
        <w:pStyle w:val="Heading2"/>
      </w:pPr>
      <w:r>
        <w:t>E. Acceptance Criteria</w:t>
      </w:r>
    </w:p>
    <w:p>
      <w:r>
        <w:t>The Website is accepted if it materially matches the agreed Schedule 1 scope, is accessible at the agreed deployment URL, the agreed Substack Integration has been configured to the extent allowed by Substack and the Client's account permissions, and the agreed booking data collection setup has been configured.</w:t>
      </w:r>
    </w:p>
    <w:p>
      <w:pPr>
        <w:pStyle w:val="Heading1"/>
      </w:pPr>
      <w:r>
        <w:t>Schedule 2: Maintenance Services</w:t>
      </w:r>
    </w:p>
    <w:p>
      <w:pPr>
        <w:pStyle w:val="Heading2"/>
      </w:pPr>
      <w:r>
        <w:t>A. Maintenance Period</w:t>
      </w:r>
    </w:p>
    <w:p>
      <w:r>
        <w:t xml:space="preserve">Maintenance Services apply for </w:t>
      </w:r>
      <w:r>
        <w:rPr>
          <w:b/>
        </w:rPr>
        <w:t>12 months</w:t>
      </w:r>
      <w:r>
        <w:t xml:space="preserve"> after Final Approval.</w:t>
      </w:r>
    </w:p>
    <w:p>
      <w:pPr>
        <w:pStyle w:val="Heading2"/>
      </w:pPr>
      <w:r>
        <w:t>B. Included Maintenance</w:t>
      </w:r>
    </w:p>
    <w:p>
      <w:r>
        <w:t>Functional maintenance is limited to the Website being down or materially unavailable due to a fault within the Service Provider's agreed responsibility.</w:t>
      </w:r>
    </w:p>
    <w:p>
      <w:pPr>
        <w:pStyle w:val="Heading2"/>
      </w:pPr>
      <w:r>
        <w:t>C. Support Contact</w:t>
      </w:r>
    </w:p>
    <w:p>
      <w:r>
        <w:t xml:space="preserve">Support requests must be sent to </w:t>
      </w:r>
      <w:r>
        <w:rPr>
          <w:b/>
        </w:rPr>
        <w:t>support@rotsi.co.ke</w:t>
      </w:r>
      <w:r>
        <w:t xml:space="preserve"> or made by direct contact with Rotsi Labs through an agreed direct communication channel.</w:t>
      </w:r>
    </w:p>
    <w:p>
      <w:pPr>
        <w:pStyle w:val="Heading2"/>
      </w:pPr>
      <w:r>
        <w:t>D. Response Target</w:t>
      </w:r>
    </w:p>
    <w:p>
      <w:r>
        <w:t xml:space="preserve">The Service Provider shall use commercially reasonable efforts to respond within </w:t>
      </w:r>
      <w:r>
        <w:rPr>
          <w:b/>
        </w:rPr>
        <w:t>24 hours</w:t>
      </w:r>
      <w:r>
        <w:t xml:space="preserve"> after receiving a valid support request.</w:t>
      </w:r>
    </w:p>
    <w:p>
      <w:pPr>
        <w:pStyle w:val="Heading2"/>
      </w:pPr>
      <w:r>
        <w:t>E. Excluded Maintenance</w:t>
      </w:r>
    </w:p>
    <w:p>
      <w:r>
        <w:t>Maintenance excludes UI modifications, new features, content changes, new integrations, Substack platform issues, hosting provider outages, domain expiry, DNS misconfiguration not caused by the Service Provider, security incidents outside the Service Provider's control, and any work not listed as included maintenance.</w:t>
      </w:r>
    </w:p>
    <w:p>
      <w:pPr>
        <w:pStyle w:val="Heading1"/>
      </w:pPr>
      <w:r>
        <w:t>Schedule 3: Fees and Payment</w:t>
      </w:r>
    </w:p>
    <w:tbl>
      <w:tblPr>
        <w:tblW w:type="dxa" w:w="9360"/>
        <w:jc w:val="left"/>
        <w:tblLayout w:type="fixed"/>
        <w:tblLook w:firstColumn="1" w:firstRow="1" w:lastColumn="0" w:lastRow="0" w:noHBand="0" w:noVBand="1" w:val="04A0"/>
        <w:tblInd w:type="dxa" w:w="0"/>
      </w:tblPr>
      <w:tblGrid>
        <w:gridCol w:w="4083"/>
        <w:gridCol w:w="2091"/>
        <w:gridCol w:w="3186"/>
      </w:tblGrid>
      <w:tr>
        <w:trPr>
          <w:tblHeader w:val="true"/>
        </w:trPr>
        <w:tc>
          <w:tcPr>
            <w:tcW w:type="dxa" w:w="4083"/>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EAF0F2"/>
          </w:tcPr>
          <w:p>
            <w:pPr>
              <w:spacing w:after="0"/>
            </w:pPr>
            <w:r>
              <w:rPr>
                <w:b/>
                <w:color w:val="1F4E5F"/>
                <w:sz w:val="18"/>
              </w:rPr>
            </w:r>
            <w:r>
              <w:rPr>
                <w:b/>
                <w:color w:val="1F4E5F"/>
                <w:sz w:val="18"/>
              </w:rPr>
              <w:t>Item</w:t>
            </w:r>
          </w:p>
        </w:tc>
        <w:tc>
          <w:tcPr>
            <w:tcW w:type="dxa" w:w="2091"/>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EAF0F2"/>
          </w:tcPr>
          <w:p>
            <w:pPr>
              <w:spacing w:after="0"/>
            </w:pPr>
            <w:r>
              <w:rPr>
                <w:b/>
                <w:color w:val="1F4E5F"/>
                <w:sz w:val="18"/>
              </w:rPr>
            </w:r>
            <w:r>
              <w:rPr>
                <w:b/>
                <w:color w:val="1F4E5F"/>
                <w:sz w:val="18"/>
              </w:rPr>
              <w:t>Amount</w:t>
            </w:r>
          </w:p>
        </w:tc>
        <w:tc>
          <w:tcPr>
            <w:tcW w:type="dxa" w:w="3186"/>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EAF0F2"/>
          </w:tcPr>
          <w:p>
            <w:pPr>
              <w:spacing w:after="0"/>
            </w:pPr>
            <w:r>
              <w:rPr>
                <w:b/>
                <w:color w:val="1F4E5F"/>
                <w:sz w:val="18"/>
              </w:rPr>
            </w:r>
            <w:r>
              <w:rPr>
                <w:b/>
                <w:color w:val="1F4E5F"/>
                <w:sz w:val="18"/>
              </w:rPr>
              <w:t>Due Date</w:t>
            </w:r>
          </w:p>
        </w:tc>
      </w:tr>
      <w:tr>
        <w:trPr/>
        <w:tc>
          <w:tcPr>
            <w:tcW w:type="dxa" w:w="4083"/>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FFFFFF"/>
          </w:tcPr>
          <w:p>
            <w:pPr>
              <w:spacing w:after="0"/>
            </w:pPr>
            <w:r>
              <w:rPr>
                <w:sz w:val="18"/>
              </w:rPr>
            </w:r>
            <w:r>
              <w:rPr>
                <w:sz w:val="18"/>
              </w:rPr>
              <w:t>Total Project fee</w:t>
            </w:r>
          </w:p>
        </w:tc>
        <w:tc>
          <w:tcPr>
            <w:tcW w:type="dxa" w:w="2091"/>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FFFFFF"/>
          </w:tcPr>
          <w:p>
            <w:pPr>
              <w:spacing w:after="0"/>
            </w:pPr>
            <w:r>
              <w:rPr>
                <w:sz w:val="18"/>
              </w:rPr>
            </w:r>
            <w:r>
              <w:rPr>
                <w:sz w:val="18"/>
              </w:rPr>
              <w:t>KES 5,000, VAT-exclusive</w:t>
            </w:r>
          </w:p>
        </w:tc>
        <w:tc>
          <w:tcPr>
            <w:tcW w:type="dxa" w:w="3186"/>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FFFFFF"/>
          </w:tcPr>
          <w:p>
            <w:pPr>
              <w:spacing w:after="0"/>
            </w:pPr>
            <w:r>
              <w:rPr>
                <w:sz w:val="18"/>
              </w:rPr>
            </w:r>
            <w:r>
              <w:rPr>
                <w:sz w:val="18"/>
              </w:rPr>
              <w:t>Before Project completion</w:t>
            </w:r>
          </w:p>
        </w:tc>
      </w:tr>
      <w:tr>
        <w:trPr/>
        <w:tc>
          <w:tcPr>
            <w:tcW w:type="dxa" w:w="4083"/>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FFFFFF"/>
          </w:tcPr>
          <w:p>
            <w:pPr>
              <w:spacing w:after="0"/>
            </w:pPr>
            <w:r>
              <w:rPr>
                <w:sz w:val="18"/>
              </w:rPr>
            </w:r>
            <w:r>
              <w:rPr>
                <w:sz w:val="18"/>
              </w:rPr>
              <w:t>Included 12-month Maintenance Services</w:t>
            </w:r>
          </w:p>
        </w:tc>
        <w:tc>
          <w:tcPr>
            <w:tcW w:type="dxa" w:w="2091"/>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FFFFFF"/>
          </w:tcPr>
          <w:p>
            <w:pPr>
              <w:spacing w:after="0"/>
            </w:pPr>
            <w:r>
              <w:rPr>
                <w:sz w:val="18"/>
              </w:rPr>
            </w:r>
            <w:r>
              <w:rPr>
                <w:sz w:val="18"/>
              </w:rPr>
              <w:t>Included in Project fee</w:t>
            </w:r>
          </w:p>
        </w:tc>
        <w:tc>
          <w:tcPr>
            <w:tcW w:type="dxa" w:w="3186"/>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FFFFFF"/>
          </w:tcPr>
          <w:p>
            <w:pPr>
              <w:spacing w:after="0"/>
            </w:pPr>
            <w:r>
              <w:rPr>
                <w:sz w:val="18"/>
              </w:rPr>
            </w:r>
            <w:r>
              <w:rPr>
                <w:sz w:val="18"/>
              </w:rPr>
              <w:t>Starts after Final Approval</w:t>
            </w:r>
          </w:p>
        </w:tc>
      </w:tr>
      <w:tr>
        <w:trPr/>
        <w:tc>
          <w:tcPr>
            <w:tcW w:type="dxa" w:w="4083"/>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FFFFFF"/>
          </w:tcPr>
          <w:p>
            <w:pPr>
              <w:spacing w:after="0"/>
            </w:pPr>
            <w:r>
              <w:rPr>
                <w:sz w:val="18"/>
              </w:rPr>
            </w:r>
            <w:r>
              <w:rPr>
                <w:sz w:val="18"/>
              </w:rPr>
              <w:t>Third-party hosting, if no suitable free tier is available</w:t>
            </w:r>
          </w:p>
        </w:tc>
        <w:tc>
          <w:tcPr>
            <w:tcW w:type="dxa" w:w="2091"/>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FFFFFF"/>
          </w:tcPr>
          <w:p>
            <w:pPr>
              <w:spacing w:after="0"/>
            </w:pPr>
            <w:r>
              <w:rPr>
                <w:sz w:val="18"/>
              </w:rPr>
            </w:r>
            <w:r>
              <w:rPr>
                <w:sz w:val="18"/>
              </w:rPr>
              <w:t>At cost to Client</w:t>
            </w:r>
          </w:p>
        </w:tc>
        <w:tc>
          <w:tcPr>
            <w:tcW w:type="dxa" w:w="3186"/>
            <w:tcBorders>
              <w:top w:val="single" w:sz="6" w:space="0" w:color="C9D2D6"/>
              <w:left w:val="single" w:sz="6" w:space="0" w:color="C9D2D6"/>
              <w:bottom w:val="single" w:sz="6" w:space="0" w:color="C9D2D6"/>
              <w:right w:val="single" w:sz="6" w:space="0" w:color="C9D2D6"/>
            </w:tcBorders>
            <w:tcMar>
              <w:top w:w="80" w:type="dxa"/>
              <w:start w:w="120" w:type="dxa"/>
              <w:bottom w:w="80" w:type="dxa"/>
              <w:end w:w="120" w:type="dxa"/>
            </w:tcMar>
            <w:vAlign w:val="center"/>
            <w:shd w:fill="FFFFFF"/>
          </w:tcPr>
          <w:p>
            <w:pPr>
              <w:spacing w:after="0"/>
            </w:pPr>
            <w:r>
              <w:rPr>
                <w:sz w:val="18"/>
              </w:rPr>
            </w:r>
            <w:r>
              <w:rPr>
                <w:sz w:val="18"/>
              </w:rPr>
              <w:t>Before purchase, migration, or renewal</w:t>
            </w:r>
          </w:p>
        </w:tc>
      </w:tr>
    </w:tbl>
    <w:p/>
    <w:p>
      <w:r>
        <w:t>Fees are exclusive of VAT and any other applicable taxes. Withholding tax, if legally applicable, shall be handled under clause 6.</w:t>
      </w:r>
    </w:p>
    <w:p>
      <w:pPr>
        <w:pStyle w:val="Heading1"/>
      </w:pPr>
      <w:r>
        <w:t>Schedule 4: Change Request Form</w:t>
      </w:r>
    </w:p>
    <w:p>
      <w:r>
        <w:t xml:space="preserve">Agreement reference: </w:t>
      </w:r>
      <w:r>
        <w:rPr>
          <w:b/>
        </w:rPr>
        <w:t>[insert]</w:t>
      </w:r>
    </w:p>
    <w:p>
      <w:r>
        <w:t xml:space="preserve">Requested by: </w:t>
      </w:r>
      <w:r>
        <w:rPr>
          <w:b/>
        </w:rPr>
        <w:t>[insert]</w:t>
      </w:r>
    </w:p>
    <w:p>
      <w:pPr>
        <w:spacing w:after="60"/>
      </w:pPr>
      <w:r>
        <w:t xml:space="preserve">Date: </w:t>
      </w:r>
      <w:r>
        <w:rPr>
          <w:b/>
        </w:rPr>
        <w:t>[insert]</w:t>
      </w:r>
    </w:p>
    <w:p>
      <w:r>
        <w:t>Description of change:</w:t>
      </w:r>
    </w:p>
    <w:p>
      <w:r>
        <w:rPr>
          <w:b/>
        </w:rPr>
        <w:t>[insert]</w:t>
      </w:r>
    </w:p>
    <w:p>
      <w:r>
        <w:t>Impact on fees:</w:t>
      </w:r>
    </w:p>
    <w:p>
      <w:r>
        <w:rPr>
          <w:b/>
        </w:rPr>
        <w:t>[insert]</w:t>
      </w:r>
    </w:p>
    <w:p>
      <w:r>
        <w:t>Impact on timeline:</w:t>
      </w:r>
    </w:p>
    <w:p>
      <w:r>
        <w:rPr>
          <w:b/>
        </w:rPr>
        <w:t>[insert]</w:t>
      </w:r>
    </w:p>
    <w:p>
      <w:r>
        <w:t>Acceptance criteria:</w:t>
      </w:r>
    </w:p>
    <w:p>
      <w:r>
        <w:rPr>
          <w:b/>
        </w:rPr>
        <w:t>[insert]</w:t>
      </w:r>
    </w:p>
    <w:p>
      <w:r>
        <w:t>All unchanged terms of the Agreement continue to apply.</w:t>
      </w:r>
    </w:p>
    <w:p>
      <w:r>
        <w:t>Client approval:</w:t>
      </w:r>
    </w:p>
    <w:p>
      <w:pPr>
        <w:spacing w:after="60"/>
      </w:pPr>
      <w:r>
        <w:t>Name: ___________________________</w:t>
      </w:r>
    </w:p>
    <w:p>
      <w:pPr>
        <w:spacing w:after="60"/>
      </w:pPr>
      <w:r>
        <w:t>Title: __________________________</w:t>
      </w:r>
    </w:p>
    <w:p>
      <w:pPr>
        <w:spacing w:after="60"/>
      </w:pPr>
      <w:r>
        <w:t>Signature: ______________________</w:t>
      </w:r>
    </w:p>
    <w:p>
      <w:pPr>
        <w:spacing w:after="60"/>
      </w:pPr>
      <w:r>
        <w:t>Date: ___________________________</w:t>
      </w:r>
    </w:p>
    <w:p>
      <w:r>
        <w:t>Service Provider approval:</w:t>
      </w:r>
    </w:p>
    <w:p>
      <w:pPr>
        <w:spacing w:after="60"/>
      </w:pPr>
      <w:r>
        <w:t>Name: ___________________________</w:t>
      </w:r>
    </w:p>
    <w:p>
      <w:pPr>
        <w:spacing w:after="60"/>
      </w:pPr>
      <w:r>
        <w:t>Title: __________________________</w:t>
      </w:r>
    </w:p>
    <w:p>
      <w:pPr>
        <w:spacing w:after="60"/>
      </w:pPr>
      <w:r>
        <w:t>Signature: ______________________</w:t>
      </w:r>
    </w:p>
    <w:p>
      <w:pPr>
        <w:spacing w:after="60"/>
      </w:pPr>
      <w:r>
        <w:t>Date: ___________________________</w:t>
      </w:r>
    </w:p>
    <w:p>
      <w:pPr>
        <w:pStyle w:val="Heading1"/>
      </w:pPr>
      <w:r>
        <w:t>Schedule 5: Website Privacy Notice Template</w:t>
      </w:r>
    </w:p>
    <w:p>
      <w:r>
        <w:t>This privacy notice is a working template for the Website and should be reviewed by the Client before publication.</w:t>
      </w:r>
    </w:p>
    <w:p>
      <w:pPr>
        <w:pStyle w:val="Heading2"/>
      </w:pPr>
      <w:r>
        <w:t>Privacy Notice</w:t>
      </w:r>
    </w:p>
    <w:p>
      <w:r>
        <w:rPr>
          <w:b/>
        </w:rPr>
        <w:t>Neighbourhood Cocktails</w:t>
      </w:r>
      <w:r>
        <w:t xml:space="preserve"> collects personal data submitted through this Website when a person makes a booking enquiry or contacts us.</w:t>
      </w:r>
    </w:p>
    <w:p>
      <w:r>
        <w:t>The personal data we may collect includes name, phone number, email address, requested booking date or time, number of guests, message details, and any other information voluntarily submitted through the booking or contact form.</w:t>
      </w:r>
    </w:p>
    <w:p>
      <w:r>
        <w:t>We use this personal data to receive, respond to, manage, and follow up on booking enquiries, communicate with customers, maintain business records, and operate the Website.</w:t>
      </w:r>
    </w:p>
    <w:p>
      <w:r>
        <w:t>Booking enquiries are routed by email to the recipient designated by Neighbourhood Cocktails. The Website may also use third-party services such as hosting providers, email services, Substack, analytics tools, or form-processing tools where reasonably necessary to operate the Website.</w:t>
      </w:r>
    </w:p>
    <w:p>
      <w:r>
        <w:t>We do not ask users to submit sensitive personal data through the Website. Users should not submit health information, financial account information, passwords, or other sensitive information through the booking form unless specifically requested through a secure and appropriate channel.</w:t>
      </w:r>
    </w:p>
    <w:p>
      <w:r>
        <w:t>We keep booking information only for as long as reasonably needed for the purposes above, unless a longer period is required for legal, tax, accounting, dispute, or legitimate business record purposes.</w:t>
      </w:r>
    </w:p>
    <w:p>
      <w:r>
        <w:t>A person who submits personal data may contact Neighbourhood Cocktails to request access, correction, deletion, or other handling of their personal data, subject to applicable law.</w:t>
      </w:r>
    </w:p>
    <w:p>
      <w:r>
        <w:t xml:space="preserve">Privacy contact: </w:t>
      </w:r>
      <w:r>
        <w:rPr>
          <w:b/>
        </w:rPr>
        <w:t>[Client privacy contact email]</w:t>
      </w:r>
    </w:p>
    <w:p>
      <w:pPr>
        <w:pStyle w:val="Heading1"/>
      </w:pPr>
      <w:r>
        <w:t>Signature Blocks</w:t>
      </w:r>
    </w:p>
    <w:p>
      <w:r>
        <w:t xml:space="preserve">Signed for and on behalf of </w:t>
      </w:r>
      <w:r>
        <w:rPr>
          <w:b/>
        </w:rPr>
        <w:t>Rotsi Api Solutions</w:t>
      </w:r>
      <w:r>
        <w:t xml:space="preserve">, trading as </w:t>
      </w:r>
      <w:r>
        <w:rPr>
          <w:b/>
        </w:rPr>
        <w:t>Rotsi Labs</w:t>
      </w:r>
      <w:r>
        <w:t>:</w:t>
      </w:r>
    </w:p>
    <w:p>
      <w:pPr>
        <w:spacing w:after="60"/>
      </w:pPr>
      <w:r>
        <w:t>Name: ___________________________</w:t>
      </w:r>
    </w:p>
    <w:p>
      <w:pPr>
        <w:spacing w:after="60"/>
      </w:pPr>
      <w:r>
        <w:t>Title/Capacity: __________________</w:t>
      </w:r>
    </w:p>
    <w:p>
      <w:pPr>
        <w:spacing w:after="60"/>
      </w:pPr>
      <w:r>
        <w:t>Signature: ______________________</w:t>
      </w:r>
    </w:p>
    <w:p>
      <w:pPr>
        <w:spacing w:after="60"/>
      </w:pPr>
      <w:r>
        <w:t>Date: ___________________________</w:t>
      </w:r>
    </w:p>
    <w:p>
      <w:pPr>
        <w:spacing w:after="60"/>
      </w:pPr>
      <w:r>
        <w:t>Witness name: ___________________</w:t>
      </w:r>
    </w:p>
    <w:p>
      <w:pPr>
        <w:spacing w:after="60"/>
      </w:pPr>
      <w:r>
        <w:t>Witness signature: ______________</w:t>
      </w:r>
    </w:p>
    <w:p>
      <w:r>
        <w:t xml:space="preserve">Signed for and on behalf of </w:t>
      </w:r>
      <w:r>
        <w:rPr>
          <w:b/>
        </w:rPr>
        <w:t>[Client legal name]</w:t>
      </w:r>
      <w:r>
        <w:t xml:space="preserve">, trading as </w:t>
      </w:r>
      <w:r>
        <w:rPr>
          <w:b/>
        </w:rPr>
        <w:t>Neighbourhood Cocktails</w:t>
      </w:r>
      <w:r>
        <w:t>:</w:t>
      </w:r>
    </w:p>
    <w:p>
      <w:pPr>
        <w:spacing w:after="60"/>
      </w:pPr>
      <w:r>
        <w:t>Name: ___________________________</w:t>
      </w:r>
    </w:p>
    <w:p>
      <w:pPr>
        <w:spacing w:after="60"/>
      </w:pPr>
      <w:r>
        <w:t>Title/Capacity: __________________</w:t>
      </w:r>
    </w:p>
    <w:p>
      <w:pPr>
        <w:spacing w:after="60"/>
      </w:pPr>
      <w:r>
        <w:t>Signature: ______________________</w:t>
      </w:r>
    </w:p>
    <w:p>
      <w:pPr>
        <w:spacing w:after="60"/>
      </w:pPr>
      <w:r>
        <w:t>Date: ___________________________</w:t>
      </w:r>
    </w:p>
    <w:p>
      <w:pPr>
        <w:spacing w:after="60"/>
      </w:pPr>
      <w:r>
        <w:t>Witness name: ___________________</w:t>
      </w:r>
    </w:p>
    <w:p>
      <w:pPr>
        <w:spacing w:after="60"/>
      </w:pPr>
      <w:r>
        <w:t>Witness signature: 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ontractMetadata"/>
      <w:jc w:val="right"/>
    </w:pPr>
    <w:r>
      <w:t xml:space="preserve">Page </w:t>
    </w:r>
    <w:r>
      <w:fldChar w:fldCharType="begin"/>
      <w:instrText xml:space="preserve">PAGE</w:instrText>
      <w:fldChar w:fldCharType="end"/>
    </w:r>
    <w: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ontractMetadata"/>
      <w:jc w:val="left"/>
      <w:pBdr>
        <w:bottom w:val="single" w:sz="8" w:space="6" w:color="1F4E5F"/>
        <w:bottom w:val="single" w:sz="8" w:space="6" w:color="1F4E5F"/>
      </w:pBdr>
    </w:pPr>
    <w:r>
      <w:t>Rotsi Labs / Neighbourhood Cocktails - Website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024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F4E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F4E5F"/>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F4E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F4E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200"/>
    </w:pPr>
    <w:rPr>
      <w:rFonts w:asciiTheme="majorHAnsi" w:eastAsiaTheme="majorEastAsia" w:hAnsiTheme="majorHAnsi" w:cstheme="majorBidi" w:ascii="Arial" w:hAnsi="Arial"/>
      <w:b w:val="0"/>
      <w:i/>
      <w:iCs/>
      <w:color w:val="5F6B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ind w:left="720" w:hanging="3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ind w:left="720" w:hanging="3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Metadata">
    <w:name w:val="Contract Metadata"/>
    <w:basedOn w:val="Normal"/>
    <w:rPr>
      <w:rFonts w:ascii="Arial" w:hAnsi="Arial"/>
      <w:color w:val="5F6B7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Design, Development and Maintenance Services Agreement</dc:title>
  <dc:subject>Rotsi Labs and Neighbourhood Cocktails</dc:subject>
  <dc:creator>Rotsi Labs</dc:creator>
  <cp:keywords/>
  <dc:description>Draft agreement generated from reviewed Markdown template.</dc:description>
  <cp:lastModifiedBy/>
  <cp:revision>1</cp:revision>
  <dcterms:created xsi:type="dcterms:W3CDTF">2013-12-23T23:15:00Z</dcterms:created>
  <dcterms:modified xsi:type="dcterms:W3CDTF">2013-12-23T23:15:00Z</dcterms:modified>
  <cp:category/>
</cp:coreProperties>
</file>