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for</w:t>
      </w:r>
      <w:r>
        <w:t xml:space="preserve"> </w:t>
      </w:r>
      <w:r>
        <w:t xml:space="preserve">Good</w:t>
      </w:r>
      <w:r>
        <w:t xml:space="preserve"> </w:t>
      </w:r>
      <w:r>
        <w:t xml:space="preserve">Sandbox</w:t>
      </w:r>
      <w:r>
        <w:t xml:space="preserve"> </w:t>
      </w:r>
      <w:r>
        <w:t xml:space="preserve">Hackathon: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Team</w:t>
      </w:r>
      <w:r>
        <w:t xml:space="preserve"> </w:t>
      </w:r>
      <w:r>
        <w:t xml:space="preserve">[Team</w:t>
      </w:r>
      <w:r>
        <w:t xml:space="preserve"> </w:t>
      </w:r>
      <w:r>
        <w:t xml:space="preserve">name]:</w:t>
      </w:r>
      <w:r>
        <w:t xml:space="preserve"> </w:t>
      </w:r>
      <w:r>
        <w:t xml:space="preserve">SarkiAI</w:t>
      </w:r>
      <w:r>
        <w:t xml:space="preserve"> </w:t>
      </w:r>
      <w:r>
        <w:t xml:space="preserve">Policy</w:t>
      </w:r>
      <w:r>
        <w:t xml:space="preserve"> </w:t>
      </w:r>
      <w:r>
        <w:t xml:space="preserve">Sandbox</w:t>
      </w:r>
      <w:r>
        <w:t xml:space="preserve"> </w:t>
      </w:r>
      <w:r>
        <w:t xml:space="preserve">(Cameroon)</w:t>
      </w:r>
    </w:p>
    <w:p>
      <w:pPr>
        <w:pStyle w:val="FirstParagraph"/>
      </w:pPr>
      <w:r>
        <w:rPr>
          <w:b/>
          <w:bCs/>
        </w:rPr>
        <w:t xml:space="preserve">Team leader:</w:t>
      </w:r>
      <w:r>
        <w:t xml:space="preserve"> </w:t>
      </w:r>
      <w:r>
        <w:t xml:space="preserve">Muller Roufaou ·</w:t>
      </w:r>
      <w:r>
        <w:t xml:space="preserve"> </w:t>
      </w:r>
      <w:r>
        <w:rPr>
          <w:b/>
          <w:bCs/>
        </w:rPr>
        <w:t xml:space="preserve">Team members:</w:t>
      </w:r>
      <w:r>
        <w:t xml:space="preserve"> </w:t>
      </w:r>
      <w:r>
        <w:t xml:space="preserve">[</w:t>
      </w:r>
      <w:r>
        <w:rPr>
          <w:i/>
          <w:iCs/>
        </w:rPr>
        <w:t xml:space="preserve">names</w:t>
      </w:r>
      <w:r>
        <w:t xml:space="preserve">]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muller.roufaou@djotta.com ·</w:t>
      </w:r>
      <w:r>
        <w:t xml:space="preserve"> </w:t>
      </w:r>
      <w:r>
        <w:rPr>
          <w:b/>
          <w:bCs/>
        </w:rPr>
        <w:t xml:space="preserve">Country:</w:t>
      </w:r>
      <w:r>
        <w:t xml:space="preserve"> </w:t>
      </w:r>
      <w:r>
        <w:t xml:space="preserve">Cameroon (CM)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https://github.com/rouftom/sarkiai-policy-sandbox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public governance &amp; health data</w:t>
      </w:r>
      <w:r>
        <w:br/>
      </w:r>
      <w:r>
        <w:rPr>
          <w:b/>
          <w:bCs/>
        </w:rPr>
        <w:t xml:space="preserve">Alignment:</w:t>
      </w:r>
      <w:r>
        <w:t xml:space="preserve"> </w:t>
      </w:r>
      <w:r>
        <w:t xml:space="preserve">ITU-T Y.3172 · ITU Readiness 2.0 (6 factors, 13 dimensions)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AI is increasingly used to analyse anomalies, but detecting one is only half the</w:t>
      </w:r>
      <w:r>
        <w:t xml:space="preserve"> </w:t>
      </w:r>
      <w:r>
        <w:t xml:space="preserve">problem. The other half (</w:t>
      </w:r>
      <w:r>
        <w:rPr>
          <w:b/>
          <w:bCs/>
        </w:rPr>
        <w:t xml:space="preserve">how institutions respond</w:t>
      </w:r>
      <w:r>
        <w:t xml:space="preserve">, who is accountable, under</w:t>
      </w:r>
      <w:r>
        <w:t xml:space="preserve"> </w:t>
      </w:r>
      <w:r>
        <w:t xml:space="preserve">which mandate, within which deadline) is where public systems fail: slowly, ad</w:t>
      </w:r>
      <w:r>
        <w:t xml:space="preserve"> </w:t>
      </w:r>
      <w:r>
        <w:t xml:space="preserve">hoc, and with uncertain legal footing.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SarkiAI Policy Sandbox</w:t>
      </w:r>
      <w:r>
        <w:t xml:space="preserve">: a policy-grounded multi-agent engine</w:t>
      </w:r>
      <w:r>
        <w:t xml:space="preserve"> </w:t>
      </w:r>
      <w:r>
        <w:t xml:space="preserve">that ingests a country’s legal corpus into a jurisdiction-scoped knowledge base,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mandated institutional agents</w:t>
      </w:r>
      <w:r>
        <w:t xml:space="preserve"> </w:t>
      </w:r>
      <w:r>
        <w:t xml:space="preserve">with partial information, executes</w:t>
      </w:r>
      <w:r>
        <w:t xml:space="preserve"> </w:t>
      </w:r>
      <w:r>
        <w:rPr>
          <w:b/>
          <w:bCs/>
        </w:rPr>
        <w:t xml:space="preserve">progressive error scenarios</w:t>
      </w:r>
      <w:r>
        <w:t xml:space="preserve"> </w:t>
      </w:r>
      <w:r>
        <w:t xml:space="preserve">in sequenced blocks, and produces</w:t>
      </w:r>
      <w:r>
        <w:t xml:space="preserve"> </w:t>
      </w:r>
      <w:r>
        <w:rPr>
          <w:b/>
          <w:bCs/>
        </w:rPr>
        <w:t xml:space="preserve">auditable</w:t>
      </w:r>
      <w:r>
        <w:t xml:space="preserve"> </w:t>
      </w:r>
      <w:r>
        <w:t xml:space="preserve">joint reports with a hash-chained log and persisted traces. It scores the</w:t>
      </w:r>
      <w:r>
        <w:t xml:space="preserve"> </w:t>
      </w:r>
      <w:r>
        <w:rPr>
          <w:b/>
          <w:bCs/>
        </w:rPr>
        <w:t xml:space="preserve">13</w:t>
      </w:r>
      <w:r>
        <w:rPr>
          <w:b/>
          <w:bCs/>
        </w:rPr>
        <w:t xml:space="preserve"> </w:t>
      </w:r>
      <w:r>
        <w:rPr>
          <w:b/>
          <w:bCs/>
        </w:rPr>
        <w:t xml:space="preserve">ITU readiness dimensions</w:t>
      </w:r>
      <w:r>
        <w:t xml:space="preserve"> </w:t>
      </w:r>
      <w:r>
        <w:t xml:space="preserve">on 0–5, projects causal what-if effects, and carries</w:t>
      </w:r>
      <w:r>
        <w:t xml:space="preserve"> </w:t>
      </w:r>
      <w:r>
        <w:t xml:space="preserve">scanned gazette pages through OCR into an impact analysis on open incidents.</w:t>
      </w:r>
    </w:p>
    <w:p>
      <w:pPr>
        <w:pStyle w:val="BodyText"/>
      </w:pPr>
      <w:r>
        <w:rPr>
          <w:b/>
          <w:bCs/>
        </w:rPr>
        <w:t xml:space="preserve">Sovereignty is architectural, not a setting.</w:t>
      </w:r>
      <w:r>
        <w:t xml:space="preserve"> </w:t>
      </w:r>
      <w:r>
        <w:t xml:space="preserve">Generation (</w:t>
      </w:r>
      <w:r>
        <w:rPr>
          <w:rStyle w:val="VerbatimChar"/>
        </w:rPr>
        <w:t xml:space="preserve">qwen3.5:9b</w:t>
      </w:r>
      <w:r>
        <w:t xml:space="preserve">) and</w:t>
      </w:r>
      <w:r>
        <w:t xml:space="preserve"> </w:t>
      </w:r>
      <w:r>
        <w:t xml:space="preserve">embeddings (</w:t>
      </w:r>
      <w:r>
        <w:rPr>
          <w:rStyle w:val="VerbatimChar"/>
        </w:rPr>
        <w:t xml:space="preserve">bge-m3</w:t>
      </w:r>
      <w:r>
        <w:t xml:space="preserve">, 1024-d) run on-premise in Ollama; no request leaves the</w:t>
      </w:r>
      <w:r>
        <w:t xml:space="preserve"> </w:t>
      </w:r>
      <w:r>
        <w:t xml:space="preserve">host, and there is no cloud fallback to disable.</w:t>
      </w:r>
    </w:p>
    <w:p>
      <w:r>
        <w:pict>
          <v:rect style="width:0;height:1.5pt" o:hralign="center" o:hrstd="t" o:hr="t"/>
        </w:pict>
      </w:r>
    </w:p>
    <w:bookmarkEnd w:id="20"/>
    <w:bookmarkStart w:id="21" w:name="description-of-the-use-case"/>
    <w:p>
      <w:pPr>
        <w:pStyle w:val="Heading2"/>
      </w:pPr>
      <w:r>
        <w:t xml:space="preserve">2. Description of the use case</w:t>
      </w:r>
    </w:p>
    <w:p>
      <w:pPr>
        <w:pStyle w:val="FirstParagraph"/>
      </w:pPr>
      <w:r>
        <w:rPr>
          <w:b/>
          <w:bCs/>
        </w:rPr>
        <w:t xml:space="preserve">The case.</w:t>
      </w:r>
      <w:r>
        <w:t xml:space="preserve"> </w:t>
      </w:r>
      <w:r>
        <w:t xml:space="preserve">Institutional response to a</w:t>
      </w:r>
      <w:r>
        <w:t xml:space="preserve"> </w:t>
      </w:r>
      <w:r>
        <w:rPr>
          <w:b/>
          <w:bCs/>
        </w:rPr>
        <w:t xml:space="preserve">health-data breach</w:t>
      </w:r>
      <w:r>
        <w:t xml:space="preserve"> </w:t>
      </w:r>
      <w:r>
        <w:t xml:space="preserve">in a public</w:t>
      </w:r>
      <w:r>
        <w:t xml:space="preserve"> </w:t>
      </w:r>
      <w:r>
        <w:t xml:space="preserve">hospital connected to a national e-health platform. Then, in the same engine</w:t>
      </w:r>
      <w:r>
        <w:t xml:space="preserve"> </w:t>
      </w:r>
      <w:r>
        <w:t xml:space="preserve">and corpus, the</w:t>
      </w:r>
      <w:r>
        <w:t xml:space="preserve"> </w:t>
      </w:r>
      <w:r>
        <w:rPr>
          <w:b/>
          <w:bCs/>
        </w:rPr>
        <w:t xml:space="preserve">exposure of minors’ records</w:t>
      </w:r>
      <w:r>
        <w:t xml:space="preserve"> </w:t>
      </w:r>
      <w:r>
        <w:t xml:space="preserve">on a national learning platform.</w:t>
      </w:r>
    </w:p>
    <w:p>
      <w:pPr>
        <w:pStyle w:val="BodyText"/>
      </w:pPr>
      <w:r>
        <w:rPr>
          <w:b/>
          <w:bCs/>
        </w:rPr>
        <w:t xml:space="preserve">The problem.</w:t>
      </w:r>
      <w:r>
        <w:t xml:space="preserve"> </w:t>
      </w:r>
      <w:r>
        <w:t xml:space="preserve">Detection is mature; the response is not. Notification duties are</w:t>
      </w:r>
      <w:r>
        <w:t xml:space="preserve"> </w:t>
      </w:r>
      <w:r>
        <w:t xml:space="preserve">split across the health ministry, the data-protection authority and the cyber</w:t>
      </w:r>
      <w:r>
        <w:t xml:space="preserve"> </w:t>
      </w:r>
      <w:r>
        <w:t xml:space="preserve">agency. No actor holds the full picture, the law is silent on several hand-offs,</w:t>
      </w:r>
      <w:r>
        <w:t xml:space="preserve"> </w:t>
      </w:r>
      <w:r>
        <w:t xml:space="preserve">and the outcome depends on who read which document first.</w:t>
      </w:r>
    </w:p>
    <w:p>
      <w:pPr>
        <w:pStyle w:val="BodyText"/>
      </w:pPr>
      <w:r>
        <w:rPr>
          <w:b/>
          <w:bCs/>
        </w:rPr>
        <w:t xml:space="preserve">Gaps in existing solutions.</w:t>
      </w:r>
      <w:r>
        <w:t xml:space="preserve"> </w:t>
      </w:r>
      <w:r>
        <w:t xml:space="preserve">Notification duties are not allocated across</w:t>
      </w:r>
      <w:r>
        <w:t xml:space="preserve"> </w:t>
      </w:r>
      <w:r>
        <w:t xml:space="preserve">sectors, so each authority waits for another. Decisions are not machine-readably</w:t>
      </w:r>
      <w:r>
        <w:t xml:space="preserve"> </w:t>
      </w:r>
      <w:r>
        <w:t xml:space="preserve">audited, so accountability cannot be reconstructed. The tension between the duty</w:t>
      </w:r>
      <w:r>
        <w:t xml:space="preserve"> </w:t>
      </w:r>
      <w:r>
        <w:t xml:space="preserve">to notify and the duty to preserve continuity of service is unresolved by any</w:t>
      </w:r>
      <w:r>
        <w:t xml:space="preserve"> </w:t>
      </w:r>
      <w:r>
        <w:t xml:space="preserve">instrument we found. Generic assistants answer with fluent prose and no traceable</w:t>
      </w:r>
      <w:r>
        <w:t xml:space="preserve"> </w:t>
      </w:r>
      <w:r>
        <w:t xml:space="preserve">basis, and cannot refuse cleanly when the corpus is silent. Cloud inference on</w:t>
      </w:r>
      <w:r>
        <w:t xml:space="preserve"> </w:t>
      </w:r>
      <w:r>
        <w:t xml:space="preserve">this material is a sovereignty risk we consider unacceptable.</w:t>
      </w:r>
    </w:p>
    <w:p>
      <w:pPr>
        <w:pStyle w:val="BodyText"/>
      </w:pPr>
      <w:r>
        <w:rPr>
          <w:b/>
          <w:bCs/>
        </w:rPr>
        <w:t xml:space="preserve">How the system answers.</w:t>
      </w:r>
      <w:r>
        <w:t xml:space="preserve"> </w:t>
      </w:r>
      <w:r>
        <w:t xml:space="preserve">Agents are grounded in national provisions with</w:t>
      </w:r>
      <w:r>
        <w:t xml:space="preserve"> </w:t>
      </w:r>
      <w:r>
        <w:rPr>
          <w:b/>
          <w:bCs/>
        </w:rPr>
        <w:t xml:space="preserve">article-level citations verified against the retrieved text</w:t>
      </w:r>
      <w:r>
        <w:t xml:space="preserve">: an invented quote</w:t>
      </w:r>
      <w:r>
        <w:t xml:space="preserve"> </w:t>
      </w:r>
      <w:r>
        <w:t xml:space="preserve">is rejected and generation retried with a directive naming the passage. Mandate</w:t>
      </w:r>
      <w:r>
        <w:t xml:space="preserve"> </w:t>
      </w:r>
      <w:r>
        <w:t xml:space="preserve">conflicts are surfaced, not smoothed over. Every step lands in a tamper-evident</w:t>
      </w:r>
      <w:r>
        <w:t xml:space="preserve"> </w:t>
      </w:r>
      <w:r>
        <w:t xml:space="preserve">audit trail and a persisted trace, exportable as a run dossier. Local inference</w:t>
      </w:r>
      <w:r>
        <w:t xml:space="preserve"> </w:t>
      </w:r>
      <w:r>
        <w:t xml:space="preserve">removes the sovereignty risk by construction, not by policy.</w:t>
      </w:r>
    </w:p>
    <w:p>
      <w:r>
        <w:pict>
          <v:rect style="width:0;height:1.5pt" o:hralign="center" o:hrstd="t" o:hr="t"/>
        </w:pict>
      </w:r>
    </w:p>
    <w:bookmarkEnd w:id="21"/>
    <w:bookmarkStart w:id="23" w:name="Xab205d37fdde46debf7027a4092a93852089ea1"/>
    <w:p>
      <w:pPr>
        <w:pStyle w:val="Heading2"/>
      </w:pPr>
      <w:r>
        <w:t xml:space="preserve">3. Mapping with ITU-T Y.3172 and Readiness 2.0</w:t>
      </w:r>
    </w:p>
    <w:p>
      <w:pPr>
        <w:pStyle w:val="FirstParagraph"/>
      </w:pPr>
      <w:r>
        <w:t xml:space="preserve">Each Y.3172 node maps onto a component of the deployment, carries a requirement,</w:t>
      </w:r>
      <w:r>
        <w:t xml:space="preserve"> </w:t>
      </w:r>
      <w:r>
        <w:t xml:space="preserve">and is scored against the Readiness 2.0 dimensions it serves.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00"/>
        <w:gridCol w:w="4800"/>
        <w:gridCol w:w="2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as ·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EHR extracts, telemetry, gazettes · coverage, retention,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Marketplace · 13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chunker (FR/EN), OCR, transcription · fidelity to the published text; no pseudo-law from a bad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Workflows · 13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normalisation, jurisdiction tagging, de-identification · purpose limitation, per-chunk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Marketplace · 6 Human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generation + hybrid retrieval (</w:t>
            </w:r>
            <w:r>
              <w:rPr>
                <w:rStyle w:val="VerbatimChar"/>
              </w:rPr>
              <w:t xml:space="preserve">bge-m3</w:t>
            </w:r>
            <w:r>
              <w:t xml:space="preserve"> </w:t>
            </w:r>
            <w:r>
              <w:t xml:space="preserve">+ BM25, RRF, optional rerank) · no external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Workflows · 3 Cross-Domain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gate, routing, approvals, scoring · a legal basis per claim; human validation before any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AI &amp; Policies · 7 Strategy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console, signed approval links, console outbox · alignment across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Strategy Alignment · 8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agents, officials, joint report, dossier · oversight, 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Impacts of Humans · 6 Human Interface · 11 Inclusion</w:t>
            </w:r>
          </w:p>
        </w:tc>
      </w:tr>
    </w:tbl>
    <w:p>
      <w:pPr>
        <w:pStyle w:val="BodyText"/>
      </w:pPr>
      <w:r>
        <w:t xml:space="preserve">Anchoring documents: the 2024 data-protection law and the CEMAC directive (</w:t>
      </w:r>
      <w:r>
        <w:rPr>
          <w:rStyle w:val="VerbatimChar"/>
        </w:rPr>
        <w:t xml:space="preserve">PP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), cybersecurity law 2010/012 (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), the communications law and the ART</w:t>
      </w:r>
      <w:r>
        <w:t xml:space="preserve"> </w:t>
      </w:r>
      <w:r>
        <w:t xml:space="preserve">compendium (</w:t>
      </w:r>
      <w:r>
        <w:rPr>
          <w:rStyle w:val="VerbatimChar"/>
        </w:rPr>
        <w:t xml:space="preserve">SRC</w:t>
      </w:r>
      <w:r>
        <w:t xml:space="preserve">), SND30 and PSNSN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).</w:t>
      </w:r>
      <w:r>
        <w:t xml:space="preserve"> </w:t>
      </w:r>
      <w:r>
        <w:rPr>
          <w:b/>
          <w:bCs/>
        </w:rPr>
        <w:t xml:space="preserve">Sovereignty cuts across all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: generation, embeddings and reranking run on the deployment host, so</w:t>
      </w:r>
      <w:r>
        <w:t xml:space="preserve"> </w:t>
      </w:r>
      <w:r>
        <w:t xml:space="preserve">patient data never leaves national infrastructure (dimensions 10 and 11). The</w:t>
      </w:r>
      <w:r>
        <w:t xml:space="preserve"> </w:t>
      </w:r>
      <w:r>
        <w:t xml:space="preserve">compose file contains no external inference service, and the provider</w:t>
      </w:r>
      <w:r>
        <w:t xml:space="preserve"> </w:t>
      </w:r>
      <w:r>
        <w:t xml:space="preserve">configuration exposes one mode,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bookmarkStart w:id="22" w:name="knowledge-base"/>
    <w:p>
      <w:pPr>
        <w:pStyle w:val="Heading3"/>
      </w:pPr>
      <w:r>
        <w:t xml:space="preserve">3.1 Knowledge base</w:t>
      </w:r>
    </w:p>
    <w:p>
      <w:pPr>
        <w:pStyle w:val="FirstParagraph"/>
      </w:pPr>
      <w:r>
        <w:rPr>
          <w:b/>
          <w:bCs/>
        </w:rPr>
        <w:t xml:space="preserve">Cameroon: 26 manifest entries, 21 ingestible today</w:t>
      </w:r>
      <w:r>
        <w:t xml:space="preserve">: the 2024 data-protection</w:t>
      </w:r>
      <w:r>
        <w:t xml:space="preserve"> </w:t>
      </w:r>
      <w:r>
        <w:t xml:space="preserve">law, cybersecurity law 2010/012, communications and e-commerce laws, penal code,</w:t>
      </w:r>
      <w:r>
        <w:t xml:space="preserve"> </w:t>
      </w:r>
      <w:r>
        <w:t xml:space="preserve">the MINPOSTEL compendium 2023, the ART compendium 2018 (486 pp.), SND30, the</w:t>
      </w:r>
      <w:r>
        <w:t xml:space="preserve"> </w:t>
      </w:r>
      <w:r>
        <w:t xml:space="preserve">national digital strategy, the digital-health plan (PSNSN 2026-2030), two decrees</w:t>
      </w:r>
      <w:r>
        <w:t xml:space="preserve"> </w:t>
      </w:r>
      <w:r>
        <w:t xml:space="preserve">and the CEMAC users-rights directive. Five entries have no text: the constitution, the</w:t>
      </w:r>
      <w:r>
        <w:t xml:space="preserve"> </w:t>
      </w:r>
      <w:r>
        <w:t xml:space="preserve">1996 framework law, the DPA and ANTIC mandates, and the cyber strategy, all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. They stay listed, not dropped.</w:t>
      </w:r>
    </w:p>
    <w:p>
      <w:pPr>
        <w:pStyle w:val="BodyText"/>
      </w:pPr>
      <w:r>
        <w:t xml:space="preserve">Each chunk carries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articleNumber</w:t>
      </w:r>
      <w:r>
        <w:t xml:space="preserve">. Eight documents carry an OCR caveat (six with</w:t>
      </w:r>
      <w:r>
        <w:t xml:space="preserve"> </w:t>
      </w:r>
      <w:r>
        <w:t xml:space="preserve">no text layer, one partial, one non-Unicode font) and go through local Tesseract</w:t>
      </w:r>
      <w:r>
        <w:t xml:space="preserve"> </w:t>
      </w:r>
      <w:r>
        <w:t xml:space="preserve">with a zone overlay, so an operator sees the exact crop the text came from.</w:t>
      </w:r>
    </w:p>
    <w:p>
      <w:pPr>
        <w:pStyle w:val="BodyText"/>
      </w:pPr>
      <w:r>
        <w:rPr>
          <w:b/>
          <w:bCs/>
        </w:rPr>
        <w:t xml:space="preserve">Ten regional instruments are ingested</w:t>
      </w:r>
      <w:r>
        <w:t xml:space="preserve"> </w:t>
      </w:r>
      <w:r>
        <w:t xml:space="preserve">for comparison: AU Continental AI</w:t>
      </w:r>
      <w:r>
        <w:t xml:space="preserve"> </w:t>
      </w:r>
      <w:r>
        <w:t xml:space="preserve">Strategy 2024, Kigali Declaration 2025, Windhoek Statement, Smart Africa</w:t>
      </w:r>
      <w:r>
        <w:t xml:space="preserve"> </w:t>
      </w:r>
      <w:r>
        <w:t xml:space="preserve">blueprint, and the strategies of Kenya (with roadmap), Rwanda, Egypt, Zambia and</w:t>
      </w:r>
      <w:r>
        <w:t xml:space="preserve"> </w:t>
      </w:r>
      <w:r>
        <w:t xml:space="preserve">Nigeria.</w:t>
      </w:r>
      <w:r>
        <w:t xml:space="preserve"> </w:t>
      </w:r>
      <w:r>
        <w:rPr>
          <w:b/>
          <w:bCs/>
        </w:rPr>
        <w:t xml:space="preserve">Six international references are catalogued but not loaded</w:t>
      </w:r>
      <w:r>
        <w:t xml:space="preserve">: ITU-T</w:t>
      </w:r>
      <w:r>
        <w:t xml:space="preserve"> </w:t>
      </w:r>
      <w:r>
        <w:t xml:space="preserve">Y.3172, the ITU Readiness Framework, WHO, UNESCO, Malabo, OECD: so the system</w:t>
      </w:r>
      <w:r>
        <w:t xml:space="preserve"> </w:t>
      </w:r>
      <w:r>
        <w:t xml:space="preserve">cannot quote them; they frame the gaps, nothing more. The ITU taxonomy (6</w:t>
      </w:r>
      <w:r>
        <w:t xml:space="preserve"> </w:t>
      </w:r>
      <w:r>
        <w:t xml:space="preserve">factors, 13 dimensions, 111 metrics) is shipped as</w:t>
      </w:r>
      <w:r>
        <w:t xml:space="preserve"> </w:t>
      </w:r>
      <w:r>
        <w:rPr>
          <w:rStyle w:val="VerbatimChar"/>
        </w:rPr>
        <w:t xml:space="preserve">data/global/itu/dimensions.json</w:t>
      </w:r>
      <w:r>
        <w:t xml:space="preserve"> </w:t>
      </w:r>
      <w:r>
        <w:t xml:space="preserve">and mirrored in the scoring engine.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614f534ba2008a67691d070a58e5016a5af3c5"/>
    <w:p>
      <w:pPr>
        <w:pStyle w:val="Heading2"/>
      </w:pPr>
      <w:r>
        <w:t xml:space="preserve">4. What is deterministic, and what is the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0"/>
        <w:gridCol w:w="4251"/>
        <w:gridCol w:w="21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dense + BM25, RRF, optional 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arithmetic over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 matched against the retrieved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exact substring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validateCitations</w:t>
            </w:r>
            <w:r>
              <w:t xml:space="preserve">: absent quote → rejection, retry with a named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a loop, not a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composite; causal propagation over a fixed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 release, per-agent visibility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declared in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chain, end-to-end re-verification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cryptographic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token, single use, expiry, bound to one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signature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Drafting, deciding when to search, ranking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qwen3.5:9b</w:t>
            </w:r>
            <w:r>
              <w:t xml:space="preserve">, on-demand retrieval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: hence gated, cited, logged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model writes; the system decides what may be written.</w:t>
      </w:r>
      <w:r>
        <w:t xml:space="preserve"> </w:t>
      </w:r>
      <w:r>
        <w:t xml:space="preserve">The console shows</w:t>
      </w:r>
      <w:r>
        <w:t xml:space="preserve"> </w:t>
      </w:r>
      <w:r>
        <w:t xml:space="preserve">rejected quotes when a retry happened and the audit records the attempt count, so</w:t>
      </w:r>
      <w:r>
        <w:t xml:space="preserve"> </w:t>
      </w:r>
      <w:r>
        <w:t xml:space="preserve">the gate can be observed rather than trusted.</w:t>
      </w:r>
    </w:p>
    <w:p>
      <w:r>
        <w:pict>
          <v:rect style="width:0;height:1.5pt" o:hralign="center" o:hrstd="t" o:hr="t"/>
        </w:pict>
      </w:r>
    </w:p>
    <w:bookmarkEnd w:id="24"/>
    <w:bookmarkStart w:id="25" w:name="error-scenarios"/>
    <w:p>
      <w:pPr>
        <w:pStyle w:val="Heading2"/>
      </w:pPr>
      <w:r>
        <w:t xml:space="preserve">5. Error scenarios</w:t>
      </w:r>
    </w:p>
    <w:p>
      <w:pPr>
        <w:pStyle w:val="FirstParagraph"/>
      </w:pPr>
      <w:r>
        <w:t xml:space="preserve">Facts are released in blocks; each institution sees only its block, then the</w:t>
      </w:r>
      <w:r>
        <w:t xml:space="preserve"> </w:t>
      </w:r>
      <w:r>
        <w:t xml:space="preserve">coordinator reconciles the independent assessments.</w:t>
      </w:r>
    </w:p>
    <w:p>
      <w:pPr>
        <w:pStyle w:val="BodyText"/>
      </w:pPr>
      <w:r>
        <w:rPr>
          <w:b/>
          <w:bCs/>
        </w:rPr>
        <w:t xml:space="preserve">A: health-data breach.</w:t>
      </w:r>
      <w:r>
        <w:t xml:space="preserve"> </w:t>
      </w:r>
      <w:r>
        <w:t xml:space="preserve">Tick 0: anomalous access on the e-health platform</w:t>
      </w:r>
      <w:r>
        <w:t xml:space="preserve"> </w:t>
      </w:r>
      <w:r>
        <w:t xml:space="preserve">(ministry, cyber agency). Tick 1: possible exfiltration of patient records</w:t>
      </w:r>
      <w:r>
        <w:t xml:space="preserve"> </w:t>
      </w:r>
      <w:r>
        <w:t xml:space="preserve">(+ DPA). Tick 2: media pressure and a notification deadline. Output: the</w:t>
      </w:r>
      <w:r>
        <w:t xml:space="preserve"> </w:t>
      </w:r>
      <w:r>
        <w:rPr>
          <w:b/>
          <w:bCs/>
        </w:rPr>
        <w:t xml:space="preserve">mandate</w:t>
      </w:r>
      <w:r>
        <w:rPr>
          <w:b/>
          <w:bCs/>
        </w:rP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between the DPA’s notification duty and the ministry’s</w:t>
      </w:r>
      <w:r>
        <w:t xml:space="preserve"> </w:t>
      </w:r>
      <w:r>
        <w:t xml:space="preserve">continuity-of-care duty, the open questions, and the gaps: each with its</w:t>
      </w:r>
      <w:r>
        <w:t xml:space="preserve"> </w:t>
      </w:r>
      <w:r>
        <w:t xml:space="preserve">article, or an explicit statement that none was found.</w:t>
      </w:r>
    </w:p>
    <w:p>
      <w:pPr>
        <w:pStyle w:val="BodyText"/>
      </w:pPr>
      <w:r>
        <w:rPr>
          <w:b/>
          <w:bCs/>
        </w:rPr>
        <w:t xml:space="preserve">B: minors’ records, same corpus, different domain.</w:t>
      </w:r>
      <w:r>
        <w:t xml:space="preserve"> </w:t>
      </w:r>
      <w:r>
        <w:t xml:space="preserve">Tick 0: a school reports</w:t>
      </w:r>
      <w:r>
        <w:t xml:space="preserve"> </w:t>
      </w:r>
      <w:r>
        <w:t xml:space="preserve">that the learning platform shows pupils from other schools. Tick 1: ~40,000 pupil</w:t>
      </w:r>
      <w:r>
        <w:t xml:space="preserve"> </w:t>
      </w:r>
      <w:r>
        <w:t xml:space="preserve">records (names, birth dates, results) reachable for days, some pupils under 13.</w:t>
      </w:r>
      <w:r>
        <w:t xml:space="preserve"> </w:t>
      </w:r>
      <w:r>
        <w:t xml:space="preserve">Tick 2: parents demand notification within 72 hours; the ministry must decide</w:t>
      </w:r>
      <w:r>
        <w:t xml:space="preserve"> </w:t>
      </w:r>
      <w:r>
        <w:t xml:space="preserve">whether to suspend the platform. Awkward on purpose: two ministries and a</w:t>
      </w:r>
      <w:r>
        <w:t xml:space="preserve"> </w:t>
      </w:r>
      <w:r>
        <w:t xml:space="preserve">regulator share the decision, the subjects are minors, and the service cannot</w:t>
      </w:r>
      <w:r>
        <w:t xml:space="preserve"> </w:t>
      </w:r>
      <w:r>
        <w:t xml:space="preserve">simply be switched off. The engine must name the provisions that apply and say</w:t>
      </w:r>
      <w:r>
        <w:t xml:space="preserve"> </w:t>
      </w:r>
      <w:r>
        <w:t xml:space="preserve">plainly where the corpus is silent, instead of inventing a 72-hour rule.</w:t>
      </w:r>
    </w:p>
    <w:p>
      <w:pPr>
        <w:pStyle w:val="BodyText"/>
      </w:pPr>
      <w:r>
        <w:rPr>
          <w:b/>
          <w:bCs/>
        </w:rPr>
        <w:t xml:space="preserve">C: a gazette that changes open cases.</w:t>
      </w:r>
      <w:r>
        <w:t xml:space="preserve"> </w:t>
      </w:r>
      <w:r>
        <w:t xml:space="preserve">A scanned page of the Official Gazette</w:t>
      </w:r>
      <w:r>
        <w:t xml:space="preserve"> </w:t>
      </w:r>
      <w:r>
        <w:t xml:space="preserve">is analysed zone by zone, OCR’d and ingested as one document. The panel asks what</w:t>
      </w:r>
      <w:r>
        <w:t xml:space="preserve"> </w:t>
      </w:r>
      <w:r>
        <w:t xml:space="preserve">the new provision changes for open runs: severity, deadlines, runs untouched. The</w:t>
      </w:r>
      <w:r>
        <w:t xml:space="preserve"> </w:t>
      </w:r>
      <w:r>
        <w:t xml:space="preserve">provision is analysed, not trusted; the zones stay visible so a wrong cut is</w:t>
      </w:r>
      <w:r>
        <w:t xml:space="preserve"> </w:t>
      </w:r>
      <w:r>
        <w:t xml:space="preserve">caught before the text becomes retrievable.</w:t>
      </w:r>
    </w:p>
    <w:p>
      <w:pPr>
        <w:pStyle w:val="BodyText"/>
      </w:pPr>
      <w:r>
        <w:rPr>
          <w:b/>
          <w:bCs/>
        </w:rPr>
        <w:t xml:space="preserve">When the corpus is silent, we say so.</w:t>
      </w:r>
      <w:r>
        <w:t xml:space="preserve"> </w:t>
      </w:r>
      <w:r>
        <w:t xml:space="preserve">If the model invents a passage, the</w:t>
      </w:r>
      <w:r>
        <w:t xml:space="preserve"> </w:t>
      </w:r>
      <w:r>
        <w:t xml:space="preserve">gate rejects it and forces a retry; if retries are exhausted, the answer is shown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validation.ok = false</w:t>
      </w:r>
      <w:r>
        <w:t xml:space="preserve">, with lower confidence and a gap written to the</w:t>
      </w:r>
      <w:r>
        <w:t xml:space="preserve"> </w:t>
      </w:r>
      <w:r>
        <w:t xml:space="preserve">audit: never presented as established fact. Returning a named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verdict instead of an uncited answer is our next step:</w:t>
      </w:r>
      <w:r>
        <w:t xml:space="preserve"> </w:t>
      </w:r>
      <w:r>
        <w:t xml:space="preserve">the refusal mechanics exist, the verdict still needs exposing in the interface.</w:t>
      </w:r>
    </w:p>
    <w:p>
      <w:r>
        <w:pict>
          <v:rect style="width:0;height:1.5pt" o:hralign="center" o:hrstd="t" o:hr="t"/>
        </w:pict>
      </w:r>
    </w:p>
    <w:bookmarkEnd w:id="25"/>
    <w:bookmarkStart w:id="26" w:name="policy-gaps-and-standards-gaps"/>
    <w:p>
      <w:pPr>
        <w:pStyle w:val="Heading2"/>
      </w:pPr>
      <w:r>
        <w:t xml:space="preserve">6. Policy gaps and standards gaps</w:t>
      </w:r>
    </w:p>
    <w:p>
      <w:pPr>
        <w:pStyle w:val="FirstParagraph"/>
      </w:pPr>
      <w:r>
        <w:t xml:space="preserve">Each gap is a text we searched for and did not find, with the action it implies.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"/>
        <w:gridCol w:w="1274"/>
        <w:gridCol w:w="2913"/>
        <w:gridCol w:w="819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duties not allocated across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 a lead authority and an escalation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machine-readable traceability of automated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an audit artefact (hash chain + citations) per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guardrail on secondary use of inferred health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advertising use; require consent and purpose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interoperability formats not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compliant formats and metadata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and purpose limitation for minors’ data unaddressed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 UNESCO and WHO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redundancy requirement for critical e-health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requirements for AI-assisted public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rule on liability when an official follows an AI recommendation and harm follows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liability, require a</w:t>
            </w:r>
            <w:r>
              <w:t xml:space="preserve"> </w:t>
            </w: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approver, logged</w:t>
            </w:r>
          </w:p>
        </w:tc>
      </w:tr>
    </w:tbl>
    <w:p>
      <w:pPr>
        <w:pStyle w:val="BodyText"/>
      </w:pPr>
      <w:r>
        <w:t xml:space="preserve">Gap 7 is the one we can act on without waiting for the law: the approval flow is</w:t>
      </w:r>
      <w:r>
        <w:t xml:space="preserve"> </w:t>
      </w:r>
      <w:r>
        <w:t xml:space="preserve">signed and nominative, so every decision carries a name.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sovereignty-auditability"/>
    <w:p>
      <w:pPr>
        <w:pStyle w:val="Heading2"/>
      </w:pPr>
      <w:r>
        <w:t xml:space="preserve">7. Architecture, Sovereignty, Auditability</w:t>
      </w:r>
    </w:p>
    <w:p>
      <w:pPr>
        <w:pStyle w:val="SourceCode"/>
      </w:pPr>
      <w:r>
        <w:rPr>
          <w:rStyle w:val="VerbatimChar"/>
        </w:rPr>
        <w:t xml:space="preserve">SRC → C → PP → M → P → D → SINK      (MLFO coordinator; the deployment is the ML sandbox)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no hosted dependency: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qwen3.5:9b</w:t>
      </w:r>
      <w:r>
        <w:t xml:space="preserve">,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),</w:t>
      </w:r>
      <w:r>
        <w:t xml:space="preserve"> </w:t>
      </w:r>
      <w:r>
        <w:rPr>
          <w:rStyle w:val="VerbatimChar"/>
        </w:rPr>
        <w:t xml:space="preserve">rerank</w:t>
      </w:r>
      <w:r>
        <w:t xml:space="preserve"> </w:t>
      </w:r>
      <w:r>
        <w:t xml:space="preserve">(TEI, optional),</w:t>
      </w:r>
      <w:r>
        <w:t xml:space="preserve"> </w:t>
      </w:r>
      <w:r>
        <w:rPr>
          <w:rStyle w:val="VerbatimChar"/>
        </w:rPr>
        <w:t xml:space="preserve">qdrant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(audit, approvals, outbox),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(content-addressed attachments and page images),</w:t>
      </w:r>
      <w:r>
        <w:t xml:space="preserve"> </w:t>
      </w:r>
      <w:r>
        <w:rPr>
          <w:rStyle w:val="VerbatimChar"/>
        </w:rPr>
        <w:t xml:space="preserve">ingestion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(Tesseract),</w:t>
      </w:r>
      <w:r>
        <w:t xml:space="preserve"> </w:t>
      </w:r>
      <w:r>
        <w:rPr>
          <w:rStyle w:val="VerbatimChar"/>
        </w:rPr>
        <w:t xml:space="preserve">transcription</w:t>
      </w:r>
      <w:r>
        <w:t xml:space="preserve"> </w:t>
      </w:r>
      <w:r>
        <w:t xml:space="preserve">(faster-whisper),</w:t>
      </w:r>
      <w:r>
        <w:t xml:space="preserve"> </w:t>
      </w:r>
      <w:r>
        <w:rPr>
          <w:rStyle w:val="VerbatimChar"/>
        </w:rPr>
        <w:t xml:space="preserve">mcp-charts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mcp-docx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(Fastify, 81 routes),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(Next.js, 26 screens, 19 in-console, FR/EN). Twelve</w:t>
      </w:r>
      <w:r>
        <w:t xml:space="preserve"> </w:t>
      </w:r>
      <w:r>
        <w:t xml:space="preserve">long-running services plus a one-shot MinIO bucket init.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by construction</w:t>
      </w:r>
      <w:r>
        <w:t xml:space="preserve">: one inference mode,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; the console badge says</w:t>
      </w:r>
      <w:r>
        <w:t xml:space="preserve"> </w:t>
      </w:r>
      <w:r>
        <w:t xml:space="preserve">so because the configuration accepts nothing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auth</w:t>
      </w:r>
      <w:r>
        <w:t xml:space="preserve">: scrypt passwords, TOTP with single-use recovery codes,</w:t>
      </w:r>
      <w:r>
        <w:t xml:space="preserve"> </w:t>
      </w:r>
      <w:r>
        <w:t xml:space="preserve">local reset, sign-up closed by default; no identity provider.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E-mail without a provider</w:t>
      </w:r>
      <w:r>
        <w:t xml:space="preserve">: notifications and approval links go to a console</w:t>
      </w:r>
      <w:r>
        <w:t xml:space="preserve"> </w:t>
      </w:r>
      <w:r>
        <w:t xml:space="preserve">outbox and the operator log; no SMTP, no relay.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Untrusted context, verifiable record</w:t>
      </w:r>
      <w:r>
        <w:t xml:space="preserve">: up to three images per question,</w:t>
      </w:r>
      <w:r>
        <w:t xml:space="preserve"> </w:t>
      </w:r>
      <w:r>
        <w:t xml:space="preserve">content-addressed, treated as data never instructions; hash-chained log,</w:t>
      </w:r>
      <w:r>
        <w:t xml:space="preserve"> </w:t>
      </w:r>
      <w:r>
        <w:t xml:space="preserve">persisted traces, every citation, exportable with chain verification.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-criteria-alignment"/>
    <w:p>
      <w:pPr>
        <w:pStyle w:val="Heading2"/>
      </w:pPr>
      <w:r>
        <w:t xml:space="preserve">8. Evaluation-criteria alignment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3"/>
        <w:gridCol w:w="56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solution addresses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Knowledge-base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entries / 21 ingestible, gazettes through local OCR with zone provenance,</w:t>
            </w:r>
            <w:r>
              <w:t xml:space="preserve"> </w:t>
            </w:r>
            <w:r>
              <w:rPr>
                <w:rStyle w:val="VerbatimChar"/>
              </w:rPr>
              <w:t xml:space="preserve">TITRE/CHAPITRE/ARTICLE</w:t>
            </w:r>
            <w:r>
              <w:t xml:space="preserve"> </w:t>
            </w:r>
            <w:r>
              <w:t xml:space="preserve">tagging, ITU taxonomy, 10 regional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mandated agents with partial information, citation-mandatory prompts, on-demand search, coordinator reconciliation, conflict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gaps across the 13 dimensions, each with a recommendation to the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citation gate, hash-chained log, traces, dossier export, chain re-verification, named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node-by-node Y.3172 mapping (MLFO, sandbox); Readiness 2.0 (6 factors, 13 dimensions); 0–5 scoring with causal what-if</w:t>
            </w:r>
          </w:p>
        </w:tc>
      </w:tr>
    </w:tbl>
    <w:p>
      <w:pPr>
        <w:pStyle w:val="BodyText"/>
      </w:pPr>
      <w:r>
        <w:t xml:space="preserve">Clickable evidence per dimension:</w:t>
      </w:r>
      <w:r>
        <w:t xml:space="preserve"> </w:t>
      </w:r>
      <w:r>
        <w:rPr>
          <w:b/>
          <w:bCs/>
        </w:rPr>
        <w:t xml:space="preserve">10 AI &amp; Policies</w:t>
      </w:r>
      <w:r>
        <w:t xml:space="preserve"> </w:t>
      </w:r>
      <w:r>
        <w:t xml:space="preserve">(citations, rejected</w:t>
      </w:r>
      <w:r>
        <w:t xml:space="preserve"> </w:t>
      </w:r>
      <w:r>
        <w:t xml:space="preserve">quotes, gap table) ·</w:t>
      </w:r>
      <w:r>
        <w:t xml:space="preserve"> </w:t>
      </w:r>
      <w:r>
        <w:rPr>
          <w:b/>
          <w:bCs/>
        </w:rPr>
        <w:t xml:space="preserve">11 Inclusion</w:t>
      </w:r>
      <w:r>
        <w:t xml:space="preserve"> </w:t>
      </w:r>
      <w:r>
        <w:t xml:space="preserve">(bilingual console, local-only inference,</w:t>
      </w:r>
      <w:r>
        <w:t xml:space="preserve"> </w:t>
      </w:r>
      <w:r>
        <w:t xml:space="preserve">OCR and voice) ·</w:t>
      </w:r>
      <w:r>
        <w:t xml:space="preserve"> </w:t>
      </w:r>
      <w:r>
        <w:rPr>
          <w:b/>
          <w:bCs/>
        </w:rPr>
        <w:t xml:space="preserve">13 Infrastructure</w:t>
      </w:r>
      <w:r>
        <w:t xml:space="preserve"> </w:t>
      </w:r>
      <w:r>
        <w:t xml:space="preserve">(the self-hosted stack, offline once models</w:t>
      </w:r>
      <w:r>
        <w:t xml:space="preserve"> </w:t>
      </w:r>
      <w:r>
        <w:t xml:space="preserve">are pulled) ·</w:t>
      </w:r>
      <w:r>
        <w:t xml:space="preserve"> </w:t>
      </w:r>
      <w:r>
        <w:rPr>
          <w:b/>
          <w:bCs/>
        </w:rPr>
        <w:t xml:space="preserve">7 Strategy Alignment</w:t>
      </w:r>
      <w:r>
        <w:t xml:space="preserve"> </w:t>
      </w:r>
      <w:r>
        <w:t xml:space="preserve">(scoring against SND30 and PSNSN) ·</w:t>
      </w:r>
      <w:r>
        <w:t xml:space="preserve"> </w:t>
      </w:r>
      <w:r>
        <w:rPr>
          <w:b/>
          <w:bCs/>
        </w:rPr>
        <w:t xml:space="preserve">6 Human Interface</w:t>
      </w:r>
      <w:r>
        <w:t xml:space="preserve"> </w:t>
      </w:r>
      <w:r>
        <w:t xml:space="preserve">(citation dialog, OCR overlay, signed approvals) ·</w:t>
      </w:r>
      <w:r>
        <w:t xml:space="preserve"> </w:t>
      </w:r>
      <w:r>
        <w:rPr>
          <w:b/>
          <w:bCs/>
        </w:rPr>
        <w:t xml:space="preserve">5 Workflows</w:t>
      </w:r>
      <w:r>
        <w:t xml:space="preserve"> </w:t>
      </w:r>
      <w:r>
        <w:t xml:space="preserve">(ticks, approvals, notifications and audit in one flow).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TypeScript/Python monorepo: 18 packages, 81 API routes, 26</w:t>
      </w:r>
      <w:r>
        <w:t xml:space="preserve"> </w:t>
      </w:r>
      <w:r>
        <w:t xml:space="preserve">screens. Validation for this submission: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38/38,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228 tests in</w:t>
      </w:r>
      <w:r>
        <w:t xml:space="preserve"> </w:t>
      </w:r>
      <w:r>
        <w:t xml:space="preserve">44 files with 0 failure, production console build 20/20,</w:t>
      </w:r>
      <w:r>
        <w:t xml:space="preserve"> </w:t>
      </w:r>
      <w:r>
        <w:rPr>
          <w:rStyle w:val="VerbatimChar"/>
        </w:rPr>
        <w:t xml:space="preserve">docker compose config</w:t>
      </w:r>
      <w:r>
        <w:t xml:space="preserve"> </w:t>
      </w:r>
      <w:r>
        <w:t xml:space="preserve">on all three stacks. Unit tests run without infrastructure; integration tests</w:t>
      </w:r>
      <w:r>
        <w:t xml:space="preserve"> </w:t>
      </w:r>
      <w:r>
        <w:t xml:space="preserve">are environment-gated.</w:t>
      </w:r>
    </w:p>
    <w:p>
      <w:r>
        <w:pict>
          <v:rect style="width:0;height:1.5pt" o:hralign="center" o:hrstd="t" o:hr="t"/>
        </w:pict>
      </w:r>
    </w:p>
    <w:bookmarkEnd w:id="28"/>
    <w:bookmarkStart w:id="29" w:name="honest-limits"/>
    <w:p>
      <w:pPr>
        <w:pStyle w:val="Heading2"/>
      </w:pPr>
      <w:r>
        <w:t xml:space="preserve">9. Honest limits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Corpus coverage is partial.</w:t>
      </w:r>
      <w:r>
        <w:t xml:space="preserve"> </w:t>
      </w:r>
      <w:r>
        <w:t xml:space="preserve">Eight documents carry an OCR caveat (numbers</w:t>
      </w:r>
      <w:r>
        <w:t xml:space="preserve"> </w:t>
      </w:r>
      <w:r>
        <w:t xml:space="preserve">flagged per document); five entries have no text at all (all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);</w:t>
      </w:r>
      <w:r>
        <w:t xml:space="preserve"> </w:t>
      </w:r>
      <w:r>
        <w:t xml:space="preserve">six international references are catalogued but never loaded, so the system</w:t>
      </w:r>
      <w:r>
        <w:t xml:space="preserve"> </w:t>
      </w:r>
      <w:r>
        <w:t xml:space="preserve">cannot quote Y.3172, WHO, UNESCO or the OECD principles.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reasoning is a 9B local model</w:t>
      </w:r>
      <w:r>
        <w:t xml:space="preserve">: bounded, slower than a hosted model, and</w:t>
      </w:r>
      <w:r>
        <w:t xml:space="preserve"> </w:t>
      </w:r>
      <w:r>
        <w:t xml:space="preserve">its prose quality is not the claim; being gated, cited and logged 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legal advice, not a production gate.</w:t>
      </w:r>
      <w:r>
        <w:t xml:space="preserve"> </w:t>
      </w:r>
      <w:r>
        <w:t xml:space="preserve">A real deployment needs the</w:t>
      </w:r>
      <w:r>
        <w:t xml:space="preserve"> </w:t>
      </w:r>
      <w:r>
        <w:t xml:space="preserve">authority’s own sign-off on the corpus.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readiness scores are our model of judgement</w:t>
      </w:r>
      <w:r>
        <w:t xml:space="preserve">, built on ITU dimensions</w:t>
      </w:r>
      <w:r>
        <w:t xml:space="preserve"> </w:t>
      </w:r>
      <w:r>
        <w:t xml:space="preserve">and metrics, not an official ITU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live integration with ministries</w:t>
      </w:r>
      <w:r>
        <w:t xml:space="preserve">: inputs are the corpus, the scenario</w:t>
      </w:r>
      <w:r>
        <w:t xml:space="preserve"> </w:t>
      </w:r>
      <w:r>
        <w:t xml:space="preserve">record, and what an operator uploads.</w:t>
      </w:r>
    </w:p>
    <w:p>
      <w:r>
        <w:pict>
          <v:rect style="width:0;height:1.5pt" o:hralign="center" o:hrstd="t" o:hr="t"/>
        </w:pict>
      </w:r>
    </w:p>
    <w:bookmarkEnd w:id="29"/>
    <w:bookmarkStart w:id="30" w:name="from-sandbox-to-deployment"/>
    <w:p>
      <w:pPr>
        <w:pStyle w:val="Heading2"/>
      </w:pPr>
      <w:r>
        <w:t xml:space="preserve">10. From sandbox to deployment</w:t>
      </w:r>
    </w:p>
    <w:p>
      <w:pPr>
        <w:pStyle w:val="FirstParagraph"/>
      </w:pPr>
      <w:r>
        <w:t xml:space="preserve">Three concrete steps, in order: source the five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 </w:t>
      </w:r>
      <w:r>
        <w:t xml:space="preserve">instruments and run</w:t>
      </w:r>
      <w:r>
        <w:t xml:space="preserve"> </w:t>
      </w:r>
      <w:r>
        <w:t xml:space="preserve">OCR on the eight documents that need it, so the corpus claim is complete rather</w:t>
      </w:r>
      <w:r>
        <w:t xml:space="preserve"> </w:t>
      </w:r>
      <w:r>
        <w:t xml:space="preserve">than honest-but-partial; expose the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verdict in the</w:t>
      </w:r>
      <w:r>
        <w:t xml:space="preserve"> </w:t>
      </w:r>
      <w:r>
        <w:t xml:space="preserve">console and the dossier; and harden the approval path: mandatory reason, no</w:t>
      </w:r>
      <w:r>
        <w:t xml:space="preserve"> </w:t>
      </w:r>
      <w:r>
        <w:t xml:space="preserve">self-approval, and an action type with no approval route at all, because some</w:t>
      </w:r>
      <w:r>
        <w:t xml:space="preserve"> </w:t>
      </w:r>
      <w:r>
        <w:t xml:space="preserve">things are not ours to authorise. Each is a bounded change to code we already</w:t>
      </w:r>
      <w:r>
        <w:t xml:space="preserve"> </w:t>
      </w:r>
      <w:r>
        <w:t xml:space="preserve">run, not a redesign.</w:t>
      </w:r>
    </w:p>
    <w:p>
      <w:r>
        <w:pict>
          <v:rect style="width:0;height:1.5pt" o:hralign="center" o:hrstd="t" o:hr="t"/>
        </w:pict>
      </w:r>
    </w:p>
    <w:bookmarkEnd w:id="30"/>
    <w:bookmarkStart w:id="31" w:name="team-and-submission"/>
    <w:p>
      <w:pPr>
        <w:pStyle w:val="Heading2"/>
      </w:pPr>
      <w:r>
        <w:t xml:space="preserve">11. Team and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8"/>
        <w:gridCol w:w="5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Muller Roufaou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rPr>
                <w:i/>
                <w:iCs/>
              </w:rPr>
              <w:t xml:space="preserve">names, max 4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rPr>
                <w:i/>
                <w:iCs/>
              </w:rPr>
              <w:t xml:space="preserve">name if applicable</w:t>
            </w:r>
            <w:r>
              <w:t xml:space="preserve">]</w:t>
            </w:r>
          </w:p>
        </w:tc>
      </w:tr>
    </w:tbl>
    <w:p>
      <w:pPr>
        <w:pStyle w:val="BodyText"/>
      </w:pPr>
      <w:r>
        <w:t xml:space="preserve">Repository: https://github.com/rouftom/sarkiai-policy-sandbox · Knowledge base:</w:t>
      </w:r>
      <w:r>
        <w:t xml:space="preserve"> </w:t>
      </w:r>
      <w:r>
        <w:rPr>
          <w:rStyle w:val="VerbatimChar"/>
        </w:rPr>
        <w:t xml:space="preserve">data/country/cm/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data/global/</w:t>
      </w:r>
      <w:r>
        <w:t xml:space="preserve"> </w:t>
      </w:r>
      <w:r>
        <w:t xml:space="preserve">· Demo video: [</w:t>
      </w:r>
      <w:r>
        <w:rPr>
          <w:i/>
          <w:iCs/>
        </w:rPr>
        <w:t xml:space="preserve">link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Licence.</w:t>
      </w:r>
      <w:r>
        <w:t xml:space="preserve"> </w:t>
      </w:r>
      <w:r>
        <w:t xml:space="preserve">Code Apache-2.0; knowledge base and documentation CC BY 4.0. No API</w:t>
      </w:r>
      <w:r>
        <w:t xml:space="preserve"> </w:t>
      </w:r>
      <w:r>
        <w:t xml:space="preserve">keys in the repository, at any commit.</w:t>
      </w:r>
    </w:p>
    <w:bookmarkEnd w:id="31"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1"/>
        <w:szCs w:val="21"/>
        <w:lang w:bidi="ar-SA" w:eastAsia="en-US" w:val="en-US"/>
      </w:rPr>
    </w:rPrDefault>
    <w:pPrDefault>
      <w:pPr>
        <w:spacing w:after="8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1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24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4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4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40"/>
      <w:outlineLvl w:val="3"/>
    </w:pPr>
    <w:rPr>
      <w:rFonts w:ascii="Times New Roman" w:hAnsi="Times New Roman" w:cs="Times New Roman" w:eastAsia="Times New Roman"/>
      <w:bCs/>
      <w:i/>
      <w:color w:themeColor="accent1" w:val="4F81BD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40"/>
      <w:outlineLvl w:val="4"/>
    </w:pPr>
    <w:rPr>
      <w:rFonts w:ascii="Times New Roman" w:hAnsi="Times New Roman" w:cs="Times New Roman" w:eastAsia="Times New Roman"/>
      <w:iCs/>
      <w:color w:themeColor="accent1" w:val="4F81BD"/>
      <w:sz w:val="21"/>
      <w:szCs w:val="2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40"/>
      <w:outlineLvl w:val="5"/>
    </w:pPr>
    <w:rPr>
      <w:rFonts w:ascii="Times New Roman" w:hAnsi="Times New Roman" w:cs="Times New Roman" w:eastAsia="Times New Roman"/>
      <w:color w:themeColor="accent1" w:val="4F81BD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40" w:before="140"/>
      <w:outlineLvl w:val="6"/>
    </w:pPr>
    <w:rPr>
      <w:rFonts w:ascii="Times New Roman" w:hAnsi="Times New Roman" w:cs="Times New Roman" w:eastAsia="Times New Roman"/>
      <w:color w:themeColor="accent1" w:val="4F81BD"/>
      <w:sz w:val="21"/>
      <w:szCs w:val="21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40" w:before="140"/>
      <w:outlineLvl w:val="7"/>
    </w:pPr>
    <w:rPr>
      <w:rFonts w:ascii="Times New Roman" w:hAnsi="Times New Roman" w:cs="Times New Roman" w:eastAsia="Times New Roman"/>
      <w:color w:themeColor="accent1" w:val="4F81BD"/>
      <w:sz w:val="21"/>
      <w:szCs w:val="21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40" w:before="140"/>
      <w:outlineLvl w:val="8"/>
    </w:pPr>
    <w:rPr>
      <w:rFonts w:ascii="Times New Roman" w:hAnsi="Times New Roman" w:cs="Times New Roman" w:eastAsia="Times New Roman"/>
      <w:color w:themeColor="accent1" w:val="4F81BD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Good Sandbox Hackathon: Technical Report</dc:title>
  <dc:creator/>
  <cp:keywords/>
  <dcterms:created xsi:type="dcterms:W3CDTF">2026-10-31T09:35:03Z</dcterms:created>
  <dcterms:modified xsi:type="dcterms:W3CDTF">2026-10-31T09:35:03Z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[Team name]: SarkiAI Policy Sandbox (Cameroon)</vt:lpwstr>
  </property>
</Properties>
</file>