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AF3BF5" w14:textId="77777777" w:rsidR="00634996" w:rsidRPr="00FB25C7" w:rsidRDefault="00634996" w:rsidP="001A2523">
      <w:pPr>
        <w:spacing w:line="312" w:lineRule="auto"/>
        <w:rPr>
          <w:rFonts w:ascii="Arial" w:hAnsi="Arial" w:cs="Arial"/>
          <w:b/>
          <w:bCs/>
          <w:sz w:val="32"/>
          <w:szCs w:val="28"/>
        </w:rPr>
      </w:pPr>
      <w:bookmarkStart w:id="0" w:name="_GoBack"/>
      <w:r w:rsidRPr="00FB25C7">
        <w:rPr>
          <w:rFonts w:ascii="Arial" w:hAnsi="Arial" w:cs="Arial"/>
          <w:b/>
          <w:bCs/>
          <w:sz w:val="32"/>
          <w:szCs w:val="28"/>
        </w:rPr>
        <w:t>III Weitere Informationen und Kontakt</w:t>
      </w:r>
    </w:p>
    <w:p w14:paraId="2C957366" w14:textId="77777777" w:rsidR="000A7B9B" w:rsidRDefault="000A7B9B" w:rsidP="001A2523">
      <w:pPr>
        <w:spacing w:line="312" w:lineRule="auto"/>
        <w:rPr>
          <w:rFonts w:ascii="Arial" w:hAnsi="Arial" w:cs="Arial"/>
          <w:sz w:val="26"/>
          <w:szCs w:val="26"/>
        </w:rPr>
      </w:pPr>
    </w:p>
    <w:p w14:paraId="090A10E0" w14:textId="093E0D6B" w:rsidR="00634996" w:rsidRPr="004F323F" w:rsidRDefault="00634996" w:rsidP="001A2523">
      <w:pPr>
        <w:spacing w:line="312" w:lineRule="auto"/>
        <w:rPr>
          <w:rFonts w:ascii="Arial" w:hAnsi="Arial" w:cs="Arial"/>
          <w:sz w:val="26"/>
          <w:szCs w:val="26"/>
        </w:rPr>
      </w:pPr>
      <w:r w:rsidRPr="004F323F">
        <w:rPr>
          <w:rFonts w:ascii="Arial" w:hAnsi="Arial" w:cs="Arial"/>
          <w:sz w:val="26"/>
          <w:szCs w:val="26"/>
        </w:rPr>
        <w:t>Die Entwicklung des SDF resultiert aus einem Kooperationsprojekt des Institut</w:t>
      </w:r>
      <w:r w:rsidR="00256D6D" w:rsidRPr="004F323F">
        <w:rPr>
          <w:rFonts w:ascii="Arial" w:hAnsi="Arial" w:cs="Arial"/>
          <w:sz w:val="26"/>
          <w:szCs w:val="26"/>
        </w:rPr>
        <w:t>s</w:t>
      </w:r>
      <w:r w:rsidRPr="004F323F">
        <w:rPr>
          <w:rFonts w:ascii="Arial" w:hAnsi="Arial" w:cs="Arial"/>
          <w:sz w:val="26"/>
          <w:szCs w:val="26"/>
        </w:rPr>
        <w:t xml:space="preserve"> für komplexe Systemforschung (IKS) der Hochschule Fresenius. </w:t>
      </w:r>
    </w:p>
    <w:p w14:paraId="25A5FC19" w14:textId="1A1253B4" w:rsidR="00634996" w:rsidRPr="004F323F" w:rsidRDefault="00634996" w:rsidP="001A2523">
      <w:pPr>
        <w:spacing w:line="312" w:lineRule="auto"/>
        <w:rPr>
          <w:rFonts w:ascii="Arial" w:hAnsi="Arial" w:cs="Arial"/>
          <w:sz w:val="26"/>
          <w:szCs w:val="26"/>
        </w:rPr>
      </w:pPr>
      <w:r w:rsidRPr="004F323F">
        <w:rPr>
          <w:rFonts w:ascii="Arial" w:hAnsi="Arial" w:cs="Arial"/>
          <w:sz w:val="26"/>
          <w:szCs w:val="26"/>
        </w:rPr>
        <w:t xml:space="preserve">Für Fragen zu den wissenschaftlichen Hintergründen können Sie sich an </w:t>
      </w:r>
      <w:hyperlink r:id="rId5" w:history="1">
        <w:r w:rsidRPr="004F323F">
          <w:rPr>
            <w:rStyle w:val="Hyperlink"/>
            <w:rFonts w:ascii="Arial" w:hAnsi="Arial" w:cs="Arial"/>
            <w:sz w:val="26"/>
            <w:szCs w:val="26"/>
          </w:rPr>
          <w:t>IKS@hs-fresenius.de</w:t>
        </w:r>
      </w:hyperlink>
      <w:r w:rsidRPr="004F323F">
        <w:rPr>
          <w:rFonts w:ascii="Arial" w:hAnsi="Arial" w:cs="Arial"/>
          <w:sz w:val="26"/>
          <w:szCs w:val="26"/>
        </w:rPr>
        <w:t xml:space="preserve"> wenden.</w:t>
      </w:r>
    </w:p>
    <w:p w14:paraId="51AF0AF7" w14:textId="77777777" w:rsidR="00FB25C7" w:rsidRPr="004F323F" w:rsidRDefault="00634996" w:rsidP="001A2523">
      <w:pPr>
        <w:spacing w:line="312" w:lineRule="auto"/>
        <w:rPr>
          <w:rFonts w:ascii="Arial" w:hAnsi="Arial" w:cs="Arial"/>
          <w:sz w:val="26"/>
          <w:szCs w:val="26"/>
        </w:rPr>
      </w:pPr>
      <w:r w:rsidRPr="004F323F">
        <w:rPr>
          <w:rFonts w:ascii="Arial" w:hAnsi="Arial" w:cs="Arial"/>
          <w:sz w:val="26"/>
          <w:szCs w:val="26"/>
        </w:rPr>
        <w:t>Alle wissenschaftlichen Untersuchungsschritte</w:t>
      </w:r>
      <w:r w:rsidR="00D37DED" w:rsidRPr="004F323F">
        <w:rPr>
          <w:rFonts w:ascii="Arial" w:hAnsi="Arial" w:cs="Arial"/>
          <w:sz w:val="26"/>
          <w:szCs w:val="26"/>
        </w:rPr>
        <w:t>,</w:t>
      </w:r>
      <w:r w:rsidRPr="004F323F">
        <w:rPr>
          <w:rFonts w:ascii="Arial" w:hAnsi="Arial" w:cs="Arial"/>
          <w:sz w:val="26"/>
          <w:szCs w:val="26"/>
        </w:rPr>
        <w:t xml:space="preserve"> die die Grundlage des SDF bilden, sowie alle weiteren Entwicklungen wurden </w:t>
      </w:r>
      <w:r w:rsidR="00FB25C7" w:rsidRPr="004F323F">
        <w:rPr>
          <w:rFonts w:ascii="Arial" w:hAnsi="Arial" w:cs="Arial"/>
          <w:sz w:val="26"/>
          <w:szCs w:val="26"/>
        </w:rPr>
        <w:t>vom IKS</w:t>
      </w:r>
      <w:r w:rsidRPr="004F323F">
        <w:rPr>
          <w:rFonts w:ascii="Arial" w:hAnsi="Arial" w:cs="Arial"/>
          <w:sz w:val="26"/>
          <w:szCs w:val="26"/>
        </w:rPr>
        <w:t xml:space="preserve"> mit größtmöglicher Sorgfalt </w:t>
      </w:r>
      <w:r w:rsidR="00D37DED" w:rsidRPr="004F323F">
        <w:rPr>
          <w:rFonts w:ascii="Arial" w:hAnsi="Arial" w:cs="Arial"/>
          <w:sz w:val="26"/>
          <w:szCs w:val="26"/>
        </w:rPr>
        <w:t>durchgeführt</w:t>
      </w:r>
      <w:r w:rsidRPr="004F323F">
        <w:rPr>
          <w:rFonts w:ascii="Arial" w:hAnsi="Arial" w:cs="Arial"/>
          <w:sz w:val="26"/>
          <w:szCs w:val="26"/>
        </w:rPr>
        <w:t xml:space="preserve">. Wir bitten um Ihr Verständnis, dass wir dennoch für die Aktualität, Richtigkeit und Vollständigkeit der </w:t>
      </w:r>
      <w:r w:rsidR="00D37DED" w:rsidRPr="004F323F">
        <w:rPr>
          <w:rFonts w:ascii="Arial" w:hAnsi="Arial" w:cs="Arial"/>
          <w:sz w:val="26"/>
          <w:szCs w:val="26"/>
        </w:rPr>
        <w:t xml:space="preserve">zur Verfügung gestellten Informationen </w:t>
      </w:r>
      <w:r w:rsidRPr="004F323F">
        <w:rPr>
          <w:rFonts w:ascii="Arial" w:hAnsi="Arial" w:cs="Arial"/>
          <w:sz w:val="26"/>
          <w:szCs w:val="26"/>
        </w:rPr>
        <w:t xml:space="preserve">keine Gewähr übernehmen können. </w:t>
      </w:r>
    </w:p>
    <w:p w14:paraId="132469A8" w14:textId="5FFEEBF5" w:rsidR="00D37DED" w:rsidRPr="004F323F" w:rsidRDefault="00D37DED" w:rsidP="001A2523">
      <w:pPr>
        <w:spacing w:line="312" w:lineRule="auto"/>
        <w:rPr>
          <w:rFonts w:ascii="Arial" w:hAnsi="Arial" w:cs="Arial"/>
          <w:sz w:val="26"/>
          <w:szCs w:val="26"/>
        </w:rPr>
      </w:pPr>
      <w:r w:rsidRPr="004F323F">
        <w:rPr>
          <w:rFonts w:ascii="Arial" w:hAnsi="Arial" w:cs="Arial"/>
          <w:sz w:val="26"/>
          <w:szCs w:val="26"/>
        </w:rPr>
        <w:t>Das IKS</w:t>
      </w:r>
      <w:r w:rsidR="00634996" w:rsidRPr="004F323F">
        <w:rPr>
          <w:rFonts w:ascii="Arial" w:hAnsi="Arial" w:cs="Arial"/>
          <w:sz w:val="26"/>
          <w:szCs w:val="26"/>
        </w:rPr>
        <w:t xml:space="preserve"> schließ</w:t>
      </w:r>
      <w:r w:rsidRPr="004F323F">
        <w:rPr>
          <w:rFonts w:ascii="Arial" w:hAnsi="Arial" w:cs="Arial"/>
          <w:sz w:val="26"/>
          <w:szCs w:val="26"/>
        </w:rPr>
        <w:t>t</w:t>
      </w:r>
      <w:r w:rsidR="00634996" w:rsidRPr="004F323F">
        <w:rPr>
          <w:rFonts w:ascii="Arial" w:hAnsi="Arial" w:cs="Arial"/>
          <w:sz w:val="26"/>
          <w:szCs w:val="26"/>
        </w:rPr>
        <w:t xml:space="preserve"> die Haftung für Schäden aus, die sich direkt oder indirekt aus der Verwendung </w:t>
      </w:r>
      <w:r w:rsidRPr="004F323F">
        <w:rPr>
          <w:rFonts w:ascii="Arial" w:hAnsi="Arial" w:cs="Arial"/>
          <w:sz w:val="26"/>
          <w:szCs w:val="26"/>
        </w:rPr>
        <w:t xml:space="preserve">SDF </w:t>
      </w:r>
      <w:r w:rsidR="00634996" w:rsidRPr="004F323F">
        <w:rPr>
          <w:rFonts w:ascii="Arial" w:hAnsi="Arial" w:cs="Arial"/>
          <w:sz w:val="26"/>
          <w:szCs w:val="26"/>
        </w:rPr>
        <w:t>ergeben können</w:t>
      </w:r>
      <w:r w:rsidRPr="004F323F">
        <w:rPr>
          <w:rFonts w:ascii="Arial" w:hAnsi="Arial" w:cs="Arial"/>
          <w:sz w:val="26"/>
          <w:szCs w:val="26"/>
        </w:rPr>
        <w:t>.</w:t>
      </w:r>
    </w:p>
    <w:p w14:paraId="104866C5" w14:textId="0D5603C1" w:rsidR="00792871" w:rsidRPr="004F323F" w:rsidRDefault="00792871" w:rsidP="001A2523">
      <w:pPr>
        <w:spacing w:line="312" w:lineRule="auto"/>
        <w:rPr>
          <w:rFonts w:ascii="Arial" w:hAnsi="Arial" w:cs="Arial"/>
          <w:sz w:val="26"/>
          <w:szCs w:val="26"/>
        </w:rPr>
      </w:pPr>
      <w:r w:rsidRPr="004F323F">
        <w:rPr>
          <w:rFonts w:ascii="Arial" w:hAnsi="Arial" w:cs="Arial"/>
          <w:sz w:val="26"/>
          <w:szCs w:val="26"/>
        </w:rPr>
        <w:t xml:space="preserve">Das SDF versteht sich als Tool, das zur Unterstützung von Entscheidungen im Rahmen von </w:t>
      </w:r>
      <w:r w:rsidR="00FB25C7" w:rsidRPr="004F323F">
        <w:rPr>
          <w:rFonts w:ascii="Arial" w:hAnsi="Arial" w:cs="Arial"/>
          <w:sz w:val="26"/>
          <w:szCs w:val="26"/>
        </w:rPr>
        <w:t xml:space="preserve">digitalen Transformationsprozessen oder </w:t>
      </w:r>
      <w:r w:rsidRPr="004F323F">
        <w:rPr>
          <w:rFonts w:ascii="Arial" w:hAnsi="Arial" w:cs="Arial"/>
          <w:sz w:val="26"/>
          <w:szCs w:val="26"/>
        </w:rPr>
        <w:t>Change</w:t>
      </w:r>
      <w:r w:rsidR="00FB25C7" w:rsidRPr="004F323F">
        <w:rPr>
          <w:rFonts w:ascii="Arial" w:hAnsi="Arial" w:cs="Arial"/>
          <w:sz w:val="26"/>
          <w:szCs w:val="26"/>
        </w:rPr>
        <w:t>-</w:t>
      </w:r>
      <w:r w:rsidRPr="004F323F">
        <w:rPr>
          <w:rFonts w:ascii="Arial" w:hAnsi="Arial" w:cs="Arial"/>
          <w:sz w:val="26"/>
          <w:szCs w:val="26"/>
        </w:rPr>
        <w:t xml:space="preserve">Projekten dient. Die Verantwortung für die Entscheidung liegt gleichwohl vollständig beim Nutzer des Tools und nicht bei den Entwicklern. </w:t>
      </w:r>
    </w:p>
    <w:p w14:paraId="6E633E36" w14:textId="77777777" w:rsidR="00F905FC" w:rsidRDefault="00F905FC" w:rsidP="001A2523">
      <w:pPr>
        <w:spacing w:line="312" w:lineRule="auto"/>
        <w:rPr>
          <w:rFonts w:ascii="Arial" w:hAnsi="Arial" w:cs="Arial"/>
        </w:rPr>
      </w:pPr>
    </w:p>
    <w:p w14:paraId="01C0201A" w14:textId="53CBDF35" w:rsidR="00F905FC" w:rsidRPr="00FB25C7" w:rsidRDefault="00F905FC" w:rsidP="001A2523">
      <w:pPr>
        <w:spacing w:line="312" w:lineRule="auto"/>
        <w:rPr>
          <w:rFonts w:ascii="Arial" w:hAnsi="Arial" w:cs="Arial"/>
          <w:b/>
        </w:rPr>
      </w:pPr>
      <w:r w:rsidRPr="00FB25C7">
        <w:rPr>
          <w:rFonts w:ascii="Arial" w:hAnsi="Arial" w:cs="Arial"/>
          <w:b/>
        </w:rPr>
        <w:t xml:space="preserve">Ausgewählte </w:t>
      </w:r>
      <w:r w:rsidR="00134529" w:rsidRPr="00FB25C7">
        <w:rPr>
          <w:rFonts w:ascii="Arial" w:hAnsi="Arial" w:cs="Arial"/>
          <w:b/>
        </w:rPr>
        <w:t xml:space="preserve">wissenschaftliche </w:t>
      </w:r>
      <w:r w:rsidRPr="00FB25C7">
        <w:rPr>
          <w:rFonts w:ascii="Arial" w:hAnsi="Arial" w:cs="Arial"/>
          <w:b/>
        </w:rPr>
        <w:t>Literatur</w:t>
      </w:r>
      <w:r w:rsidR="00134529" w:rsidRPr="00FB25C7">
        <w:rPr>
          <w:rFonts w:ascii="Arial" w:hAnsi="Arial" w:cs="Arial"/>
          <w:b/>
        </w:rPr>
        <w:t xml:space="preserve"> zum Themenfeld:</w:t>
      </w:r>
    </w:p>
    <w:p w14:paraId="08157C6E" w14:textId="4001D9E8" w:rsidR="00F905FC" w:rsidRPr="00FB25C7" w:rsidRDefault="00F905FC" w:rsidP="001A2523">
      <w:pPr>
        <w:spacing w:line="312" w:lineRule="auto"/>
        <w:rPr>
          <w:rFonts w:ascii="Arial" w:hAnsi="Arial" w:cs="Arial"/>
          <w:sz w:val="20"/>
          <w:lang w:val="en-US"/>
        </w:rPr>
      </w:pPr>
      <w:r w:rsidRPr="00034C39">
        <w:rPr>
          <w:rFonts w:ascii="Arial" w:hAnsi="Arial" w:cs="Arial"/>
          <w:sz w:val="20"/>
        </w:rPr>
        <w:t xml:space="preserve">Bakker, A. B., &amp; Demerouti, E. (2007). </w:t>
      </w:r>
      <w:r w:rsidRPr="00034C39">
        <w:rPr>
          <w:rFonts w:ascii="Arial" w:hAnsi="Arial" w:cs="Arial"/>
          <w:sz w:val="20"/>
          <w:lang w:val="en-US"/>
        </w:rPr>
        <w:t>The job demands-resources model: State of the art. </w:t>
      </w:r>
      <w:r w:rsidRPr="00FB25C7">
        <w:rPr>
          <w:rFonts w:ascii="Arial" w:hAnsi="Arial" w:cs="Arial"/>
          <w:i/>
          <w:iCs/>
          <w:sz w:val="20"/>
          <w:lang w:val="en-US"/>
        </w:rPr>
        <w:t>Journal of Managerial Psychology, 22</w:t>
      </w:r>
      <w:r w:rsidRPr="00FB25C7">
        <w:rPr>
          <w:rFonts w:ascii="Arial" w:hAnsi="Arial" w:cs="Arial"/>
          <w:sz w:val="20"/>
          <w:lang w:val="en-US"/>
        </w:rPr>
        <w:t>(3), 309–328.</w:t>
      </w:r>
    </w:p>
    <w:p w14:paraId="22116DE1" w14:textId="081BF2D6" w:rsidR="00F905FC" w:rsidRPr="00034C39" w:rsidRDefault="00F905FC" w:rsidP="001A2523">
      <w:pPr>
        <w:spacing w:line="312" w:lineRule="auto"/>
        <w:rPr>
          <w:rFonts w:ascii="Arial" w:hAnsi="Arial" w:cs="Arial"/>
          <w:sz w:val="20"/>
          <w:lang w:val="en-US"/>
        </w:rPr>
      </w:pPr>
      <w:r w:rsidRPr="00FB25C7">
        <w:rPr>
          <w:rFonts w:ascii="Arial" w:hAnsi="Arial" w:cs="Arial"/>
          <w:sz w:val="20"/>
          <w:lang w:val="en-US"/>
        </w:rPr>
        <w:t xml:space="preserve">Bakker, A. B., Demerouti, E., Taris, T., Schaufeli, W. B., &amp; Schreurs, P. (2003). </w:t>
      </w:r>
      <w:r w:rsidRPr="00034C39">
        <w:rPr>
          <w:rFonts w:ascii="Arial" w:hAnsi="Arial" w:cs="Arial"/>
          <w:sz w:val="20"/>
          <w:lang w:val="en-US"/>
        </w:rPr>
        <w:t>A multi-group analysis of the job demands-resources model in four home care organizations. </w:t>
      </w:r>
      <w:r w:rsidRPr="00034C39">
        <w:rPr>
          <w:rFonts w:ascii="Arial" w:hAnsi="Arial" w:cs="Arial"/>
          <w:i/>
          <w:iCs/>
          <w:sz w:val="20"/>
          <w:lang w:val="en-US"/>
        </w:rPr>
        <w:t>International Journal of Stress Management, 10</w:t>
      </w:r>
      <w:r w:rsidRPr="00034C39">
        <w:rPr>
          <w:rFonts w:ascii="Arial" w:hAnsi="Arial" w:cs="Arial"/>
          <w:sz w:val="20"/>
          <w:lang w:val="en-US"/>
        </w:rPr>
        <w:t>, 16–38.</w:t>
      </w:r>
    </w:p>
    <w:p w14:paraId="421FFF02" w14:textId="417A3379" w:rsidR="00F905FC" w:rsidRPr="00034C39" w:rsidRDefault="00F905FC" w:rsidP="001A2523">
      <w:pPr>
        <w:spacing w:line="312" w:lineRule="auto"/>
        <w:rPr>
          <w:rFonts w:ascii="Arial" w:hAnsi="Arial" w:cs="Arial"/>
          <w:sz w:val="20"/>
          <w:lang w:val="en-US"/>
        </w:rPr>
      </w:pPr>
      <w:r w:rsidRPr="00034C39">
        <w:rPr>
          <w:rFonts w:ascii="Arial" w:hAnsi="Arial" w:cs="Arial"/>
          <w:sz w:val="20"/>
          <w:lang w:val="en-US"/>
        </w:rPr>
        <w:t>Johnson, J. V. (1989). Control, collectivity and the psychosocial work environment. In S. Sauter, J. J. Hurrell, &amp; C. L. Cooper (Eds.), Job control and worker health. London: Wiley.</w:t>
      </w:r>
    </w:p>
    <w:p w14:paraId="7E9F6323" w14:textId="64621267" w:rsidR="00F905FC" w:rsidRPr="00034C39" w:rsidRDefault="00F905FC" w:rsidP="001A2523">
      <w:pPr>
        <w:spacing w:line="312" w:lineRule="auto"/>
        <w:rPr>
          <w:rFonts w:ascii="Arial" w:hAnsi="Arial" w:cs="Arial"/>
          <w:sz w:val="20"/>
          <w:lang w:val="en-US"/>
        </w:rPr>
      </w:pPr>
      <w:r w:rsidRPr="00034C39">
        <w:rPr>
          <w:rFonts w:ascii="Arial" w:hAnsi="Arial" w:cs="Arial"/>
          <w:sz w:val="20"/>
          <w:lang w:val="en-US"/>
        </w:rPr>
        <w:t>Karasek, R. A. (1979). Job demands, job decision latitude and mental strain: Implications for job redesign. Administrative Sciences Quarterly, 24, 285–308.</w:t>
      </w:r>
    </w:p>
    <w:p w14:paraId="2168EA0A" w14:textId="46583871" w:rsidR="00F905FC" w:rsidRPr="00034C39" w:rsidRDefault="00F905FC" w:rsidP="001A2523">
      <w:pPr>
        <w:spacing w:line="312" w:lineRule="auto"/>
        <w:rPr>
          <w:rFonts w:ascii="Arial" w:hAnsi="Arial" w:cs="Arial"/>
          <w:sz w:val="20"/>
          <w:lang w:val="en-US"/>
        </w:rPr>
      </w:pPr>
      <w:r w:rsidRPr="00034C39">
        <w:rPr>
          <w:rFonts w:ascii="Arial" w:hAnsi="Arial" w:cs="Arial"/>
          <w:sz w:val="20"/>
          <w:lang w:val="en-US"/>
        </w:rPr>
        <w:t>Karasek, R. A. (2008). Low social control and physiological deregulation – the stress-disequilibrium theory, towards a new demand-control model. Scandinavian Journal of Work, Environment and Health, Suppl. (6), 117–135.</w:t>
      </w:r>
    </w:p>
    <w:p w14:paraId="1F74A043" w14:textId="0713DEA0" w:rsidR="00F905FC" w:rsidRPr="00034C39" w:rsidRDefault="00F905FC" w:rsidP="001A2523">
      <w:pPr>
        <w:spacing w:line="312" w:lineRule="auto"/>
        <w:rPr>
          <w:rFonts w:ascii="Arial" w:hAnsi="Arial" w:cs="Arial"/>
          <w:sz w:val="20"/>
          <w:lang w:val="en-US"/>
        </w:rPr>
      </w:pPr>
      <w:r w:rsidRPr="00034C39">
        <w:rPr>
          <w:rFonts w:ascii="Arial" w:hAnsi="Arial" w:cs="Arial"/>
          <w:sz w:val="20"/>
          <w:lang w:val="en-US"/>
        </w:rPr>
        <w:t>Karasek, R. A., &amp; Theorell, T. (1990). Healthy work: Stress, productivity and the reconstruction of working life. New York: Basic Books.</w:t>
      </w:r>
    </w:p>
    <w:p w14:paraId="7B5387D7" w14:textId="45D8EE77" w:rsidR="003D76D7" w:rsidRPr="00034C39" w:rsidRDefault="00F905FC" w:rsidP="001A2523">
      <w:pPr>
        <w:spacing w:line="312" w:lineRule="auto"/>
        <w:rPr>
          <w:rFonts w:ascii="Arial" w:hAnsi="Arial" w:cs="Arial"/>
          <w:sz w:val="20"/>
        </w:rPr>
      </w:pPr>
      <w:r w:rsidRPr="00034C39">
        <w:rPr>
          <w:rFonts w:ascii="Arial" w:hAnsi="Arial" w:cs="Arial"/>
          <w:sz w:val="20"/>
          <w:lang w:val="en-US"/>
        </w:rPr>
        <w:t xml:space="preserve">Theorell, T. (2009). Anabolism and catabolism. In S. Sonnentag, P. L. Perrewé, &amp; D. C. Ganster (Eds.), Research in occupational stress and well-being (Current perspectives on job-stress recovery, Vol. 7, pp. 249–276). </w:t>
      </w:r>
      <w:r w:rsidRPr="00034C39">
        <w:rPr>
          <w:rFonts w:ascii="Arial" w:hAnsi="Arial" w:cs="Arial"/>
          <w:sz w:val="20"/>
        </w:rPr>
        <w:t>Emerald/JAI Press: Bingley.</w:t>
      </w:r>
      <w:bookmarkEnd w:id="0"/>
    </w:p>
    <w:sectPr w:rsidR="003D76D7" w:rsidRPr="00034C3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33448E"/>
    <w:multiLevelType w:val="hybridMultilevel"/>
    <w:tmpl w:val="8CECD1B6"/>
    <w:lvl w:ilvl="0" w:tplc="D00A8E8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activeWritingStyle w:appName="MSWord" w:lang="de-DE" w:vendorID="64" w:dllVersion="6" w:nlCheck="1" w:checkStyle="0"/>
  <w:activeWritingStyle w:appName="MSWord" w:lang="de-DE" w:vendorID="64" w:dllVersion="0" w:nlCheck="1" w:checkStyle="0"/>
  <w:activeWritingStyle w:appName="MSWord" w:lang="de-DE" w:vendorID="64" w:dllVersion="131078" w:nlCheck="1" w:checkStyle="0"/>
  <w:activeWritingStyle w:appName="MSWord" w:lang="en-U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0AC7"/>
    <w:rsid w:val="00005AED"/>
    <w:rsid w:val="000216B5"/>
    <w:rsid w:val="000349A2"/>
    <w:rsid w:val="00034C39"/>
    <w:rsid w:val="00072A13"/>
    <w:rsid w:val="000A7B9B"/>
    <w:rsid w:val="000B7328"/>
    <w:rsid w:val="00134529"/>
    <w:rsid w:val="0014232C"/>
    <w:rsid w:val="00162FE5"/>
    <w:rsid w:val="00184E0F"/>
    <w:rsid w:val="001A2523"/>
    <w:rsid w:val="00220874"/>
    <w:rsid w:val="0024458E"/>
    <w:rsid w:val="00246502"/>
    <w:rsid w:val="00256D6D"/>
    <w:rsid w:val="00302E82"/>
    <w:rsid w:val="00307182"/>
    <w:rsid w:val="00337F2F"/>
    <w:rsid w:val="003551C3"/>
    <w:rsid w:val="003600C2"/>
    <w:rsid w:val="00383CDE"/>
    <w:rsid w:val="003D131C"/>
    <w:rsid w:val="003D76D7"/>
    <w:rsid w:val="003F355F"/>
    <w:rsid w:val="00412D9D"/>
    <w:rsid w:val="0048416F"/>
    <w:rsid w:val="004A3B63"/>
    <w:rsid w:val="004E7554"/>
    <w:rsid w:val="004F323F"/>
    <w:rsid w:val="00501D3A"/>
    <w:rsid w:val="00511199"/>
    <w:rsid w:val="005166F0"/>
    <w:rsid w:val="00560F41"/>
    <w:rsid w:val="0059082E"/>
    <w:rsid w:val="00596D01"/>
    <w:rsid w:val="005C4C10"/>
    <w:rsid w:val="005C754D"/>
    <w:rsid w:val="005F14DC"/>
    <w:rsid w:val="00612192"/>
    <w:rsid w:val="006153ED"/>
    <w:rsid w:val="00634996"/>
    <w:rsid w:val="006467FA"/>
    <w:rsid w:val="006772AC"/>
    <w:rsid w:val="00680AC7"/>
    <w:rsid w:val="006E7AE7"/>
    <w:rsid w:val="00792871"/>
    <w:rsid w:val="007E7626"/>
    <w:rsid w:val="008348A8"/>
    <w:rsid w:val="008C47CB"/>
    <w:rsid w:val="008E4E68"/>
    <w:rsid w:val="00911C8A"/>
    <w:rsid w:val="00941083"/>
    <w:rsid w:val="009814D3"/>
    <w:rsid w:val="009E1029"/>
    <w:rsid w:val="00A00725"/>
    <w:rsid w:val="00A57DFC"/>
    <w:rsid w:val="00AA7579"/>
    <w:rsid w:val="00B01AC3"/>
    <w:rsid w:val="00BC31B8"/>
    <w:rsid w:val="00BD340F"/>
    <w:rsid w:val="00BF262B"/>
    <w:rsid w:val="00C04448"/>
    <w:rsid w:val="00C157B5"/>
    <w:rsid w:val="00CC7DA5"/>
    <w:rsid w:val="00CF15F8"/>
    <w:rsid w:val="00D0387A"/>
    <w:rsid w:val="00D112FC"/>
    <w:rsid w:val="00D37DED"/>
    <w:rsid w:val="00D523C5"/>
    <w:rsid w:val="00D82A8D"/>
    <w:rsid w:val="00D93108"/>
    <w:rsid w:val="00DE24E1"/>
    <w:rsid w:val="00E06D3B"/>
    <w:rsid w:val="00E34196"/>
    <w:rsid w:val="00E34C69"/>
    <w:rsid w:val="00E3723F"/>
    <w:rsid w:val="00E62B37"/>
    <w:rsid w:val="00EB7A71"/>
    <w:rsid w:val="00ED69EC"/>
    <w:rsid w:val="00F5692A"/>
    <w:rsid w:val="00F62F14"/>
    <w:rsid w:val="00F725A3"/>
    <w:rsid w:val="00F905FC"/>
    <w:rsid w:val="00FA33CD"/>
    <w:rsid w:val="00FB25C7"/>
    <w:rsid w:val="00FB6292"/>
    <w:rsid w:val="00FD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BCEB72"/>
  <w15:docId w15:val="{B2E34AFB-58E8-455C-B01C-BAD8EE82B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4">
    <w:name w:val="heading 4"/>
    <w:basedOn w:val="Standard"/>
    <w:link w:val="berschrift4Zchn"/>
    <w:uiPriority w:val="9"/>
    <w:qFormat/>
    <w:rsid w:val="00680AC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4Zchn">
    <w:name w:val="Überschrift 4 Zchn"/>
    <w:basedOn w:val="Absatz-Standardschriftart"/>
    <w:link w:val="berschrift4"/>
    <w:uiPriority w:val="9"/>
    <w:rsid w:val="00680AC7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customStyle="1" w:styleId="kompetenzen">
    <w:name w:val="kompetenzen"/>
    <w:basedOn w:val="Standard"/>
    <w:rsid w:val="00680A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A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A3B6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A3B6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enabsatz">
    <w:name w:val="List Paragraph"/>
    <w:basedOn w:val="Standard"/>
    <w:uiPriority w:val="34"/>
    <w:qFormat/>
    <w:rsid w:val="00A00725"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sid w:val="00634996"/>
    <w:rPr>
      <w:color w:val="0000FF" w:themeColor="hyperlink"/>
      <w:u w:val="single"/>
    </w:rPr>
  </w:style>
  <w:style w:type="character" w:customStyle="1" w:styleId="UnresolvedMention">
    <w:name w:val="Unresolved Mention"/>
    <w:basedOn w:val="Absatz-Standardschriftart"/>
    <w:uiPriority w:val="99"/>
    <w:semiHidden/>
    <w:unhideWhenUsed/>
    <w:rsid w:val="00634996"/>
    <w:rPr>
      <w:color w:val="605E5C"/>
      <w:shd w:val="clear" w:color="auto" w:fill="E1DFDD"/>
    </w:rPr>
  </w:style>
  <w:style w:type="character" w:customStyle="1" w:styleId="help-block">
    <w:name w:val="help-block"/>
    <w:basedOn w:val="Absatz-Standardschriftart"/>
    <w:rsid w:val="003D76D7"/>
  </w:style>
  <w:style w:type="character" w:styleId="Hervorhebung">
    <w:name w:val="Emphasis"/>
    <w:basedOn w:val="Absatz-Standardschriftart"/>
    <w:uiPriority w:val="20"/>
    <w:qFormat/>
    <w:rsid w:val="00F905F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6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1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7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63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4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22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hyperlink" Target="mailto:IKS@hs-fresenius.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Hochschule Fresenius gGmbH</Company>
  <LinksUpToDate>false</LinksUpToDate>
  <CharactersWithSpaces>2579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Institut für komplexe Systemforschung</dc:creator>
  <cp:lastModifiedBy>Institut für komplexe Systemforschung</cp:lastModifiedBy>
  <cp:revision>10</cp:revision>
  <cp:lastPrinted>2020-12-15T08:43:00Z</cp:lastPrinted>
  <dcterms:created xsi:type="dcterms:W3CDTF">2021-01-22T11:15:00Z</dcterms:created>
  <dcterms:modified xsi:type="dcterms:W3CDTF">2021-02-25T20:15:00Z</dcterms:modified>
</cp:coreProperties>
</file>