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left"/>
      </w:pPr>
      <w:r>
        <w:rPr>
          <w:rFonts w:ascii="Aptos" w:hAnsi="Aptos"/>
          <w:b/>
          <w:i w:val="0"/>
          <w:color w:val="7A1E1E"/>
          <w:sz w:val="16"/>
        </w:rPr>
        <w:t>CANONICAL MASTER REFERENCE  •  VERSION 1.0</w:t>
      </w:r>
    </w:p>
    <w:p>
      <w:pPr>
        <w:spacing w:before="680" w:after="80"/>
      </w:pPr>
      <w:r>
        <w:rPr>
          <w:rFonts w:ascii="Aptos Display" w:hAnsi="Aptos Display"/>
          <w:b/>
          <w:i w:val="0"/>
          <w:color w:val="1A1A1A"/>
          <w:sz w:val="84"/>
        </w:rPr>
        <w:t>MAPS</w:t>
      </w:r>
    </w:p>
    <w:p>
      <w:pPr>
        <w:spacing w:after="240"/>
      </w:pPr>
      <w:r>
        <w:rPr>
          <w:rFonts w:ascii="Aptos Display" w:hAnsi="Aptos Display"/>
          <w:b/>
          <w:i w:val="0"/>
          <w:color w:val="1A1A1A"/>
          <w:sz w:val="46"/>
        </w:rPr>
        <w:t>WITH TEETH</w:t>
      </w:r>
    </w:p>
    <w:p>
      <w:r>
        <w:rPr>
          <w:rFonts w:ascii="Aptos" w:hAnsi="Aptos"/>
          <w:b/>
          <w:i w:val="0"/>
          <w:color w:val="7A1E1E"/>
          <w:sz w:val="42"/>
        </w:rPr>
        <w:t>SOURCE OF TRUTH</w:t>
      </w:r>
    </w:p>
    <w:p>
      <w:pPr>
        <w:spacing w:before="360" w:after="140"/>
      </w:pPr>
      <w:r>
        <w:rPr>
          <w:rFonts w:ascii="Aptos" w:hAnsi="Aptos"/>
          <w:b w:val="0"/>
          <w:i w:val="0"/>
          <w:color w:val="1A1A1A"/>
          <w:sz w:val="26"/>
        </w:rPr>
        <w:t>Product • Pilot • Funding • Positioning • Evidence • Readiness</w:t>
      </w:r>
    </w:p>
    <w:p>
      <w:r>
        <w:rPr>
          <w:rFonts w:ascii="Aptos" w:hAnsi="Aptos"/>
          <w:b w:val="0"/>
          <w:i w:val="0"/>
          <w:color w:val="66615C"/>
          <w:sz w:val="20"/>
        </w:rPr>
        <w:t>04 September 2026</w:t>
      </w:r>
    </w:p>
    <w:p>
      <w:pPr>
        <w:spacing w:before="360" w:after="280"/>
      </w:pPr>
      <w:r>
        <w:rPr>
          <w:color w:val="7A1E1E"/>
          <w:sz w:val="18"/>
        </w:rPr>
        <w:t>━━━━━━━━━━━━━━━━━━━━━━━━━━━━━━━━━━━━━━━━━━━━━━━━━━</w:t>
      </w:r>
    </w:p>
    <w:tbl>
      <w:tblPr>
        <w:tblW w:type="auto" w:w="0"/>
        <w:jc w:val="center"/>
        <w:tblLayout w:type="fixed"/>
        <w:tblLook w:firstColumn="1" w:firstRow="1" w:lastColumn="0" w:lastRow="0" w:noHBand="0" w:noVBand="1" w:val="04A0"/>
      </w:tblPr>
      <w:tblGrid>
        <w:gridCol w:w="9792"/>
      </w:tblGrid>
      <w:tr>
        <w:trPr>
          <w:trHeight w:hRule="atLeast"/>
          <w:cantSplit/>
        </w:trPr>
        <w:tc>
          <w:tcPr>
            <w:tcW w:type="dxa" w:w="10166"/>
            <w:shd w:fill="F2EDE4"/>
            <w:tcBorders>
              <w:top w:val="single" w:sz="10" w:space="0" w:color="7A1E1E"/>
              <w:left w:val="single" w:sz="10" w:space="0" w:color="7A1E1E"/>
              <w:bottom w:val="single" w:sz="10" w:space="0" w:color="7A1E1E"/>
              <w:right w:val="single" w:sz="10" w:space="0" w:color="7A1E1E"/>
              <w:insideH w:val="single" w:sz="10" w:space="0" w:color="7A1E1E"/>
              <w:insideV w:val="single" w:sz="10" w:space="0" w:color="7A1E1E"/>
            </w:tcBorders>
            <w:tcMar>
              <w:top w:w="180" w:type="dxa"/>
              <w:start w:w="210" w:type="dxa"/>
              <w:bottom w:w="180" w:type="dxa"/>
              <w:end w:w="210" w:type="dxa"/>
            </w:tcMar>
          </w:tcPr>
          <w:p>
            <w:r>
              <w:rPr>
                <w:rFonts w:ascii="Aptos" w:hAnsi="Aptos"/>
                <w:b/>
                <w:i w:val="0"/>
                <w:color w:val="7A1E1E"/>
                <w:sz w:val="18"/>
              </w:rPr>
              <w:t>THE RULE</w:t>
            </w:r>
          </w:p>
          <w:p>
            <w:r>
              <w:rPr>
                <w:rFonts w:ascii="Aptos" w:hAnsi="Aptos"/>
                <w:b/>
                <w:i w:val="0"/>
                <w:color w:val="1A1A1A"/>
                <w:sz w:val="22"/>
              </w:rPr>
              <w:t>If another Maps With Teeth document conflicts with this one, this document wins until this document is deliberately revised and versioned.</w:t>
            </w:r>
          </w:p>
          <w:p>
            <w:r>
              <w:rPr>
                <w:rFonts w:ascii="Aptos" w:hAnsi="Aptos"/>
                <w:b w:val="0"/>
                <w:i w:val="0"/>
                <w:color w:val="66615C"/>
                <w:sz w:val="19"/>
              </w:rPr>
              <w:t>Do not silently reconcile conflicts in downstream decks, grants, pages, pitches, or partner materials. Update this source first.</w:t>
            </w:r>
          </w:p>
        </w:tc>
      </w:tr>
    </w:tbl>
    <w:p>
      <w:pPr>
        <w:spacing w:before="320"/>
      </w:pPr>
      <w:r>
        <w:rPr>
          <w:rFonts w:ascii="Aptos" w:hAnsi="Aptos"/>
          <w:b/>
          <w:i w:val="0"/>
          <w:color w:val="7A1E1E"/>
          <w:sz w:val="18"/>
        </w:rPr>
        <w:t>North Star</w:t>
      </w:r>
    </w:p>
    <w:p>
      <w:pPr>
        <w:ind w:left="259" w:right="432"/>
      </w:pPr>
      <w:r>
        <w:rPr>
          <w:rFonts w:ascii="Georgia" w:hAnsi="Georgia"/>
          <w:b w:val="0"/>
          <w:i/>
          <w:color w:val="1A1A1A"/>
          <w:sz w:val="28"/>
        </w:rPr>
        <w:t>“The survivor should not be the only person holding the whole map.”</w:t>
      </w:r>
    </w:p>
    <w:p>
      <w:r>
        <w:br w:type="page"/>
      </w:r>
    </w:p>
    <w:p>
      <w:pPr>
        <w:pStyle w:val="Heading1"/>
      </w:pPr>
      <w:r>
        <w:t>1. How to Use This Source of Truth</w:t>
      </w:r>
    </w:p>
    <w:p>
      <w:r>
        <w:rPr>
          <w:rFonts w:ascii="Aptos" w:hAnsi="Aptos"/>
          <w:b/>
          <w:i w:val="0"/>
          <w:color w:val="1A1A1A"/>
        </w:rPr>
        <w:t xml:space="preserve">Purpose. </w:t>
      </w:r>
      <w:r>
        <w:rPr>
          <w:rFonts w:ascii="Aptos" w:hAnsi="Aptos"/>
          <w:b w:val="0"/>
          <w:i w:val="0"/>
          <w:color w:val="1A1A1A"/>
        </w:rPr>
        <w:t>This is the canonical internal reference for every future funder, fiscal-sponsor, partner, public-facing, grant, deck, website, press, and product explanation of Maps With Teeth.</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tblHeader w:val="true"/>
          <w:cantSplit/>
        </w:trPr>
        <w:tc>
          <w:tcPr>
            <w:tcW w:type="dxa" w:w="3389"/>
            <w:shd w:fill="1A1A1A"/>
            <w:tcBorders>
              <w:top w:val="single" w:sz="6" w:space="0" w:color="1A1A1A"/>
              <w:left w:val="single" w:sz="6" w:space="0" w:color="1A1A1A"/>
              <w:bottom w:val="single" w:sz="6" w:space="0" w:color="1A1A1A"/>
              <w:right w:val="single" w:sz="6" w:space="0" w:color="1A1A1A"/>
              <w:insideH w:val="single" w:sz="6" w:space="0" w:color="1A1A1A"/>
              <w:insideV w:val="single" w:sz="6" w:space="0" w:color="1A1A1A"/>
            </w:tcBorders>
            <w:tcMar>
              <w:top w:w="90" w:type="dxa"/>
              <w:start w:w="110" w:type="dxa"/>
              <w:bottom w:w="90" w:type="dxa"/>
              <w:end w:w="110" w:type="dxa"/>
            </w:tcMar>
            <w:vAlign w:val="center"/>
          </w:tcPr>
          <w:p>
            <w:r>
              <w:rPr>
                <w:b/>
                <w:color w:val="FFFFFF"/>
                <w:sz w:val="16"/>
              </w:rPr>
              <w:t>STATUS</w:t>
            </w:r>
          </w:p>
        </w:tc>
        <w:tc>
          <w:tcPr>
            <w:tcW w:type="dxa" w:w="3389"/>
            <w:shd w:fill="1A1A1A"/>
            <w:tcBorders>
              <w:top w:val="single" w:sz="6" w:space="0" w:color="1A1A1A"/>
              <w:left w:val="single" w:sz="6" w:space="0" w:color="1A1A1A"/>
              <w:bottom w:val="single" w:sz="6" w:space="0" w:color="1A1A1A"/>
              <w:right w:val="single" w:sz="6" w:space="0" w:color="1A1A1A"/>
              <w:insideH w:val="single" w:sz="6" w:space="0" w:color="1A1A1A"/>
              <w:insideV w:val="single" w:sz="6" w:space="0" w:color="1A1A1A"/>
            </w:tcBorders>
            <w:tcMar>
              <w:top w:w="90" w:type="dxa"/>
              <w:start w:w="110" w:type="dxa"/>
              <w:bottom w:w="90" w:type="dxa"/>
              <w:end w:w="110" w:type="dxa"/>
            </w:tcMar>
            <w:vAlign w:val="center"/>
          </w:tcPr>
          <w:p>
            <w:r>
              <w:rPr>
                <w:b/>
                <w:color w:val="FFFFFF"/>
                <w:sz w:val="16"/>
              </w:rPr>
              <w:t>MEANING</w:t>
            </w:r>
          </w:p>
        </w:tc>
        <w:tc>
          <w:tcPr>
            <w:tcW w:type="dxa" w:w="3389"/>
            <w:shd w:fill="1A1A1A"/>
            <w:tcBorders>
              <w:top w:val="single" w:sz="6" w:space="0" w:color="1A1A1A"/>
              <w:left w:val="single" w:sz="6" w:space="0" w:color="1A1A1A"/>
              <w:bottom w:val="single" w:sz="6" w:space="0" w:color="1A1A1A"/>
              <w:right w:val="single" w:sz="6" w:space="0" w:color="1A1A1A"/>
              <w:insideH w:val="single" w:sz="6" w:space="0" w:color="1A1A1A"/>
              <w:insideV w:val="single" w:sz="6" w:space="0" w:color="1A1A1A"/>
            </w:tcBorders>
            <w:tcMar>
              <w:top w:w="90" w:type="dxa"/>
              <w:start w:w="110" w:type="dxa"/>
              <w:bottom w:w="90" w:type="dxa"/>
              <w:end w:w="110" w:type="dxa"/>
            </w:tcMar>
            <w:vAlign w:val="center"/>
          </w:tcPr>
          <w:p>
            <w:r>
              <w:rPr>
                <w:b/>
                <w:color w:val="FFFFFF"/>
                <w:sz w:val="16"/>
              </w:rPr>
              <w:t>EXTERNAL USE</w:t>
            </w:r>
          </w:p>
        </w:tc>
      </w:tr>
      <w:tr>
        <w:trPr>
          <w:trHeight w:hRule="atLeast"/>
          <w:cantSplit/>
        </w:trPr>
        <w:tc>
          <w:tcPr>
            <w:tcW w:type="dxa" w:w="3389"/>
            <w:shd w:fill="F7F3EE"/>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vAlign w:val="center"/>
          </w:tcPr>
          <w:p>
            <w:r>
              <w:rPr>
                <w:b/>
                <w:color w:val="2F6B57"/>
                <w:sz w:val="16"/>
              </w:rPr>
              <w:t>LOCKED</w:t>
            </w:r>
          </w:p>
        </w:tc>
        <w:tc>
          <w:tcPr>
            <w:tcW w:type="dxa" w:w="3389"/>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vAlign w:val="center"/>
          </w:tcPr>
          <w:p>
            <w:r>
              <w:rPr>
                <w:rFonts w:ascii="Aptos" w:hAnsi="Aptos"/>
                <w:sz w:val="16"/>
              </w:rPr>
              <w:t>Approved language or number. Use consistently unless this document is revised.</w:t>
            </w:r>
          </w:p>
        </w:tc>
        <w:tc>
          <w:tcPr>
            <w:tcW w:type="dxa" w:w="3389"/>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vAlign w:val="center"/>
          </w:tcPr>
          <w:p>
            <w:r>
              <w:rPr>
                <w:rFonts w:ascii="Aptos" w:hAnsi="Aptos"/>
                <w:sz w:val="16"/>
              </w:rPr>
              <w:t>Yes</w:t>
            </w:r>
          </w:p>
        </w:tc>
      </w:tr>
      <w:tr>
        <w:trPr>
          <w:trHeight w:hRule="atLeast"/>
          <w:cantSplit/>
        </w:trPr>
        <w:tc>
          <w:tcPr>
            <w:tcW w:type="dxa" w:w="3389"/>
            <w:shd w:fill="F7F3EE"/>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vAlign w:val="center"/>
          </w:tcPr>
          <w:p>
            <w:r>
              <w:rPr>
                <w:b/>
                <w:color w:val="24415F"/>
                <w:sz w:val="16"/>
              </w:rPr>
              <w:t>VERIFIED BUILD</w:t>
            </w:r>
          </w:p>
        </w:tc>
        <w:tc>
          <w:tcPr>
            <w:tcW w:type="dxa" w:w="3389"/>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vAlign w:val="center"/>
          </w:tcPr>
          <w:p>
            <w:r>
              <w:rPr>
                <w:rFonts w:ascii="Aptos" w:hAnsi="Aptos"/>
                <w:sz w:val="16"/>
              </w:rPr>
              <w:t>Backed by the current technical audit record. Describe as built/tested, not necessarily deployed at scale.</w:t>
            </w:r>
          </w:p>
        </w:tc>
        <w:tc>
          <w:tcPr>
            <w:tcW w:type="dxa" w:w="3389"/>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vAlign w:val="center"/>
          </w:tcPr>
          <w:p>
            <w:r>
              <w:rPr>
                <w:rFonts w:ascii="Aptos" w:hAnsi="Aptos"/>
                <w:sz w:val="16"/>
              </w:rPr>
              <w:t>Yes</w:t>
            </w:r>
          </w:p>
        </w:tc>
      </w:tr>
      <w:tr>
        <w:trPr>
          <w:trHeight w:hRule="atLeast"/>
          <w:cantSplit/>
        </w:trPr>
        <w:tc>
          <w:tcPr>
            <w:tcW w:type="dxa" w:w="3389"/>
            <w:shd w:fill="F7F3EE"/>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vAlign w:val="center"/>
          </w:tcPr>
          <w:p>
            <w:r>
              <w:rPr>
                <w:b/>
                <w:color w:val="A5651A"/>
                <w:sz w:val="16"/>
              </w:rPr>
              <w:t>PLANNED</w:t>
            </w:r>
          </w:p>
        </w:tc>
        <w:tc>
          <w:tcPr>
            <w:tcW w:type="dxa" w:w="3389"/>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vAlign w:val="center"/>
          </w:tcPr>
          <w:p>
            <w:r>
              <w:rPr>
                <w:rFonts w:ascii="Aptos" w:hAnsi="Aptos"/>
                <w:sz w:val="16"/>
              </w:rPr>
              <w:t>Approved product/program design that is not yet operational proof.</w:t>
            </w:r>
          </w:p>
        </w:tc>
        <w:tc>
          <w:tcPr>
            <w:tcW w:type="dxa" w:w="3389"/>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vAlign w:val="center"/>
          </w:tcPr>
          <w:p>
            <w:r>
              <w:rPr>
                <w:rFonts w:ascii="Aptos" w:hAnsi="Aptos"/>
                <w:sz w:val="16"/>
              </w:rPr>
              <w:t>Only if labeled as future/planned</w:t>
            </w:r>
          </w:p>
        </w:tc>
      </w:tr>
      <w:tr>
        <w:trPr>
          <w:trHeight w:hRule="atLeast"/>
          <w:cantSplit/>
        </w:trPr>
        <w:tc>
          <w:tcPr>
            <w:tcW w:type="dxa" w:w="3389"/>
            <w:shd w:fill="F7F3EE"/>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vAlign w:val="center"/>
          </w:tcPr>
          <w:p>
            <w:r>
              <w:rPr>
                <w:b/>
                <w:color w:val="8E2F2F"/>
                <w:sz w:val="16"/>
              </w:rPr>
              <w:t>OPEN</w:t>
            </w:r>
          </w:p>
        </w:tc>
        <w:tc>
          <w:tcPr>
            <w:tcW w:type="dxa" w:w="3389"/>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vAlign w:val="center"/>
          </w:tcPr>
          <w:p>
            <w:r>
              <w:rPr>
                <w:rFonts w:ascii="Aptos" w:hAnsi="Aptos"/>
                <w:sz w:val="16"/>
              </w:rPr>
              <w:t>Unresolved or requires counsel, partner validation, governance, or a deliberate founder decision.</w:t>
            </w:r>
          </w:p>
        </w:tc>
        <w:tc>
          <w:tcPr>
            <w:tcW w:type="dxa" w:w="3389"/>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vAlign w:val="center"/>
          </w:tcPr>
          <w:p>
            <w:r>
              <w:rPr>
                <w:rFonts w:ascii="Aptos" w:hAnsi="Aptos"/>
                <w:sz w:val="16"/>
              </w:rPr>
              <w:t>No / internal only</w:t>
            </w:r>
          </w:p>
        </w:tc>
      </w:tr>
      <w:tr>
        <w:trPr>
          <w:trHeight w:hRule="atLeast"/>
          <w:cantSplit/>
        </w:trPr>
        <w:tc>
          <w:tcPr>
            <w:tcW w:type="dxa" w:w="3389"/>
            <w:shd w:fill="F7F3EE"/>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vAlign w:val="center"/>
          </w:tcPr>
          <w:p>
            <w:r>
              <w:rPr>
                <w:b/>
                <w:color w:val="7A1E1E"/>
                <w:sz w:val="16"/>
              </w:rPr>
              <w:t>DO NOT CLAIM</w:t>
            </w:r>
          </w:p>
        </w:tc>
        <w:tc>
          <w:tcPr>
            <w:tcW w:type="dxa" w:w="3389"/>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vAlign w:val="center"/>
          </w:tcPr>
          <w:p>
            <w:r>
              <w:rPr>
                <w:rFonts w:ascii="Aptos" w:hAnsi="Aptos"/>
                <w:sz w:val="16"/>
              </w:rPr>
              <w:t>Language that creates factual, legal, competitive, or credibility risk.</w:t>
            </w:r>
          </w:p>
        </w:tc>
        <w:tc>
          <w:tcPr>
            <w:tcW w:type="dxa" w:w="3389"/>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vAlign w:val="center"/>
          </w:tcPr>
          <w:p>
            <w:r>
              <w:rPr>
                <w:rFonts w:ascii="Aptos" w:hAnsi="Aptos"/>
                <w:sz w:val="16"/>
              </w:rPr>
              <w:t>No / internal only</w:t>
            </w:r>
          </w:p>
        </w:tc>
      </w:tr>
    </w:tbl>
    <w:p>
      <w:pPr>
        <w:pStyle w:val="Heading2"/>
      </w:pPr>
      <w:r>
        <w:t>Authority Order</w:t>
      </w:r>
    </w:p>
    <w:tbl>
      <w:tblPr>
        <w:tblW w:type="auto" w:w="0"/>
        <w:jc w:val="center"/>
        <w:tblLayout w:type="fixed"/>
        <w:tblLook w:firstColumn="1" w:firstRow="1" w:lastColumn="0" w:lastRow="0" w:noHBand="0" w:noVBand="1" w:val="04A0"/>
      </w:tblPr>
      <w:tblGrid>
        <w:gridCol w:w="648"/>
        <w:gridCol w:w="4176"/>
        <w:gridCol w:w="5040"/>
      </w:tblGrid>
      <w:tr>
        <w:trPr>
          <w:trHeight w:hRule="atLeast"/>
          <w:tblHeader w:val="true"/>
          <w:cantSplit/>
        </w:trPr>
        <w:tc>
          <w:tcPr>
            <w:tcW w:type="dxa" w:w="3389"/>
            <w:shd w:fill="7A1E1E"/>
            <w:tcBorders>
              <w:top w:val="single" w:sz="6" w:space="0" w:color="7A1E1E"/>
              <w:left w:val="single" w:sz="6" w:space="0" w:color="7A1E1E"/>
              <w:bottom w:val="single" w:sz="6" w:space="0" w:color="7A1E1E"/>
              <w:right w:val="single" w:sz="6" w:space="0" w:color="7A1E1E"/>
              <w:insideH w:val="single" w:sz="6" w:space="0" w:color="7A1E1E"/>
              <w:insideV w:val="single" w:sz="6" w:space="0" w:color="7A1E1E"/>
            </w:tcBorders>
            <w:tcMar>
              <w:top w:w="90" w:type="dxa"/>
              <w:start w:w="110" w:type="dxa"/>
              <w:bottom w:w="90" w:type="dxa"/>
              <w:end w:w="110" w:type="dxa"/>
            </w:tcMar>
          </w:tcPr>
          <w:p>
            <w:r>
              <w:rPr>
                <w:b/>
                <w:color w:val="FFFFFF"/>
                <w:sz w:val="16"/>
              </w:rPr>
              <w:t>#</w:t>
            </w:r>
          </w:p>
        </w:tc>
        <w:tc>
          <w:tcPr>
            <w:tcW w:type="dxa" w:w="3389"/>
            <w:shd w:fill="7A1E1E"/>
            <w:tcBorders>
              <w:top w:val="single" w:sz="6" w:space="0" w:color="7A1E1E"/>
              <w:left w:val="single" w:sz="6" w:space="0" w:color="7A1E1E"/>
              <w:bottom w:val="single" w:sz="6" w:space="0" w:color="7A1E1E"/>
              <w:right w:val="single" w:sz="6" w:space="0" w:color="7A1E1E"/>
              <w:insideH w:val="single" w:sz="6" w:space="0" w:color="7A1E1E"/>
              <w:insideV w:val="single" w:sz="6" w:space="0" w:color="7A1E1E"/>
            </w:tcBorders>
            <w:tcMar>
              <w:top w:w="90" w:type="dxa"/>
              <w:start w:w="110" w:type="dxa"/>
              <w:bottom w:w="90" w:type="dxa"/>
              <w:end w:w="110" w:type="dxa"/>
            </w:tcMar>
          </w:tcPr>
          <w:p>
            <w:r>
              <w:rPr>
                <w:b/>
                <w:color w:val="FFFFFF"/>
                <w:sz w:val="16"/>
              </w:rPr>
              <w:t>SOURCE</w:t>
            </w:r>
          </w:p>
        </w:tc>
        <w:tc>
          <w:tcPr>
            <w:tcW w:type="dxa" w:w="3389"/>
            <w:shd w:fill="7A1E1E"/>
            <w:tcBorders>
              <w:top w:val="single" w:sz="6" w:space="0" w:color="7A1E1E"/>
              <w:left w:val="single" w:sz="6" w:space="0" w:color="7A1E1E"/>
              <w:bottom w:val="single" w:sz="6" w:space="0" w:color="7A1E1E"/>
              <w:right w:val="single" w:sz="6" w:space="0" w:color="7A1E1E"/>
              <w:insideH w:val="single" w:sz="6" w:space="0" w:color="7A1E1E"/>
              <w:insideV w:val="single" w:sz="6" w:space="0" w:color="7A1E1E"/>
            </w:tcBorders>
            <w:tcMar>
              <w:top w:w="90" w:type="dxa"/>
              <w:start w:w="110" w:type="dxa"/>
              <w:bottom w:w="90" w:type="dxa"/>
              <w:end w:w="110" w:type="dxa"/>
            </w:tcMar>
          </w:tcPr>
          <w:p>
            <w:r>
              <w:rPr>
                <w:b/>
                <w:color w:val="FFFFFF"/>
                <w:sz w:val="16"/>
              </w:rPr>
              <w:t>ROLE</w:t>
            </w:r>
          </w:p>
        </w:tc>
      </w:tr>
      <w:tr>
        <w:trPr>
          <w:trHeight w:hRule="atLeast"/>
          <w:cantSplit/>
        </w:trPr>
        <w:tc>
          <w:tcPr>
            <w:tcW w:type="dxa" w:w="64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1</w:t>
            </w:r>
          </w:p>
        </w:tc>
        <w:tc>
          <w:tcPr>
            <w:tcW w:type="dxa" w:w="417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This Source of Truth v1.0</w:t>
            </w:r>
          </w:p>
        </w:tc>
        <w:tc>
          <w:tcPr>
            <w:tcW w:type="dxa" w:w="50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Final authority when conflicts exist.</w:t>
            </w:r>
          </w:p>
        </w:tc>
      </w:tr>
      <w:tr>
        <w:trPr>
          <w:trHeight w:hRule="atLeast"/>
          <w:cantSplit/>
        </w:trPr>
        <w:tc>
          <w:tcPr>
            <w:tcW w:type="dxa" w:w="64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2</w:t>
            </w:r>
          </w:p>
        </w:tc>
        <w:tc>
          <w:tcPr>
            <w:tcW w:type="dxa" w:w="417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Phase 1 implementation freeze anchored at cb35904</w:t>
            </w:r>
          </w:p>
        </w:tc>
        <w:tc>
          <w:tcPr>
            <w:tcW w:type="dxa" w:w="50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Canonical matcher/resource/evidence semantics.</w:t>
            </w:r>
          </w:p>
        </w:tc>
      </w:tr>
      <w:tr>
        <w:trPr>
          <w:trHeight w:hRule="atLeast"/>
          <w:cantSplit/>
        </w:trPr>
        <w:tc>
          <w:tcPr>
            <w:tcW w:type="dxa" w:w="64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3</w:t>
            </w:r>
          </w:p>
        </w:tc>
        <w:tc>
          <w:tcPr>
            <w:tcW w:type="dxa" w:w="417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Maps_With_Teeth_Financial_Proposal_v2</w:t>
            </w:r>
          </w:p>
        </w:tc>
        <w:tc>
          <w:tcPr>
            <w:tcW w:type="dxa" w:w="50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Canonical $100,000 founding budget.</w:t>
            </w:r>
          </w:p>
        </w:tc>
      </w:tr>
      <w:tr>
        <w:trPr>
          <w:trHeight w:hRule="atLeast"/>
          <w:cantSplit/>
        </w:trPr>
        <w:tc>
          <w:tcPr>
            <w:tcW w:type="dxa" w:w="64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4</w:t>
            </w:r>
          </w:p>
        </w:tc>
        <w:tc>
          <w:tcPr>
            <w:tcW w:type="dxa" w:w="417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Maps_With_Teeth_Founding_Blueprint_v2</w:t>
            </w:r>
          </w:p>
        </w:tc>
        <w:tc>
          <w:tcPr>
            <w:tcW w:type="dxa" w:w="50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Canonical program architecture and pilot thesis.</w:t>
            </w:r>
          </w:p>
        </w:tc>
      </w:tr>
      <w:tr>
        <w:trPr>
          <w:trHeight w:hRule="atLeast"/>
          <w:cantSplit/>
        </w:trPr>
        <w:tc>
          <w:tcPr>
            <w:tcW w:type="dxa" w:w="64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5</w:t>
            </w:r>
          </w:p>
        </w:tc>
        <w:tc>
          <w:tcPr>
            <w:tcW w:type="dxa" w:w="417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Maps_With_Teeth_Competitive_Precedent_Landscape</w:t>
            </w:r>
          </w:p>
        </w:tc>
        <w:tc>
          <w:tcPr>
            <w:tcW w:type="dxa" w:w="50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Canonical competitive-positioning guardrails, subject to future refresh.</w:t>
            </w:r>
          </w:p>
        </w:tc>
      </w:tr>
      <w:tr>
        <w:trPr>
          <w:trHeight w:hRule="atLeast"/>
          <w:cantSplit/>
        </w:trPr>
        <w:tc>
          <w:tcPr>
            <w:tcW w:type="dxa" w:w="64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6</w:t>
            </w:r>
          </w:p>
        </w:tc>
        <w:tc>
          <w:tcPr>
            <w:tcW w:type="dxa" w:w="417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Maps With Teeth Brand Standards v1 / master template</w:t>
            </w:r>
          </w:p>
        </w:tc>
        <w:tc>
          <w:tcPr>
            <w:tcW w:type="dxa" w:w="50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Canonical identity system.</w:t>
            </w:r>
          </w:p>
        </w:tc>
      </w:tr>
      <w:tr>
        <w:trPr>
          <w:trHeight w:hRule="atLeast"/>
          <w:cantSplit/>
        </w:trPr>
        <w:tc>
          <w:tcPr>
            <w:tcW w:type="dxa" w:w="64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7</w:t>
            </w:r>
          </w:p>
        </w:tc>
        <w:tc>
          <w:tcPr>
            <w:tcW w:type="dxa" w:w="417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Other prior pitches, overviews, mockups, drafts</w:t>
            </w:r>
          </w:p>
        </w:tc>
        <w:tc>
          <w:tcPr>
            <w:tcW w:type="dxa" w:w="50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Reference only. Superseded wherever they conflict.</w:t>
            </w:r>
          </w:p>
        </w:tc>
      </w:tr>
    </w:tbl>
    <w:p>
      <w:pPr>
        <w:pStyle w:val="Heading1"/>
      </w:pPr>
      <w:r>
        <w:t>2. Identity, Mission &amp; Positioning</w:t>
      </w:r>
    </w:p>
    <w:tbl>
      <w:tblPr>
        <w:tblW w:type="auto" w:w="0"/>
        <w:jc w:val="center"/>
        <w:tblLayout w:type="fixed"/>
        <w:tblLook w:firstColumn="1" w:firstRow="1" w:lastColumn="0" w:lastRow="0" w:noHBand="0" w:noVBand="1" w:val="04A0"/>
      </w:tblPr>
      <w:tblGrid>
        <w:gridCol w:w="10166"/>
      </w:tblGrid>
      <w:tr>
        <w:trPr>
          <w:trHeight w:hRule="atLeast"/>
          <w:cantSplit/>
        </w:trPr>
        <w:tc>
          <w:tcPr>
            <w:tcW w:type="dxa" w:w="10166"/>
            <w:shd w:fill="F2EDE4"/>
            <w:tcBorders>
              <w:top w:val="single" w:sz="8" w:space="0" w:color="7A1E1E"/>
              <w:left w:val="single" w:sz="8" w:space="0" w:color="7A1E1E"/>
              <w:bottom w:val="single" w:sz="8" w:space="0" w:color="7A1E1E"/>
              <w:right w:val="single" w:sz="8" w:space="0" w:color="7A1E1E"/>
              <w:insideH w:val="single" w:sz="8" w:space="0" w:color="7A1E1E"/>
              <w:insideV w:val="single" w:sz="8" w:space="0" w:color="7A1E1E"/>
            </w:tcBorders>
            <w:tcMar>
              <w:top w:w="130" w:type="dxa"/>
              <w:start w:w="160" w:type="dxa"/>
              <w:bottom w:w="130" w:type="dxa"/>
              <w:end w:w="160" w:type="dxa"/>
            </w:tcMar>
          </w:tcPr>
          <w:p>
            <w:r>
              <w:rPr>
                <w:rFonts w:ascii="Aptos" w:hAnsi="Aptos"/>
                <w:b/>
                <w:i w:val="0"/>
                <w:color w:val="7A1E1E"/>
                <w:sz w:val="16"/>
              </w:rPr>
              <w:t>LOCKED POSITIONING</w:t>
            </w:r>
          </w:p>
          <w:p>
            <w:r>
              <w:rPr>
                <w:rFonts w:ascii="Aptos" w:hAnsi="Aptos"/>
                <w:b/>
                <w:i w:val="0"/>
                <w:color w:val="1A1A1A"/>
                <w:sz w:val="21"/>
              </w:rPr>
              <w:t>Maps With Teeth is a portable continuity and accountability layer for people navigating abuse across systems that do not share one case file, one jurisdiction, or one map.</w:t>
            </w:r>
          </w:p>
        </w:tc>
      </w:tr>
    </w:tbl>
    <w:p>
      <w:r>
        <w:rPr>
          <w:rFonts w:ascii="Aptos" w:hAnsi="Aptos"/>
          <w:b/>
          <w:i w:val="0"/>
          <w:color w:val="7A1E1E"/>
          <w:sz w:val="20"/>
        </w:rPr>
        <w:t>Mission</w:t>
      </w:r>
    </w:p>
    <w:p>
      <w:r>
        <w:rPr>
          <w:rFonts w:ascii="Aptos" w:hAnsi="Aptos"/>
          <w:b w:val="0"/>
          <w:i w:val="0"/>
          <w:color w:val="1A1A1A"/>
        </w:rPr>
        <w:t>Maps With Teeth helps people experiencing abuse navigate disconnected systems by preserving context and information, identifying viable resources and jurisdictional pathways, coordinating accountable handoffs, filling small unmet barriers, and documenting where systems repeatedly fail.</w:t>
      </w:r>
    </w:p>
    <w:p>
      <w:r>
        <w:rPr>
          <w:rFonts w:ascii="Aptos" w:hAnsi="Aptos"/>
          <w:b/>
          <w:i w:val="0"/>
          <w:color w:val="7A1E1E"/>
          <w:sz w:val="20"/>
        </w:rPr>
        <w:t>Operating thesis</w:t>
      </w:r>
    </w:p>
    <w:p>
      <w:r>
        <w:rPr>
          <w:rFonts w:ascii="Aptos" w:hAnsi="Aptos"/>
          <w:b w:val="0"/>
          <w:i w:val="0"/>
          <w:color w:val="1A1A1A"/>
        </w:rPr>
        <w:t>Systems fail people not only because resources are absent, but because continuity collapses between organizations. A person can be sent from A to B and back to A while context, identifiers, reasons, and responsibility disappear at each handoff.</w:t>
      </w:r>
    </w:p>
    <w:p>
      <w:r>
        <w:rPr>
          <w:rFonts w:ascii="Aptos" w:hAnsi="Aptos"/>
          <w:b/>
          <w:i w:val="0"/>
          <w:color w:val="7A1E1E"/>
          <w:sz w:val="20"/>
        </w:rPr>
        <w:t>Public shorthand</w:t>
      </w:r>
    </w:p>
    <w:p>
      <w:r>
        <w:rPr>
          <w:rFonts w:ascii="Aptos" w:hAnsi="Aptos"/>
          <w:b w:val="0"/>
          <w:i w:val="0"/>
          <w:color w:val="1A1A1A"/>
        </w:rPr>
        <w:t>Barrier-first resource intelligence + portable continuity across disconnected systems.</w:t>
      </w:r>
    </w:p>
    <w:p>
      <w:pPr>
        <w:pStyle w:val="Heading2"/>
      </w:pPr>
      <w:r>
        <w:t>Claims We May and May Not Make</w:t>
      </w:r>
    </w:p>
    <w:tbl>
      <w:tblPr>
        <w:tblW w:type="auto" w:w="0"/>
        <w:jc w:val="center"/>
        <w:tblLayout w:type="fixed"/>
        <w:tblLook w:firstColumn="1" w:firstRow="1" w:lastColumn="0" w:lastRow="0" w:noHBand="0" w:noVBand="1" w:val="04A0"/>
      </w:tblPr>
      <w:tblGrid>
        <w:gridCol w:w="1440"/>
        <w:gridCol w:w="4752"/>
        <w:gridCol w:w="3672"/>
      </w:tblGrid>
      <w:tr>
        <w:trPr>
          <w:trHeight w:hRule="atLeast"/>
          <w:tblHeader w:val="true"/>
          <w:cantSplit/>
        </w:trPr>
        <w:tc>
          <w:tcPr>
            <w:tcW w:type="dxa" w:w="3389"/>
            <w:shd w:fill="1A1A1A"/>
            <w:tcBorders>
              <w:top w:val="single" w:sz="6" w:space="0" w:color="1A1A1A"/>
              <w:left w:val="single" w:sz="6" w:space="0" w:color="1A1A1A"/>
              <w:bottom w:val="single" w:sz="6" w:space="0" w:color="1A1A1A"/>
              <w:right w:val="single" w:sz="6" w:space="0" w:color="1A1A1A"/>
              <w:insideH w:val="single" w:sz="6" w:space="0" w:color="1A1A1A"/>
              <w:insideV w:val="single" w:sz="6" w:space="0" w:color="1A1A1A"/>
            </w:tcBorders>
            <w:tcMar>
              <w:top w:w="90" w:type="dxa"/>
              <w:start w:w="110" w:type="dxa"/>
              <w:bottom w:w="90" w:type="dxa"/>
              <w:end w:w="110" w:type="dxa"/>
            </w:tcMar>
          </w:tcPr>
          <w:p>
            <w:r>
              <w:rPr>
                <w:b/>
                <w:color w:val="FFFFFF"/>
                <w:sz w:val="16"/>
              </w:rPr>
              <w:t>STATUS</w:t>
            </w:r>
          </w:p>
        </w:tc>
        <w:tc>
          <w:tcPr>
            <w:tcW w:type="dxa" w:w="3389"/>
            <w:shd w:fill="1A1A1A"/>
            <w:tcBorders>
              <w:top w:val="single" w:sz="6" w:space="0" w:color="1A1A1A"/>
              <w:left w:val="single" w:sz="6" w:space="0" w:color="1A1A1A"/>
              <w:bottom w:val="single" w:sz="6" w:space="0" w:color="1A1A1A"/>
              <w:right w:val="single" w:sz="6" w:space="0" w:color="1A1A1A"/>
              <w:insideH w:val="single" w:sz="6" w:space="0" w:color="1A1A1A"/>
              <w:insideV w:val="single" w:sz="6" w:space="0" w:color="1A1A1A"/>
            </w:tcBorders>
            <w:tcMar>
              <w:top w:w="90" w:type="dxa"/>
              <w:start w:w="110" w:type="dxa"/>
              <w:bottom w:w="90" w:type="dxa"/>
              <w:end w:w="110" w:type="dxa"/>
            </w:tcMar>
          </w:tcPr>
          <w:p>
            <w:r>
              <w:rPr>
                <w:b/>
                <w:color w:val="FFFFFF"/>
                <w:sz w:val="16"/>
              </w:rPr>
              <w:t>LANGUAGE</w:t>
            </w:r>
          </w:p>
        </w:tc>
        <w:tc>
          <w:tcPr>
            <w:tcW w:type="dxa" w:w="3389"/>
            <w:shd w:fill="1A1A1A"/>
            <w:tcBorders>
              <w:top w:val="single" w:sz="6" w:space="0" w:color="1A1A1A"/>
              <w:left w:val="single" w:sz="6" w:space="0" w:color="1A1A1A"/>
              <w:bottom w:val="single" w:sz="6" w:space="0" w:color="1A1A1A"/>
              <w:right w:val="single" w:sz="6" w:space="0" w:color="1A1A1A"/>
              <w:insideH w:val="single" w:sz="6" w:space="0" w:color="1A1A1A"/>
              <w:insideV w:val="single" w:sz="6" w:space="0" w:color="1A1A1A"/>
            </w:tcBorders>
            <w:tcMar>
              <w:top w:w="90" w:type="dxa"/>
              <w:start w:w="110" w:type="dxa"/>
              <w:bottom w:w="90" w:type="dxa"/>
              <w:end w:w="110" w:type="dxa"/>
            </w:tcMar>
          </w:tcPr>
          <w:p>
            <w:r>
              <w:rPr>
                <w:b/>
                <w:color w:val="FFFFFF"/>
                <w:sz w:val="16"/>
              </w:rPr>
              <w:t>WHY</w:t>
            </w:r>
          </w:p>
        </w:tc>
      </w:tr>
      <w:tr>
        <w:trPr>
          <w:trHeight w:hRule="atLeast"/>
          <w:cantSplit/>
        </w:trPr>
        <w:tc>
          <w:tcPr>
            <w:tcW w:type="dxa" w:w="14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shd w:fill="F7F3EE"/>
          </w:tcPr>
          <w:p>
            <w:r>
              <w:rPr>
                <w:b/>
                <w:color w:val="2F6B57"/>
                <w:sz w:val="16"/>
              </w:rPr>
              <w:t>USE</w:t>
            </w:r>
          </w:p>
        </w:tc>
        <w:tc>
          <w:tcPr>
            <w:tcW w:type="dxa" w:w="475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“We have not identified a direct precedent combining all of these functions.”</w:t>
            </w:r>
          </w:p>
        </w:tc>
        <w:tc>
          <w:tcPr>
            <w:tcW w:type="dxa" w:w="367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Careful novelty language; subject to ongoing landscape review.</w:t>
            </w:r>
          </w:p>
        </w:tc>
      </w:tr>
      <w:tr>
        <w:trPr>
          <w:trHeight w:hRule="atLeast"/>
          <w:cantSplit/>
        </w:trPr>
        <w:tc>
          <w:tcPr>
            <w:tcW w:type="dxa" w:w="14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shd w:fill="F7F3EE"/>
          </w:tcPr>
          <w:p>
            <w:r>
              <w:rPr>
                <w:b/>
                <w:color w:val="2F6B57"/>
                <w:sz w:val="16"/>
              </w:rPr>
              <w:t>USE</w:t>
            </w:r>
          </w:p>
        </w:tc>
        <w:tc>
          <w:tcPr>
            <w:tcW w:type="dxa" w:w="475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“Portable continuity outside a common ecosystem.”</w:t>
            </w:r>
          </w:p>
        </w:tc>
        <w:tc>
          <w:tcPr>
            <w:tcW w:type="dxa" w:w="367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Current strongest differentiator.</w:t>
            </w:r>
          </w:p>
        </w:tc>
      </w:tr>
      <w:tr>
        <w:trPr>
          <w:trHeight w:hRule="atLeast"/>
          <w:cantSplit/>
        </w:trPr>
        <w:tc>
          <w:tcPr>
            <w:tcW w:type="dxa" w:w="14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shd w:fill="F7F3EE"/>
          </w:tcPr>
          <w:p>
            <w:r>
              <w:rPr>
                <w:b/>
                <w:color w:val="2F6B57"/>
                <w:sz w:val="16"/>
              </w:rPr>
              <w:t>USE</w:t>
            </w:r>
          </w:p>
        </w:tc>
        <w:tc>
          <w:tcPr>
            <w:tcW w:type="dxa" w:w="475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“The Continuity Receipt is designed to leave a minimal confirmable institutional breadcrumb.”</w:t>
            </w:r>
          </w:p>
        </w:tc>
        <w:tc>
          <w:tcPr>
            <w:tcW w:type="dxa" w:w="367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Describe as design/pilot mechanism until adopted.</w:t>
            </w:r>
          </w:p>
        </w:tc>
      </w:tr>
      <w:tr>
        <w:trPr>
          <w:trHeight w:hRule="atLeast"/>
          <w:cantSplit/>
        </w:trPr>
        <w:tc>
          <w:tcPr>
            <w:tcW w:type="dxa" w:w="14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shd w:fill="F7F3EE"/>
          </w:tcPr>
          <w:p>
            <w:r>
              <w:rPr>
                <w:b/>
                <w:color w:val="7A1E1E"/>
                <w:sz w:val="16"/>
              </w:rPr>
              <w:t>DO NOT CLAIM</w:t>
            </w:r>
          </w:p>
        </w:tc>
        <w:tc>
          <w:tcPr>
            <w:tcW w:type="dxa" w:w="475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“The first integrated survivor platform.”</w:t>
            </w:r>
          </w:p>
        </w:tc>
        <w:tc>
          <w:tcPr>
            <w:tcW w:type="dxa" w:w="367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False/overbroad.</w:t>
            </w:r>
          </w:p>
        </w:tc>
      </w:tr>
      <w:tr>
        <w:trPr>
          <w:trHeight w:hRule="atLeast"/>
          <w:cantSplit/>
        </w:trPr>
        <w:tc>
          <w:tcPr>
            <w:tcW w:type="dxa" w:w="14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shd w:fill="F7F3EE"/>
          </w:tcPr>
          <w:p>
            <w:r>
              <w:rPr>
                <w:b/>
                <w:color w:val="7A1E1E"/>
                <w:sz w:val="16"/>
              </w:rPr>
              <w:t>DO NOT CLAIM</w:t>
            </w:r>
          </w:p>
        </w:tc>
        <w:tc>
          <w:tcPr>
            <w:tcW w:type="dxa" w:w="475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“The first tell-your-story-once platform.”</w:t>
            </w:r>
          </w:p>
        </w:tc>
        <w:tc>
          <w:tcPr>
            <w:tcW w:type="dxa" w:w="367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Existing models use this concept.</w:t>
            </w:r>
          </w:p>
        </w:tc>
      </w:tr>
      <w:tr>
        <w:trPr>
          <w:trHeight w:hRule="atLeast"/>
          <w:cantSplit/>
        </w:trPr>
        <w:tc>
          <w:tcPr>
            <w:tcW w:type="dxa" w:w="14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shd w:fill="F7F3EE"/>
          </w:tcPr>
          <w:p>
            <w:r>
              <w:rPr>
                <w:b/>
                <w:color w:val="7A1E1E"/>
                <w:sz w:val="16"/>
              </w:rPr>
              <w:t>DO NOT CLAIM</w:t>
            </w:r>
          </w:p>
        </w:tc>
        <w:tc>
          <w:tcPr>
            <w:tcW w:type="dxa" w:w="475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“The first survivor evidence organizer / first hashing / chain of custody tool.”</w:t>
            </w:r>
          </w:p>
        </w:tc>
        <w:tc>
          <w:tcPr>
            <w:tcW w:type="dxa" w:w="367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Existing tools materially overlap.</w:t>
            </w:r>
          </w:p>
        </w:tc>
      </w:tr>
      <w:tr>
        <w:trPr>
          <w:trHeight w:hRule="atLeast"/>
          <w:cantSplit/>
        </w:trPr>
        <w:tc>
          <w:tcPr>
            <w:tcW w:type="dxa" w:w="14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shd w:fill="F7F3EE"/>
          </w:tcPr>
          <w:p>
            <w:r>
              <w:rPr>
                <w:b/>
                <w:color w:val="7A1E1E"/>
                <w:sz w:val="16"/>
              </w:rPr>
              <w:t>DO NOT CLAIM</w:t>
            </w:r>
          </w:p>
        </w:tc>
        <w:tc>
          <w:tcPr>
            <w:tcW w:type="dxa" w:w="475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“No other system does this.”</w:t>
            </w:r>
          </w:p>
        </w:tc>
        <w:tc>
          <w:tcPr>
            <w:tcW w:type="dxa" w:w="367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Not proven.</w:t>
            </w:r>
          </w:p>
        </w:tc>
      </w:tr>
      <w:tr>
        <w:trPr>
          <w:trHeight w:hRule="atLeast"/>
          <w:cantSplit/>
        </w:trPr>
        <w:tc>
          <w:tcPr>
            <w:tcW w:type="dxa" w:w="14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shd w:fill="F7F3EE"/>
          </w:tcPr>
          <w:p>
            <w:r>
              <w:rPr>
                <w:b/>
                <w:color w:val="7A1E1E"/>
                <w:sz w:val="16"/>
              </w:rPr>
              <w:t>DO NOT CLAIM</w:t>
            </w:r>
          </w:p>
        </w:tc>
        <w:tc>
          <w:tcPr>
            <w:tcW w:type="dxa" w:w="475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That agency receipt/review authenticates underlying evidence.</w:t>
            </w:r>
          </w:p>
        </w:tc>
        <w:tc>
          <w:tcPr>
            <w:tcW w:type="dxa" w:w="367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90" w:type="dxa"/>
              <w:start w:w="110" w:type="dxa"/>
              <w:bottom w:w="90" w:type="dxa"/>
              <w:end w:w="110" w:type="dxa"/>
            </w:tcMar>
          </w:tcPr>
          <w:p>
            <w:r>
              <w:rPr>
                <w:sz w:val="16"/>
              </w:rPr>
              <w:t>Receipt confirms the touchpoint only unless an agency actually verifies an item.</w:t>
            </w:r>
          </w:p>
        </w:tc>
      </w:tr>
    </w:tbl>
    <w:p>
      <w:pPr>
        <w:pStyle w:val="Heading1"/>
      </w:pPr>
      <w:r>
        <w:t>3. Canonical Product &amp; Program Architecture</w:t>
      </w:r>
    </w:p>
    <w:tbl>
      <w:tblPr>
        <w:tblW w:type="auto" w:w="0"/>
        <w:jc w:val="center"/>
        <w:tblLayout w:type="fixed"/>
        <w:tblLook w:firstColumn="1" w:firstRow="1" w:lastColumn="0" w:lastRow="0" w:noHBand="0" w:noVBand="1" w:val="04A0"/>
      </w:tblPr>
      <w:tblGrid>
        <w:gridCol w:w="1800"/>
        <w:gridCol w:w="1944"/>
        <w:gridCol w:w="4608"/>
        <w:gridCol w:w="1584"/>
      </w:tblGrid>
      <w:tr>
        <w:trPr>
          <w:trHeight w:hRule="atLeast"/>
          <w:tblHeader w:val="true"/>
          <w:cantSplit/>
        </w:trPr>
        <w:tc>
          <w:tcPr>
            <w:tcW w:type="dxa" w:w="2541"/>
            <w:shd w:fill="7A1E1E"/>
            <w:tcBorders>
              <w:top w:val="single" w:sz="6" w:space="0" w:color="7A1E1E"/>
              <w:left w:val="single" w:sz="6" w:space="0" w:color="7A1E1E"/>
              <w:bottom w:val="single" w:sz="6" w:space="0" w:color="7A1E1E"/>
              <w:right w:val="single" w:sz="6" w:space="0" w:color="7A1E1E"/>
              <w:insideH w:val="single" w:sz="6" w:space="0" w:color="7A1E1E"/>
              <w:insideV w:val="single" w:sz="6" w:space="0" w:color="7A1E1E"/>
            </w:tcBorders>
            <w:tcMar>
              <w:top w:w="90" w:type="dxa"/>
              <w:start w:w="110" w:type="dxa"/>
              <w:bottom w:w="90" w:type="dxa"/>
              <w:end w:w="110" w:type="dxa"/>
            </w:tcMar>
          </w:tcPr>
          <w:p>
            <w:r>
              <w:rPr>
                <w:b/>
                <w:color w:val="FFFFFF"/>
                <w:sz w:val="15"/>
              </w:rPr>
              <w:t>COMPONENT</w:t>
            </w:r>
          </w:p>
        </w:tc>
        <w:tc>
          <w:tcPr>
            <w:tcW w:type="dxa" w:w="2541"/>
            <w:shd w:fill="7A1E1E"/>
            <w:tcBorders>
              <w:top w:val="single" w:sz="6" w:space="0" w:color="7A1E1E"/>
              <w:left w:val="single" w:sz="6" w:space="0" w:color="7A1E1E"/>
              <w:bottom w:val="single" w:sz="6" w:space="0" w:color="7A1E1E"/>
              <w:right w:val="single" w:sz="6" w:space="0" w:color="7A1E1E"/>
              <w:insideH w:val="single" w:sz="6" w:space="0" w:color="7A1E1E"/>
              <w:insideV w:val="single" w:sz="6" w:space="0" w:color="7A1E1E"/>
            </w:tcBorders>
            <w:tcMar>
              <w:top w:w="90" w:type="dxa"/>
              <w:start w:w="110" w:type="dxa"/>
              <w:bottom w:w="90" w:type="dxa"/>
              <w:end w:w="110" w:type="dxa"/>
            </w:tcMar>
          </w:tcPr>
          <w:p>
            <w:r>
              <w:rPr>
                <w:b/>
                <w:color w:val="FFFFFF"/>
                <w:sz w:val="15"/>
              </w:rPr>
              <w:t>TYPE</w:t>
            </w:r>
          </w:p>
        </w:tc>
        <w:tc>
          <w:tcPr>
            <w:tcW w:type="dxa" w:w="2541"/>
            <w:shd w:fill="7A1E1E"/>
            <w:tcBorders>
              <w:top w:val="single" w:sz="6" w:space="0" w:color="7A1E1E"/>
              <w:left w:val="single" w:sz="6" w:space="0" w:color="7A1E1E"/>
              <w:bottom w:val="single" w:sz="6" w:space="0" w:color="7A1E1E"/>
              <w:right w:val="single" w:sz="6" w:space="0" w:color="7A1E1E"/>
              <w:insideH w:val="single" w:sz="6" w:space="0" w:color="7A1E1E"/>
              <w:insideV w:val="single" w:sz="6" w:space="0" w:color="7A1E1E"/>
            </w:tcBorders>
            <w:tcMar>
              <w:top w:w="90" w:type="dxa"/>
              <w:start w:w="110" w:type="dxa"/>
              <w:bottom w:w="90" w:type="dxa"/>
              <w:end w:w="110" w:type="dxa"/>
            </w:tcMar>
          </w:tcPr>
          <w:p>
            <w:r>
              <w:rPr>
                <w:b/>
                <w:color w:val="FFFFFF"/>
                <w:sz w:val="15"/>
              </w:rPr>
              <w:t>CANONICAL FUNCTION</w:t>
            </w:r>
          </w:p>
        </w:tc>
        <w:tc>
          <w:tcPr>
            <w:tcW w:type="dxa" w:w="2541"/>
            <w:shd w:fill="7A1E1E"/>
            <w:tcBorders>
              <w:top w:val="single" w:sz="6" w:space="0" w:color="7A1E1E"/>
              <w:left w:val="single" w:sz="6" w:space="0" w:color="7A1E1E"/>
              <w:bottom w:val="single" w:sz="6" w:space="0" w:color="7A1E1E"/>
              <w:right w:val="single" w:sz="6" w:space="0" w:color="7A1E1E"/>
              <w:insideH w:val="single" w:sz="6" w:space="0" w:color="7A1E1E"/>
              <w:insideV w:val="single" w:sz="6" w:space="0" w:color="7A1E1E"/>
            </w:tcBorders>
            <w:tcMar>
              <w:top w:w="90" w:type="dxa"/>
              <w:start w:w="110" w:type="dxa"/>
              <w:bottom w:w="90" w:type="dxa"/>
              <w:end w:w="110" w:type="dxa"/>
            </w:tcMar>
          </w:tcPr>
          <w:p>
            <w:r>
              <w:rPr>
                <w:b/>
                <w:color w:val="FFFFFF"/>
                <w:sz w:val="15"/>
              </w:rPr>
              <w:t>STRATEGIC NOTE</w:t>
            </w:r>
          </w:p>
        </w:tc>
      </w:tr>
      <w:tr>
        <w:trPr>
          <w:trHeight w:hRule="atLeast"/>
          <w:cantSplit/>
        </w:trPr>
        <w:tc>
          <w:tcPr>
            <w:tcW w:type="dxa" w:w="18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shd w:fill="F7F3EE"/>
          </w:tcPr>
          <w:p>
            <w:r>
              <w:rPr>
                <w:b/>
                <w:color w:val="7A1E1E"/>
                <w:sz w:val="15"/>
              </w:rPr>
              <w:t>BRIDGE</w:t>
            </w:r>
          </w:p>
        </w:tc>
        <w:tc>
          <w:tcPr>
            <w:tcW w:type="dxa" w:w="194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tcPr>
          <w:p>
            <w:r>
              <w:rPr>
                <w:sz w:val="14"/>
              </w:rPr>
              <w:t>Program / continuity workflow</w:t>
            </w:r>
          </w:p>
        </w:tc>
        <w:tc>
          <w:tcPr>
            <w:tcW w:type="dxa" w:w="460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tcPr>
          <w:p>
            <w:r>
              <w:rPr>
                <w:sz w:val="14"/>
              </w:rPr>
              <w:t>Follows the participant across systems; maps prior attempts, jurisdiction, ownership, handoffs, acceptance/decline/rerouting.</w:t>
            </w:r>
          </w:p>
        </w:tc>
        <w:tc>
          <w:tcPr>
            <w:tcW w:type="dxa" w:w="158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tcPr>
          <w:p>
            <w:r>
              <w:rPr>
                <w:sz w:val="14"/>
              </w:rPr>
              <w:t>Core model</w:t>
            </w:r>
          </w:p>
        </w:tc>
      </w:tr>
      <w:tr>
        <w:trPr>
          <w:trHeight w:hRule="atLeast"/>
          <w:cantSplit/>
        </w:trPr>
        <w:tc>
          <w:tcPr>
            <w:tcW w:type="dxa" w:w="18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shd w:fill="F7F3EE"/>
          </w:tcPr>
          <w:p>
            <w:r>
              <w:rPr>
                <w:b/>
                <w:color w:val="7A1E1E"/>
                <w:sz w:val="15"/>
              </w:rPr>
              <w:t>ORGANIZER</w:t>
            </w:r>
          </w:p>
        </w:tc>
        <w:tc>
          <w:tcPr>
            <w:tcW w:type="dxa" w:w="194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tcPr>
          <w:p>
            <w:r>
              <w:rPr>
                <w:sz w:val="14"/>
              </w:rPr>
              <w:t>Product infrastructure</w:t>
            </w:r>
          </w:p>
        </w:tc>
        <w:tc>
          <w:tcPr>
            <w:tcW w:type="dxa" w:w="460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tcPr>
          <w:p>
            <w:r>
              <w:rPr>
                <w:sz w:val="14"/>
              </w:rPr>
              <w:t>Securely organizes messages, reports, screenshots, identifiers, attempts, and context; selective export and provenance.</w:t>
            </w:r>
          </w:p>
        </w:tc>
        <w:tc>
          <w:tcPr>
            <w:tcW w:type="dxa" w:w="158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tcPr>
          <w:p>
            <w:r>
              <w:rPr>
                <w:sz w:val="14"/>
              </w:rPr>
              <w:t>Enabling infrastructure — not the core novelty claim</w:t>
            </w:r>
          </w:p>
        </w:tc>
      </w:tr>
      <w:tr>
        <w:trPr>
          <w:trHeight w:hRule="atLeast"/>
          <w:cantSplit/>
        </w:trPr>
        <w:tc>
          <w:tcPr>
            <w:tcW w:type="dxa" w:w="18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shd w:fill="F7F3EE"/>
          </w:tcPr>
          <w:p>
            <w:r>
              <w:rPr>
                <w:b/>
                <w:color w:val="7A1E1E"/>
                <w:sz w:val="15"/>
              </w:rPr>
              <w:t>RESOURCE GRAPH</w:t>
            </w:r>
          </w:p>
        </w:tc>
        <w:tc>
          <w:tcPr>
            <w:tcW w:type="dxa" w:w="194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tcPr>
          <w:p>
            <w:r>
              <w:rPr>
                <w:sz w:val="14"/>
              </w:rPr>
              <w:t>Intelligence layer</w:t>
            </w:r>
          </w:p>
        </w:tc>
        <w:tc>
          <w:tcPr>
            <w:tcW w:type="dxa" w:w="460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tcPr>
          <w:p>
            <w:r>
              <w:rPr>
                <w:sz w:val="14"/>
              </w:rPr>
              <w:t>Verified, eligibility-aware routes including obscure cross-sector aid; tracks geography, documents, freshness, prior attempts, and observed outcomes.</w:t>
            </w:r>
          </w:p>
        </w:tc>
        <w:tc>
          <w:tcPr>
            <w:tcW w:type="dxa" w:w="158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tcPr>
          <w:p>
            <w:r>
              <w:rPr>
                <w:sz w:val="14"/>
              </w:rPr>
              <w:t>Differentiate on eligibility + attempt history + outcomes, not directory size</w:t>
            </w:r>
          </w:p>
        </w:tc>
      </w:tr>
      <w:tr>
        <w:trPr>
          <w:trHeight w:hRule="atLeast"/>
          <w:cantSplit/>
        </w:trPr>
        <w:tc>
          <w:tcPr>
            <w:tcW w:type="dxa" w:w="18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shd w:fill="F7F3EE"/>
          </w:tcPr>
          <w:p>
            <w:r>
              <w:rPr>
                <w:b/>
                <w:color w:val="7A1E1E"/>
                <w:sz w:val="15"/>
              </w:rPr>
              <w:t>GAP FUND</w:t>
            </w:r>
          </w:p>
        </w:tc>
        <w:tc>
          <w:tcPr>
            <w:tcW w:type="dxa" w:w="194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tcPr>
          <w:p>
            <w:r>
              <w:rPr>
                <w:sz w:val="14"/>
              </w:rPr>
              <w:t>Program</w:t>
            </w:r>
          </w:p>
        </w:tc>
        <w:tc>
          <w:tcPr>
            <w:tcW w:type="dxa" w:w="460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tcPr>
          <w:p>
            <w:r>
              <w:rPr>
                <w:sz w:val="14"/>
              </w:rPr>
              <w:t>Small rapid assistance when a practical barrier blocks the next safety/stabilization step.</w:t>
            </w:r>
          </w:p>
        </w:tc>
        <w:tc>
          <w:tcPr>
            <w:tcW w:type="dxa" w:w="158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tcPr>
          <w:p>
            <w:r>
              <w:rPr>
                <w:sz w:val="14"/>
              </w:rPr>
              <w:t>Pilot program</w:t>
            </w:r>
          </w:p>
        </w:tc>
      </w:tr>
      <w:tr>
        <w:trPr>
          <w:trHeight w:hRule="atLeast"/>
          <w:cantSplit/>
        </w:trPr>
        <w:tc>
          <w:tcPr>
            <w:tcW w:type="dxa" w:w="18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shd w:fill="F7F3EE"/>
          </w:tcPr>
          <w:p>
            <w:r>
              <w:rPr>
                <w:b/>
                <w:color w:val="7A1E1E"/>
                <w:sz w:val="15"/>
              </w:rPr>
              <w:t>CONTEXT BEFORE CLOSURE</w:t>
            </w:r>
          </w:p>
        </w:tc>
        <w:tc>
          <w:tcPr>
            <w:tcW w:type="dxa" w:w="194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tcPr>
          <w:p>
            <w:r>
              <w:rPr>
                <w:sz w:val="14"/>
              </w:rPr>
              <w:t>Partner protocol</w:t>
            </w:r>
          </w:p>
        </w:tc>
        <w:tc>
          <w:tcPr>
            <w:tcW w:type="dxa" w:w="460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tcPr>
          <w:p>
            <w:r>
              <w:rPr>
                <w:sz w:val="14"/>
              </w:rPr>
              <w:t>Understand context before classifying; document the institutional touchpoint; hand off before closing.</w:t>
            </w:r>
          </w:p>
        </w:tc>
        <w:tc>
          <w:tcPr>
            <w:tcW w:type="dxa" w:w="158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tcPr>
          <w:p>
            <w:r>
              <w:rPr>
                <w:sz w:val="14"/>
              </w:rPr>
              <w:t>Borrow/adapt from proven coordination practice</w:t>
            </w:r>
          </w:p>
        </w:tc>
      </w:tr>
      <w:tr>
        <w:trPr>
          <w:trHeight w:hRule="atLeast"/>
          <w:cantSplit/>
        </w:trPr>
        <w:tc>
          <w:tcPr>
            <w:tcW w:type="dxa" w:w="18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shd w:fill="F7F3EE"/>
          </w:tcPr>
          <w:p>
            <w:r>
              <w:rPr>
                <w:b/>
                <w:color w:val="7A1E1E"/>
                <w:sz w:val="15"/>
              </w:rPr>
              <w:t>CONTINUITY RECEIPT</w:t>
            </w:r>
          </w:p>
        </w:tc>
        <w:tc>
          <w:tcPr>
            <w:tcW w:type="dxa" w:w="194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tcPr>
          <w:p>
            <w:r>
              <w:rPr>
                <w:sz w:val="14"/>
              </w:rPr>
              <w:t>Partner artifact / product record</w:t>
            </w:r>
          </w:p>
        </w:tc>
        <w:tc>
          <w:tcPr>
            <w:tcW w:type="dxa" w:w="460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tcPr>
          <w:p>
            <w:r>
              <w:rPr>
                <w:sz w:val="14"/>
              </w:rPr>
              <w:t>Minimal record of agency/person, reference number, material received/reviewed, action, limit/decline reason, next route, and handoff status.</w:t>
            </w:r>
          </w:p>
        </w:tc>
        <w:tc>
          <w:tcPr>
            <w:tcW w:type="dxa" w:w="158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tcPr>
          <w:p>
            <w:r>
              <w:rPr>
                <w:sz w:val="14"/>
              </w:rPr>
              <w:t>Build + pilot</w:t>
            </w:r>
          </w:p>
        </w:tc>
      </w:tr>
      <w:tr>
        <w:trPr>
          <w:trHeight w:hRule="atLeast"/>
          <w:cantSplit/>
        </w:trPr>
        <w:tc>
          <w:tcPr>
            <w:tcW w:type="dxa" w:w="18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shd w:fill="F7F3EE"/>
          </w:tcPr>
          <w:p>
            <w:r>
              <w:rPr>
                <w:b/>
                <w:color w:val="7A1E1E"/>
                <w:sz w:val="15"/>
              </w:rPr>
              <w:t>BAD MAPS</w:t>
            </w:r>
          </w:p>
        </w:tc>
        <w:tc>
          <w:tcPr>
            <w:tcW w:type="dxa" w:w="194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tcPr>
          <w:p>
            <w:r>
              <w:rPr>
                <w:sz w:val="14"/>
              </w:rPr>
              <w:t>Research/accountability layer</w:t>
            </w:r>
          </w:p>
        </w:tc>
        <w:tc>
          <w:tcPr>
            <w:tcW w:type="dxa" w:w="460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tcPr>
          <w:p>
            <w:r>
              <w:rPr>
                <w:sz w:val="14"/>
              </w:rPr>
              <w:t>Anonymized analysis of referral loops, information loss, contradictory routing, retelling burden, unresolved ownership, and inaccessible resources.</w:t>
            </w:r>
          </w:p>
        </w:tc>
        <w:tc>
          <w:tcPr>
            <w:tcW w:type="dxa" w:w="158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90" w:type="dxa"/>
              <w:bottom w:w="70" w:type="dxa"/>
              <w:end w:w="90" w:type="dxa"/>
            </w:tcMar>
          </w:tcPr>
          <w:p>
            <w:r>
              <w:rPr>
                <w:sz w:val="14"/>
              </w:rPr>
              <w:t>Future proof + policy leverage</w:t>
            </w:r>
          </w:p>
        </w:tc>
      </w:tr>
    </w:tbl>
    <w:tbl>
      <w:tblPr>
        <w:tblW w:type="auto" w:w="0"/>
        <w:jc w:val="center"/>
        <w:tblLayout w:type="fixed"/>
        <w:tblLook w:firstColumn="1" w:firstRow="1" w:lastColumn="0" w:lastRow="0" w:noHBand="0" w:noVBand="1" w:val="04A0"/>
      </w:tblPr>
      <w:tblGrid>
        <w:gridCol w:w="10166"/>
      </w:tblGrid>
      <w:tr>
        <w:trPr>
          <w:trHeight w:hRule="atLeast"/>
          <w:cantSplit/>
        </w:trPr>
        <w:tc>
          <w:tcPr>
            <w:tcW w:type="dxa" w:w="10166"/>
            <w:shd w:fill="F8F3EF"/>
            <w:tcBorders>
              <w:top w:val="single" w:sz="8" w:space="0" w:color="7A1E1E"/>
              <w:left w:val="single" w:sz="8" w:space="0" w:color="7A1E1E"/>
              <w:bottom w:val="single" w:sz="8" w:space="0" w:color="7A1E1E"/>
              <w:right w:val="single" w:sz="8" w:space="0" w:color="7A1E1E"/>
              <w:insideH w:val="single" w:sz="8" w:space="0" w:color="7A1E1E"/>
              <w:insideV w:val="single" w:sz="8" w:space="0" w:color="7A1E1E"/>
            </w:tcBorders>
            <w:tcMar>
              <w:top w:w="130" w:type="dxa"/>
              <w:start w:w="160" w:type="dxa"/>
              <w:bottom w:w="130" w:type="dxa"/>
              <w:end w:w="160" w:type="dxa"/>
            </w:tcMar>
          </w:tcPr>
          <w:p>
            <w:r>
              <w:rPr>
                <w:rFonts w:ascii="Aptos" w:hAnsi="Aptos"/>
                <w:b/>
                <w:i w:val="0"/>
                <w:color w:val="7A1E1E"/>
                <w:sz w:val="16"/>
              </w:rPr>
              <w:t>BOUNDARY</w:t>
            </w:r>
          </w:p>
          <w:p>
            <w:r>
              <w:rPr>
                <w:rFonts w:ascii="Aptos" w:hAnsi="Aptos"/>
                <w:b/>
                <w:i w:val="0"/>
                <w:color w:val="1A1A1A"/>
                <w:sz w:val="21"/>
              </w:rPr>
              <w:t>Maps With Teeth does not replace police, courts, CPS, attorneys, shelters, advocates, prosecutors, or emergency hotlines. It does not declare whether abuse occurred, promise enforcement action, or turn receipt of information into authentication.</w:t>
            </w:r>
          </w:p>
        </w:tc>
      </w:tr>
    </w:tbl>
    <w:p>
      <w:pPr>
        <w:pStyle w:val="Heading1"/>
      </w:pPr>
      <w:r>
        <w:t>4. What Exists Today vs. What Is Still Planned</w:t>
      </w:r>
    </w:p>
    <w:p>
      <w:r>
        <w:rPr>
          <w:rFonts w:ascii="Aptos" w:hAnsi="Aptos"/>
          <w:b/>
          <w:i w:val="0"/>
          <w:color w:val="7A1E1E"/>
        </w:rPr>
        <w:t>This distinction is mandatory in every pitch. Product ambition is not traction. A tested prototype is not a live service network. A written protocol is not institutional adoption.</w:t>
      </w:r>
    </w:p>
    <w:tbl>
      <w:tblPr>
        <w:tblW w:type="auto" w:w="0"/>
        <w:jc w:val="center"/>
        <w:tblLayout w:type="fixed"/>
        <w:tblLook w:firstColumn="1" w:firstRow="1" w:lastColumn="0" w:lastRow="0" w:noHBand="0" w:noVBand="1" w:val="04A0"/>
      </w:tblPr>
      <w:tblGrid>
        <w:gridCol w:w="1512"/>
        <w:gridCol w:w="2520"/>
        <w:gridCol w:w="4896"/>
        <w:gridCol w:w="2088"/>
      </w:tblGrid>
      <w:tr>
        <w:trPr>
          <w:trHeight w:hRule="atLeast"/>
          <w:tblHeader w:val="true"/>
          <w:cantSplit/>
        </w:trPr>
        <w:tc>
          <w:tcPr>
            <w:tcW w:type="dxa" w:w="2541"/>
            <w:shd w:fill="1A1A1A"/>
            <w:tcBorders>
              <w:top w:val="single" w:sz="6" w:space="0" w:color="1A1A1A"/>
              <w:left w:val="single" w:sz="6" w:space="0" w:color="1A1A1A"/>
              <w:bottom w:val="single" w:sz="6" w:space="0" w:color="1A1A1A"/>
              <w:right w:val="single" w:sz="6" w:space="0" w:color="1A1A1A"/>
              <w:insideH w:val="single" w:sz="6" w:space="0" w:color="1A1A1A"/>
              <w:insideV w:val="single" w:sz="6" w:space="0" w:color="1A1A1A"/>
            </w:tcBorders>
            <w:tcMar>
              <w:top w:w="90" w:type="dxa"/>
              <w:start w:w="110" w:type="dxa"/>
              <w:bottom w:w="90" w:type="dxa"/>
              <w:end w:w="110" w:type="dxa"/>
            </w:tcMar>
          </w:tcPr>
          <w:p>
            <w:r>
              <w:rPr>
                <w:b/>
                <w:color w:val="FFFFFF"/>
                <w:sz w:val="14"/>
              </w:rPr>
              <w:t>STATUS</w:t>
            </w:r>
          </w:p>
        </w:tc>
        <w:tc>
          <w:tcPr>
            <w:tcW w:type="dxa" w:w="2541"/>
            <w:shd w:fill="1A1A1A"/>
            <w:tcBorders>
              <w:top w:val="single" w:sz="6" w:space="0" w:color="1A1A1A"/>
              <w:left w:val="single" w:sz="6" w:space="0" w:color="1A1A1A"/>
              <w:bottom w:val="single" w:sz="6" w:space="0" w:color="1A1A1A"/>
              <w:right w:val="single" w:sz="6" w:space="0" w:color="1A1A1A"/>
              <w:insideH w:val="single" w:sz="6" w:space="0" w:color="1A1A1A"/>
              <w:insideV w:val="single" w:sz="6" w:space="0" w:color="1A1A1A"/>
            </w:tcBorders>
            <w:tcMar>
              <w:top w:w="90" w:type="dxa"/>
              <w:start w:w="110" w:type="dxa"/>
              <w:bottom w:w="90" w:type="dxa"/>
              <w:end w:w="110" w:type="dxa"/>
            </w:tcMar>
          </w:tcPr>
          <w:p>
            <w:r>
              <w:rPr>
                <w:b/>
                <w:color w:val="FFFFFF"/>
                <w:sz w:val="14"/>
              </w:rPr>
              <w:t>ASSET</w:t>
            </w:r>
          </w:p>
        </w:tc>
        <w:tc>
          <w:tcPr>
            <w:tcW w:type="dxa" w:w="2541"/>
            <w:shd w:fill="1A1A1A"/>
            <w:tcBorders>
              <w:top w:val="single" w:sz="6" w:space="0" w:color="1A1A1A"/>
              <w:left w:val="single" w:sz="6" w:space="0" w:color="1A1A1A"/>
              <w:bottom w:val="single" w:sz="6" w:space="0" w:color="1A1A1A"/>
              <w:right w:val="single" w:sz="6" w:space="0" w:color="1A1A1A"/>
              <w:insideH w:val="single" w:sz="6" w:space="0" w:color="1A1A1A"/>
              <w:insideV w:val="single" w:sz="6" w:space="0" w:color="1A1A1A"/>
            </w:tcBorders>
            <w:tcMar>
              <w:top w:w="90" w:type="dxa"/>
              <w:start w:w="110" w:type="dxa"/>
              <w:bottom w:w="90" w:type="dxa"/>
              <w:end w:w="110" w:type="dxa"/>
            </w:tcMar>
          </w:tcPr>
          <w:p>
            <w:r>
              <w:rPr>
                <w:b/>
                <w:color w:val="FFFFFF"/>
                <w:sz w:val="14"/>
              </w:rPr>
              <w:t>CURRENT TRUTH</w:t>
            </w:r>
          </w:p>
        </w:tc>
        <w:tc>
          <w:tcPr>
            <w:tcW w:type="dxa" w:w="2541"/>
            <w:shd w:fill="1A1A1A"/>
            <w:tcBorders>
              <w:top w:val="single" w:sz="6" w:space="0" w:color="1A1A1A"/>
              <w:left w:val="single" w:sz="6" w:space="0" w:color="1A1A1A"/>
              <w:bottom w:val="single" w:sz="6" w:space="0" w:color="1A1A1A"/>
              <w:right w:val="single" w:sz="6" w:space="0" w:color="1A1A1A"/>
              <w:insideH w:val="single" w:sz="6" w:space="0" w:color="1A1A1A"/>
              <w:insideV w:val="single" w:sz="6" w:space="0" w:color="1A1A1A"/>
            </w:tcBorders>
            <w:tcMar>
              <w:top w:w="90" w:type="dxa"/>
              <w:start w:w="110" w:type="dxa"/>
              <w:bottom w:w="90" w:type="dxa"/>
              <w:end w:w="110" w:type="dxa"/>
            </w:tcMar>
          </w:tcPr>
          <w:p>
            <w:r>
              <w:rPr>
                <w:b/>
                <w:color w:val="FFFFFF"/>
                <w:sz w:val="14"/>
              </w:rPr>
              <w:t>EXTERNAL LANGUAGE</w:t>
            </w:r>
          </w:p>
        </w:tc>
      </w:tr>
      <w:tr>
        <w:trPr>
          <w:trHeight w:hRule="atLeast"/>
          <w:cantSplit/>
        </w:trPr>
        <w:tc>
          <w:tcPr>
            <w:tcW w:type="dxa" w:w="15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shd w:fill="F7F3EE"/>
          </w:tcPr>
          <w:p>
            <w:r>
              <w:rPr>
                <w:b/>
                <w:color w:val="24415F"/>
                <w:sz w:val="14"/>
              </w:rPr>
              <w:t>VERIFIED BUILD</w:t>
            </w:r>
          </w:p>
        </w:tc>
        <w:tc>
          <w:tcPr>
            <w:tcW w:type="dxa" w:w="252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Deterministic matching core</w:t>
            </w:r>
          </w:p>
        </w:tc>
        <w:tc>
          <w:tcPr>
            <w:tcW w:type="dxa" w:w="489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Phase 1 baseline anchored at cb35904; 47 canonical resource records; matching/evidence/drift test suites reported green.</w:t>
            </w:r>
          </w:p>
        </w:tc>
        <w:tc>
          <w:tcPr>
            <w:tcW w:type="dxa" w:w="20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May describe as built and tested.</w:t>
            </w:r>
          </w:p>
        </w:tc>
      </w:tr>
      <w:tr>
        <w:trPr>
          <w:trHeight w:hRule="atLeast"/>
          <w:cantSplit/>
        </w:trPr>
        <w:tc>
          <w:tcPr>
            <w:tcW w:type="dxa" w:w="15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shd w:fill="F7F3EE"/>
          </w:tcPr>
          <w:p>
            <w:r>
              <w:rPr>
                <w:b/>
                <w:color w:val="24415F"/>
                <w:sz w:val="14"/>
              </w:rPr>
              <w:t>VERIFIED BUILD</w:t>
            </w:r>
          </w:p>
        </w:tc>
        <w:tc>
          <w:tcPr>
            <w:tcW w:type="dxa" w:w="252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Phase 2A survivor intake/results vertical slice</w:t>
            </w:r>
          </w:p>
        </w:tc>
        <w:tc>
          <w:tcPr>
            <w:tcW w:type="dxa" w:w="489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Problem-first intake connects to canonical matcher; progressive questions; explainable result tiers; in-memory handling; runtime reported clean.</w:t>
            </w:r>
          </w:p>
        </w:tc>
        <w:tc>
          <w:tcPr>
            <w:tcW w:type="dxa" w:w="20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May demo as prototype/current build. Do not call production-scale service.</w:t>
            </w:r>
          </w:p>
        </w:tc>
      </w:tr>
      <w:tr>
        <w:trPr>
          <w:trHeight w:hRule="atLeast"/>
          <w:cantSplit/>
        </w:trPr>
        <w:tc>
          <w:tcPr>
            <w:tcW w:type="dxa" w:w="15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shd w:fill="F7F3EE"/>
          </w:tcPr>
          <w:p>
            <w:r>
              <w:rPr>
                <w:b/>
                <w:color w:val="24415F"/>
                <w:sz w:val="14"/>
              </w:rPr>
              <w:t>VERIFIED BUILD</w:t>
            </w:r>
          </w:p>
        </w:tc>
        <w:tc>
          <w:tcPr>
            <w:tcW w:type="dxa" w:w="252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Resource/evidence quality controls</w:t>
            </w:r>
          </w:p>
        </w:tc>
        <w:tc>
          <w:tcPr>
            <w:tcW w:type="dxa" w:w="489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Authoritative-claim verification, duplicate/import audits, drift guards, TypeScript/build checks reported passing.</w:t>
            </w:r>
          </w:p>
        </w:tc>
        <w:tc>
          <w:tcPr>
            <w:tcW w:type="dxa" w:w="20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May use as technical rigor proof.</w:t>
            </w:r>
          </w:p>
        </w:tc>
      </w:tr>
      <w:tr>
        <w:trPr>
          <w:trHeight w:hRule="atLeast"/>
          <w:cantSplit/>
        </w:trPr>
        <w:tc>
          <w:tcPr>
            <w:tcW w:type="dxa" w:w="15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shd w:fill="F7F3EE"/>
          </w:tcPr>
          <w:p>
            <w:r>
              <w:rPr>
                <w:b/>
                <w:color w:val="A5651A"/>
                <w:sz w:val="14"/>
              </w:rPr>
              <w:t>PLANNED</w:t>
            </w:r>
          </w:p>
        </w:tc>
        <w:tc>
          <w:tcPr>
            <w:tcW w:type="dxa" w:w="252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Full Organizer / Originals Vault</w:t>
            </w:r>
          </w:p>
        </w:tc>
        <w:tc>
          <w:tcPr>
            <w:tcW w:type="dxa" w:w="489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Proposed secure vault, metadata/integrity provenance, broader document ingestion and selective export.</w:t>
            </w:r>
          </w:p>
        </w:tc>
        <w:tc>
          <w:tcPr>
            <w:tcW w:type="dxa" w:w="20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Do not imply production-ready vault exists.</w:t>
            </w:r>
          </w:p>
        </w:tc>
      </w:tr>
      <w:tr>
        <w:trPr>
          <w:trHeight w:hRule="atLeast"/>
          <w:cantSplit/>
        </w:trPr>
        <w:tc>
          <w:tcPr>
            <w:tcW w:type="dxa" w:w="15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shd w:fill="F7F3EE"/>
          </w:tcPr>
          <w:p>
            <w:r>
              <w:rPr>
                <w:b/>
                <w:color w:val="A5651A"/>
                <w:sz w:val="14"/>
              </w:rPr>
              <w:t>PLANNED</w:t>
            </w:r>
          </w:p>
        </w:tc>
        <w:tc>
          <w:tcPr>
            <w:tcW w:type="dxa" w:w="252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Live Bridge navigation</w:t>
            </w:r>
          </w:p>
        </w:tc>
        <w:tc>
          <w:tcPr>
            <w:tcW w:type="dxa" w:w="489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Human continuity navigation across agencies and jurisdictions.</w:t>
            </w:r>
          </w:p>
        </w:tc>
        <w:tc>
          <w:tcPr>
            <w:tcW w:type="dxa" w:w="20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Requires sponsor, operating manual, partners, staffing, safety controls.</w:t>
            </w:r>
          </w:p>
        </w:tc>
      </w:tr>
      <w:tr>
        <w:trPr>
          <w:trHeight w:hRule="atLeast"/>
          <w:cantSplit/>
        </w:trPr>
        <w:tc>
          <w:tcPr>
            <w:tcW w:type="dxa" w:w="15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shd w:fill="F7F3EE"/>
          </w:tcPr>
          <w:p>
            <w:r>
              <w:rPr>
                <w:b/>
                <w:color w:val="A5651A"/>
                <w:sz w:val="14"/>
              </w:rPr>
              <w:t>PLANNED</w:t>
            </w:r>
          </w:p>
        </w:tc>
        <w:tc>
          <w:tcPr>
            <w:tcW w:type="dxa" w:w="252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Institutional Continuity Receipt adoption</w:t>
            </w:r>
          </w:p>
        </w:tc>
        <w:tc>
          <w:tcPr>
            <w:tcW w:type="dxa" w:w="489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Partner organizations use or recognize the receipt.</w:t>
            </w:r>
          </w:p>
        </w:tc>
        <w:tc>
          <w:tcPr>
            <w:tcW w:type="dxa" w:w="20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No adoption claim until actual pilot agreements/usage exist.</w:t>
            </w:r>
          </w:p>
        </w:tc>
      </w:tr>
      <w:tr>
        <w:trPr>
          <w:trHeight w:hRule="atLeast"/>
          <w:cantSplit/>
        </w:trPr>
        <w:tc>
          <w:tcPr>
            <w:tcW w:type="dxa" w:w="15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shd w:fill="F7F3EE"/>
          </w:tcPr>
          <w:p>
            <w:r>
              <w:rPr>
                <w:b/>
                <w:color w:val="A5651A"/>
                <w:sz w:val="14"/>
              </w:rPr>
              <w:t>PLANNED</w:t>
            </w:r>
          </w:p>
        </w:tc>
        <w:tc>
          <w:tcPr>
            <w:tcW w:type="dxa" w:w="252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Gap Fund deployment</w:t>
            </w:r>
          </w:p>
        </w:tc>
        <w:tc>
          <w:tcPr>
            <w:tcW w:type="dxa" w:w="489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$10,000 pilot direct-assistance pool.</w:t>
            </w:r>
          </w:p>
        </w:tc>
        <w:tc>
          <w:tcPr>
            <w:tcW w:type="dxa" w:w="20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Not funded or operational until sponsor/funds/controls are active.</w:t>
            </w:r>
          </w:p>
        </w:tc>
      </w:tr>
      <w:tr>
        <w:trPr>
          <w:trHeight w:hRule="atLeast"/>
          <w:cantSplit/>
        </w:trPr>
        <w:tc>
          <w:tcPr>
            <w:tcW w:type="dxa" w:w="15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shd w:fill="F7F3EE"/>
          </w:tcPr>
          <w:p>
            <w:r>
              <w:rPr>
                <w:b/>
                <w:color w:val="A5651A"/>
                <w:sz w:val="14"/>
              </w:rPr>
              <w:t>PLANNED</w:t>
            </w:r>
          </w:p>
        </w:tc>
        <w:tc>
          <w:tcPr>
            <w:tcW w:type="dxa" w:w="252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90-day, ~25-participant live pilot</w:t>
            </w:r>
          </w:p>
        </w:tc>
        <w:tc>
          <w:tcPr>
            <w:tcW w:type="dxa" w:w="489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Controlled Central Texas partner referrals.</w:t>
            </w:r>
          </w:p>
        </w:tc>
        <w:tc>
          <w:tcPr>
            <w:tcW w:type="dxa" w:w="20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No outcome/impact claims before completion.</w:t>
            </w:r>
          </w:p>
        </w:tc>
      </w:tr>
      <w:tr>
        <w:trPr>
          <w:trHeight w:hRule="atLeast"/>
          <w:cantSplit/>
        </w:trPr>
        <w:tc>
          <w:tcPr>
            <w:tcW w:type="dxa" w:w="15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shd w:fill="F7F3EE"/>
          </w:tcPr>
          <w:p>
            <w:r>
              <w:rPr>
                <w:b/>
                <w:color w:val="8E2F2F"/>
                <w:sz w:val="14"/>
              </w:rPr>
              <w:t>OPEN</w:t>
            </w:r>
          </w:p>
        </w:tc>
        <w:tc>
          <w:tcPr>
            <w:tcW w:type="dxa" w:w="252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Phase 2A repository/deployment status</w:t>
            </w:r>
          </w:p>
        </w:tc>
        <w:tc>
          <w:tcPr>
            <w:tcW w:type="dxa" w:w="489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Most recent audit record located describes work as local/uncommitted at that point, although runtime was functioning.</w:t>
            </w:r>
          </w:p>
        </w:tc>
        <w:tc>
          <w:tcPr>
            <w:tcW w:type="dxa" w:w="20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Confirm current commit/deploy URL before external technical claims.</w:t>
            </w:r>
          </w:p>
        </w:tc>
      </w:tr>
    </w:tbl>
    <w:p>
      <w:pPr>
        <w:pStyle w:val="Heading1"/>
      </w:pPr>
      <w:r>
        <w:t>5. Canonical Founding Pilot</w:t>
      </w:r>
    </w:p>
    <w:tbl>
      <w:tblPr>
        <w:tblW w:type="auto" w:w="0"/>
        <w:jc w:val="center"/>
        <w:tblLayout w:type="fixed"/>
        <w:tblLook w:firstColumn="1" w:firstRow="1" w:lastColumn="0" w:lastRow="0" w:noHBand="0" w:noVBand="1" w:val="04A0"/>
      </w:tblPr>
      <w:tblGrid>
        <w:gridCol w:w="10166"/>
      </w:tblGrid>
      <w:tr>
        <w:trPr>
          <w:trHeight w:hRule="atLeast"/>
          <w:cantSplit/>
        </w:trPr>
        <w:tc>
          <w:tcPr>
            <w:tcW w:type="dxa" w:w="10166"/>
            <w:shd w:fill="F2EDE4"/>
            <w:tcBorders>
              <w:top w:val="single" w:sz="8" w:space="0" w:color="7A1E1E"/>
              <w:left w:val="single" w:sz="8" w:space="0" w:color="7A1E1E"/>
              <w:bottom w:val="single" w:sz="8" w:space="0" w:color="7A1E1E"/>
              <w:right w:val="single" w:sz="8" w:space="0" w:color="7A1E1E"/>
              <w:insideH w:val="single" w:sz="8" w:space="0" w:color="7A1E1E"/>
              <w:insideV w:val="single" w:sz="8" w:space="0" w:color="7A1E1E"/>
            </w:tcBorders>
            <w:tcMar>
              <w:top w:w="130" w:type="dxa"/>
              <w:start w:w="160" w:type="dxa"/>
              <w:bottom w:w="130" w:type="dxa"/>
              <w:end w:w="160" w:type="dxa"/>
            </w:tcMar>
          </w:tcPr>
          <w:p>
            <w:r>
              <w:rPr>
                <w:rFonts w:ascii="Aptos" w:hAnsi="Aptos"/>
                <w:b/>
                <w:i w:val="0"/>
                <w:color w:val="7A1E1E"/>
                <w:sz w:val="16"/>
              </w:rPr>
              <w:t>LOCKED PILOT</w:t>
            </w:r>
          </w:p>
          <w:p>
            <w:r>
              <w:rPr>
                <w:rFonts w:ascii="Aptos" w:hAnsi="Aptos"/>
                <w:b/>
                <w:i w:val="0"/>
                <w:color w:val="1A1A1A"/>
                <w:sz w:val="21"/>
              </w:rPr>
              <w:t>Six-month founding runway • 90-day live Central Texas pilot • approximately 25 participants • controlled partner referrals • first raise: $100,000</w:t>
            </w:r>
          </w:p>
        </w:tc>
      </w:tr>
    </w:tbl>
    <w:p>
      <w:r>
        <w:rPr>
          <w:rFonts w:ascii="Aptos" w:hAnsi="Aptos"/>
          <w:b/>
          <w:i w:val="0"/>
          <w:color w:val="7A1E1E"/>
          <w:sz w:val="20"/>
        </w:rPr>
        <w:t>Pilot question</w:t>
      </w:r>
    </w:p>
    <w:p>
      <w:r>
        <w:rPr>
          <w:rFonts w:ascii="Aptos" w:hAnsi="Aptos"/>
          <w:b w:val="0"/>
          <w:i w:val="0"/>
          <w:color w:val="1A1A1A"/>
        </w:rPr>
        <w:t>Can a minimal documented footprint at every door, combined with independent continuity, help people reach the next responsible system without rebuilding their story from zero?</w:t>
      </w:r>
    </w:p>
    <w:p>
      <w:pPr>
        <w:spacing w:after="46"/>
        <w:ind w:left="259"/>
      </w:pPr>
      <w:r>
        <w:rPr>
          <w:rFonts w:ascii="Aptos" w:hAnsi="Aptos"/>
          <w:b/>
          <w:i w:val="0"/>
          <w:color w:val="7A1E1E"/>
          <w:sz w:val="16"/>
        </w:rPr>
        <w:t xml:space="preserve">01  </w:t>
      </w:r>
      <w:r>
        <w:rPr>
          <w:rFonts w:ascii="Aptos" w:hAnsi="Aptos"/>
          <w:b w:val="0"/>
          <w:i w:val="0"/>
          <w:color w:val="1A1A1A"/>
          <w:sz w:val="18"/>
        </w:rPr>
        <w:t>Referral / intake</w:t>
      </w:r>
    </w:p>
    <w:p>
      <w:pPr>
        <w:spacing w:after="46"/>
        <w:ind w:left="259"/>
      </w:pPr>
      <w:r>
        <w:rPr>
          <w:rFonts w:ascii="Aptos" w:hAnsi="Aptos"/>
          <w:b/>
          <w:i w:val="0"/>
          <w:color w:val="7A1E1E"/>
          <w:sz w:val="16"/>
        </w:rPr>
        <w:t xml:space="preserve">02  </w:t>
      </w:r>
      <w:r>
        <w:rPr>
          <w:rFonts w:ascii="Aptos" w:hAnsi="Aptos"/>
          <w:b w:val="0"/>
          <w:i w:val="0"/>
          <w:color w:val="1A1A1A"/>
          <w:sz w:val="18"/>
        </w:rPr>
        <w:t>Safety + privacy assessment</w:t>
      </w:r>
    </w:p>
    <w:p>
      <w:pPr>
        <w:spacing w:after="46"/>
        <w:ind w:left="259"/>
      </w:pPr>
      <w:r>
        <w:rPr>
          <w:rFonts w:ascii="Aptos" w:hAnsi="Aptos"/>
          <w:b/>
          <w:i w:val="0"/>
          <w:color w:val="7A1E1E"/>
          <w:sz w:val="16"/>
        </w:rPr>
        <w:t xml:space="preserve">03  </w:t>
      </w:r>
      <w:r>
        <w:rPr>
          <w:rFonts w:ascii="Aptos" w:hAnsi="Aptos"/>
          <w:b w:val="0"/>
          <w:i w:val="0"/>
          <w:color w:val="1A1A1A"/>
          <w:sz w:val="18"/>
        </w:rPr>
        <w:t>Organizer intake / continuity record</w:t>
      </w:r>
    </w:p>
    <w:p>
      <w:pPr>
        <w:spacing w:after="46"/>
        <w:ind w:left="259"/>
      </w:pPr>
      <w:r>
        <w:rPr>
          <w:rFonts w:ascii="Aptos" w:hAnsi="Aptos"/>
          <w:b/>
          <w:i w:val="0"/>
          <w:color w:val="7A1E1E"/>
          <w:sz w:val="16"/>
        </w:rPr>
        <w:t xml:space="preserve">04  </w:t>
      </w:r>
      <w:r>
        <w:rPr>
          <w:rFonts w:ascii="Aptos" w:hAnsi="Aptos"/>
          <w:b w:val="0"/>
          <w:i w:val="0"/>
          <w:color w:val="1A1A1A"/>
          <w:sz w:val="18"/>
        </w:rPr>
        <w:t>Needs + context map</w:t>
      </w:r>
    </w:p>
    <w:p>
      <w:pPr>
        <w:spacing w:after="46"/>
        <w:ind w:left="259"/>
      </w:pPr>
      <w:r>
        <w:rPr>
          <w:rFonts w:ascii="Aptos" w:hAnsi="Aptos"/>
          <w:b/>
          <w:i w:val="0"/>
          <w:color w:val="7A1E1E"/>
          <w:sz w:val="16"/>
        </w:rPr>
        <w:t xml:space="preserve">05  </w:t>
      </w:r>
      <w:r>
        <w:rPr>
          <w:rFonts w:ascii="Aptos" w:hAnsi="Aptos"/>
          <w:b w:val="0"/>
          <w:i w:val="0"/>
          <w:color w:val="1A1A1A"/>
          <w:sz w:val="18"/>
        </w:rPr>
        <w:t>Jurisdiction / authority map</w:t>
      </w:r>
    </w:p>
    <w:p>
      <w:pPr>
        <w:spacing w:after="46"/>
        <w:ind w:left="259"/>
      </w:pPr>
      <w:r>
        <w:rPr>
          <w:rFonts w:ascii="Aptos" w:hAnsi="Aptos"/>
          <w:b/>
          <w:i w:val="0"/>
          <w:color w:val="7A1E1E"/>
          <w:sz w:val="16"/>
        </w:rPr>
        <w:t xml:space="preserve">06  </w:t>
      </w:r>
      <w:r>
        <w:rPr>
          <w:rFonts w:ascii="Aptos" w:hAnsi="Aptos"/>
          <w:b w:val="0"/>
          <w:i w:val="0"/>
          <w:color w:val="1A1A1A"/>
          <w:sz w:val="18"/>
        </w:rPr>
        <w:t>Resource Graph research</w:t>
      </w:r>
    </w:p>
    <w:p>
      <w:pPr>
        <w:spacing w:after="46"/>
        <w:ind w:left="259"/>
      </w:pPr>
      <w:r>
        <w:rPr>
          <w:rFonts w:ascii="Aptos" w:hAnsi="Aptos"/>
          <w:b/>
          <w:i w:val="0"/>
          <w:color w:val="7A1E1E"/>
          <w:sz w:val="16"/>
        </w:rPr>
        <w:t xml:space="preserve">07  </w:t>
      </w:r>
      <w:r>
        <w:rPr>
          <w:rFonts w:ascii="Aptos" w:hAnsi="Aptos"/>
          <w:b w:val="0"/>
          <w:i w:val="0"/>
          <w:color w:val="1A1A1A"/>
          <w:sz w:val="18"/>
        </w:rPr>
        <w:t>Bridge handoff</w:t>
      </w:r>
    </w:p>
    <w:p>
      <w:pPr>
        <w:spacing w:after="46"/>
        <w:ind w:left="259"/>
      </w:pPr>
      <w:r>
        <w:rPr>
          <w:rFonts w:ascii="Aptos" w:hAnsi="Aptos"/>
          <w:b/>
          <w:i w:val="0"/>
          <w:color w:val="7A1E1E"/>
          <w:sz w:val="16"/>
        </w:rPr>
        <w:t xml:space="preserve">08  </w:t>
      </w:r>
      <w:r>
        <w:rPr>
          <w:rFonts w:ascii="Aptos" w:hAnsi="Aptos"/>
          <w:b w:val="0"/>
          <w:i w:val="0"/>
          <w:color w:val="1A1A1A"/>
          <w:sz w:val="18"/>
        </w:rPr>
        <w:t>Continuity Receipt / accept / decline / reroute recorded</w:t>
      </w:r>
    </w:p>
    <w:p>
      <w:pPr>
        <w:spacing w:after="46"/>
        <w:ind w:left="259"/>
      </w:pPr>
      <w:r>
        <w:rPr>
          <w:rFonts w:ascii="Aptos" w:hAnsi="Aptos"/>
          <w:b/>
          <w:i w:val="0"/>
          <w:color w:val="7A1E1E"/>
          <w:sz w:val="16"/>
        </w:rPr>
        <w:t xml:space="preserve">09  </w:t>
      </w:r>
      <w:r>
        <w:rPr>
          <w:rFonts w:ascii="Aptos" w:hAnsi="Aptos"/>
          <w:b w:val="0"/>
          <w:i w:val="0"/>
          <w:color w:val="1A1A1A"/>
          <w:sz w:val="18"/>
        </w:rPr>
        <w:t>Gap Fund when appropriate</w:t>
      </w:r>
    </w:p>
    <w:p>
      <w:pPr>
        <w:spacing w:after="46"/>
        <w:ind w:left="259"/>
      </w:pPr>
      <w:r>
        <w:rPr>
          <w:rFonts w:ascii="Aptos" w:hAnsi="Aptos"/>
          <w:b/>
          <w:i w:val="0"/>
          <w:color w:val="7A1E1E"/>
          <w:sz w:val="16"/>
        </w:rPr>
        <w:t xml:space="preserve">10  </w:t>
      </w:r>
      <w:r>
        <w:rPr>
          <w:rFonts w:ascii="Aptos" w:hAnsi="Aptos"/>
          <w:b w:val="0"/>
          <w:i w:val="0"/>
          <w:color w:val="1A1A1A"/>
          <w:sz w:val="18"/>
        </w:rPr>
        <w:t>Outcome + next action</w:t>
      </w:r>
    </w:p>
    <w:p>
      <w:pPr>
        <w:pStyle w:val="Heading2"/>
      </w:pPr>
      <w:r>
        <w:t>What Success Means at Six Months</w:t>
      </w:r>
    </w:p>
    <w:tbl>
      <w:tblPr>
        <w:tblW w:type="auto" w:w="0"/>
        <w:jc w:val="center"/>
        <w:tblLayout w:type="fixed"/>
        <w:tblLook w:firstColumn="1" w:firstRow="1" w:lastColumn="0" w:lastRow="0" w:noHBand="0" w:noVBand="1" w:val="04A0"/>
      </w:tblPr>
      <w:tblGrid>
        <w:gridCol w:w="2592"/>
        <w:gridCol w:w="7200"/>
      </w:tblGrid>
      <w:tr>
        <w:trPr>
          <w:trHeight w:hRule="atLeast"/>
          <w:tblHeader w:val="true"/>
          <w:cantSplit/>
        </w:trPr>
        <w:tc>
          <w:tcPr>
            <w:tcW w:type="dxa" w:w="5083"/>
            <w:shd w:fill="7A1E1E"/>
            <w:tcBorders>
              <w:top w:val="single" w:sz="6" w:space="0" w:color="7A1E1E"/>
              <w:left w:val="single" w:sz="6" w:space="0" w:color="7A1E1E"/>
              <w:bottom w:val="single" w:sz="6" w:space="0" w:color="7A1E1E"/>
              <w:right w:val="single" w:sz="6" w:space="0" w:color="7A1E1E"/>
              <w:insideH w:val="single" w:sz="6" w:space="0" w:color="7A1E1E"/>
              <w:insideV w:val="single" w:sz="6" w:space="0" w:color="7A1E1E"/>
            </w:tcBorders>
            <w:tcMar>
              <w:top w:w="90" w:type="dxa"/>
              <w:start w:w="110" w:type="dxa"/>
              <w:bottom w:w="90" w:type="dxa"/>
              <w:end w:w="110" w:type="dxa"/>
            </w:tcMar>
          </w:tcPr>
          <w:p>
            <w:r>
              <w:rPr>
                <w:b/>
                <w:color w:val="FFFFFF"/>
                <w:sz w:val="16"/>
              </w:rPr>
              <w:t>MEASURE</w:t>
            </w:r>
          </w:p>
        </w:tc>
        <w:tc>
          <w:tcPr>
            <w:tcW w:type="dxa" w:w="5083"/>
            <w:shd w:fill="7A1E1E"/>
            <w:tcBorders>
              <w:top w:val="single" w:sz="6" w:space="0" w:color="7A1E1E"/>
              <w:left w:val="single" w:sz="6" w:space="0" w:color="7A1E1E"/>
              <w:bottom w:val="single" w:sz="6" w:space="0" w:color="7A1E1E"/>
              <w:right w:val="single" w:sz="6" w:space="0" w:color="7A1E1E"/>
              <w:insideH w:val="single" w:sz="6" w:space="0" w:color="7A1E1E"/>
              <w:insideV w:val="single" w:sz="6" w:space="0" w:color="7A1E1E"/>
            </w:tcBorders>
            <w:tcMar>
              <w:top w:w="90" w:type="dxa"/>
              <w:start w:w="110" w:type="dxa"/>
              <w:bottom w:w="90" w:type="dxa"/>
              <w:end w:w="110" w:type="dxa"/>
            </w:tcMar>
          </w:tcPr>
          <w:p>
            <w:r>
              <w:rPr>
                <w:b/>
                <w:color w:val="FFFFFF"/>
                <w:sz w:val="16"/>
              </w:rPr>
              <w:t>WHAT IT TELLS US</w:t>
            </w:r>
          </w:p>
        </w:tc>
      </w:tr>
      <w:tr>
        <w:trPr>
          <w:trHeight w:hRule="atLeast"/>
          <w:cantSplit/>
        </w:trPr>
        <w:tc>
          <w:tcPr>
            <w:tcW w:type="dxa" w:w="259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1A1A1A"/>
                <w:sz w:val="15"/>
              </w:rPr>
              <w:t>Retelling burden</w:t>
            </w:r>
          </w:p>
        </w:tc>
        <w:tc>
          <w:tcPr>
            <w:tcW w:type="dxa" w:w="72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5"/>
              </w:rPr>
              <w:t>How many substantial retellings participants experienced before useful action.</w:t>
            </w:r>
          </w:p>
        </w:tc>
      </w:tr>
      <w:tr>
        <w:trPr>
          <w:trHeight w:hRule="atLeast"/>
          <w:cantSplit/>
        </w:trPr>
        <w:tc>
          <w:tcPr>
            <w:tcW w:type="dxa" w:w="259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1A1A1A"/>
                <w:sz w:val="15"/>
              </w:rPr>
              <w:t>Referral loops</w:t>
            </w:r>
          </w:p>
        </w:tc>
        <w:tc>
          <w:tcPr>
            <w:tcW w:type="dxa" w:w="72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5"/>
              </w:rPr>
              <w:t>A→B→A returns, duplicate referrals, referrals to already-exhausted routes.</w:t>
            </w:r>
          </w:p>
        </w:tc>
      </w:tr>
      <w:tr>
        <w:trPr>
          <w:trHeight w:hRule="atLeast"/>
          <w:cantSplit/>
        </w:trPr>
        <w:tc>
          <w:tcPr>
            <w:tcW w:type="dxa" w:w="259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1A1A1A"/>
                <w:sz w:val="15"/>
              </w:rPr>
              <w:t>Information continuity</w:t>
            </w:r>
          </w:p>
        </w:tc>
        <w:tc>
          <w:tcPr>
            <w:tcW w:type="dxa" w:w="72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5"/>
              </w:rPr>
              <w:t>Whether the next organization had usable prior-contact context and reference identifiers.</w:t>
            </w:r>
          </w:p>
        </w:tc>
      </w:tr>
      <w:tr>
        <w:trPr>
          <w:trHeight w:hRule="atLeast"/>
          <w:cantSplit/>
        </w:trPr>
        <w:tc>
          <w:tcPr>
            <w:tcW w:type="dxa" w:w="259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1A1A1A"/>
                <w:sz w:val="15"/>
              </w:rPr>
              <w:t>Institutional footprint</w:t>
            </w:r>
          </w:p>
        </w:tc>
        <w:tc>
          <w:tcPr>
            <w:tcW w:type="dxa" w:w="72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5"/>
              </w:rPr>
              <w:t>Traceable names/IDs, report numbers, documented dispositions, confirmable touchpoints.</w:t>
            </w:r>
          </w:p>
        </w:tc>
      </w:tr>
      <w:tr>
        <w:trPr>
          <w:trHeight w:hRule="atLeast"/>
          <w:cantSplit/>
        </w:trPr>
        <w:tc>
          <w:tcPr>
            <w:tcW w:type="dxa" w:w="259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1A1A1A"/>
                <w:sz w:val="15"/>
              </w:rPr>
              <w:t>Handoff outcomes</w:t>
            </w:r>
          </w:p>
        </w:tc>
        <w:tc>
          <w:tcPr>
            <w:tcW w:type="dxa" w:w="72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5"/>
              </w:rPr>
              <w:t>Acknowledged, accepted, declined, rerouted, unresolved.</w:t>
            </w:r>
          </w:p>
        </w:tc>
      </w:tr>
      <w:tr>
        <w:trPr>
          <w:trHeight w:hRule="atLeast"/>
          <w:cantSplit/>
        </w:trPr>
        <w:tc>
          <w:tcPr>
            <w:tcW w:type="dxa" w:w="259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1A1A1A"/>
                <w:sz w:val="15"/>
              </w:rPr>
              <w:t>Information gain</w:t>
            </w:r>
          </w:p>
        </w:tc>
        <w:tc>
          <w:tcPr>
            <w:tcW w:type="dxa" w:w="72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5"/>
              </w:rPr>
              <w:t>Routes neither participant nor referring advocate knew about.</w:t>
            </w:r>
          </w:p>
        </w:tc>
      </w:tr>
      <w:tr>
        <w:trPr>
          <w:trHeight w:hRule="atLeast"/>
          <w:cantSplit/>
        </w:trPr>
        <w:tc>
          <w:tcPr>
            <w:tcW w:type="dxa" w:w="259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1A1A1A"/>
                <w:sz w:val="15"/>
              </w:rPr>
              <w:t>Time to useful assistance</w:t>
            </w:r>
          </w:p>
        </w:tc>
        <w:tc>
          <w:tcPr>
            <w:tcW w:type="dxa" w:w="72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5"/>
              </w:rPr>
              <w:t>Time from Bridge intake to first tangible relevant help.</w:t>
            </w:r>
          </w:p>
        </w:tc>
      </w:tr>
      <w:tr>
        <w:trPr>
          <w:trHeight w:hRule="atLeast"/>
          <w:cantSplit/>
        </w:trPr>
        <w:tc>
          <w:tcPr>
            <w:tcW w:type="dxa" w:w="259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1A1A1A"/>
                <w:sz w:val="15"/>
              </w:rPr>
              <w:t>Gap Fund impact</w:t>
            </w:r>
          </w:p>
        </w:tc>
        <w:tc>
          <w:tcPr>
            <w:tcW w:type="dxa" w:w="72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5"/>
              </w:rPr>
              <w:t>Barrier type, amount, and whether resolution enabled a next step.</w:t>
            </w:r>
          </w:p>
        </w:tc>
      </w:tr>
      <w:tr>
        <w:trPr>
          <w:trHeight w:hRule="atLeast"/>
          <w:cantSplit/>
        </w:trPr>
        <w:tc>
          <w:tcPr>
            <w:tcW w:type="dxa" w:w="259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1A1A1A"/>
                <w:sz w:val="15"/>
              </w:rPr>
              <w:t>Advocate utility</w:t>
            </w:r>
          </w:p>
        </w:tc>
        <w:tc>
          <w:tcPr>
            <w:tcW w:type="dxa" w:w="72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5"/>
              </w:rPr>
              <w:t>Whether organized context/resource intelligence saved time or improved referrals.</w:t>
            </w:r>
          </w:p>
        </w:tc>
      </w:tr>
      <w:tr>
        <w:trPr>
          <w:trHeight w:hRule="atLeast"/>
          <w:cantSplit/>
        </w:trPr>
        <w:tc>
          <w:tcPr>
            <w:tcW w:type="dxa" w:w="259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1A1A1A"/>
                <w:sz w:val="15"/>
              </w:rPr>
              <w:t>Systems intelligence</w:t>
            </w:r>
          </w:p>
        </w:tc>
        <w:tc>
          <w:tcPr>
            <w:tcW w:type="dxa" w:w="72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5"/>
              </w:rPr>
              <w:t>Recurring jurisdiction, information, resource, and ownership failures.</w:t>
            </w:r>
          </w:p>
        </w:tc>
      </w:tr>
    </w:tbl>
    <w:p>
      <w:pPr>
        <w:pStyle w:val="Heading1"/>
      </w:pPr>
      <w:r>
        <w:t>6. Canonical Funding Ask &amp; Budget</w:t>
      </w:r>
    </w:p>
    <w:p>
      <w:r>
        <w:rPr>
          <w:rFonts w:ascii="Aptos" w:hAnsi="Aptos"/>
          <w:b/>
          <w:i w:val="0"/>
          <w:color w:val="7A1E1E"/>
        </w:rPr>
        <w:t xml:space="preserve">LOCKED: </w:t>
      </w:r>
      <w:r>
        <w:rPr>
          <w:rFonts w:ascii="Aptos" w:hAnsi="Aptos"/>
          <w:b w:val="0"/>
          <w:i w:val="0"/>
          <w:color w:val="1A1A1A"/>
        </w:rPr>
        <w:t>The canonical first raise is $100,000. Use the Financial Proposal v2 allocation below. Older alternative allocation tables are superseded.</w:t>
      </w:r>
    </w:p>
    <w:tbl>
      <w:tblPr>
        <w:tblW w:type="auto" w:w="0"/>
        <w:jc w:val="center"/>
        <w:tblLayout w:type="fixed"/>
        <w:tblLook w:firstColumn="1" w:firstRow="1" w:lastColumn="0" w:lastRow="0" w:noHBand="0" w:noVBand="1" w:val="04A0"/>
      </w:tblPr>
      <w:tblGrid>
        <w:gridCol w:w="3384"/>
        <w:gridCol w:w="1512"/>
        <w:gridCol w:w="5400"/>
      </w:tblGrid>
      <w:tr>
        <w:trPr>
          <w:trHeight w:hRule="atLeast"/>
          <w:tblHeader w:val="true"/>
          <w:cantSplit/>
        </w:trPr>
        <w:tc>
          <w:tcPr>
            <w:tcW w:type="dxa" w:w="3389"/>
            <w:shd w:fill="1A1A1A"/>
            <w:tcBorders>
              <w:top w:val="single" w:sz="6" w:space="0" w:color="1A1A1A"/>
              <w:left w:val="single" w:sz="6" w:space="0" w:color="1A1A1A"/>
              <w:bottom w:val="single" w:sz="6" w:space="0" w:color="1A1A1A"/>
              <w:right w:val="single" w:sz="6" w:space="0" w:color="1A1A1A"/>
              <w:insideH w:val="single" w:sz="6" w:space="0" w:color="1A1A1A"/>
              <w:insideV w:val="single" w:sz="6" w:space="0" w:color="1A1A1A"/>
            </w:tcBorders>
            <w:tcMar>
              <w:top w:w="90" w:type="dxa"/>
              <w:start w:w="110" w:type="dxa"/>
              <w:bottom w:w="90" w:type="dxa"/>
              <w:end w:w="110" w:type="dxa"/>
            </w:tcMar>
          </w:tcPr>
          <w:p>
            <w:r>
              <w:rPr>
                <w:b/>
                <w:color w:val="FFFFFF"/>
                <w:sz w:val="16"/>
              </w:rPr>
              <w:t>LINE ITEM</w:t>
            </w:r>
          </w:p>
        </w:tc>
        <w:tc>
          <w:tcPr>
            <w:tcW w:type="dxa" w:w="3389"/>
            <w:shd w:fill="1A1A1A"/>
            <w:tcBorders>
              <w:top w:val="single" w:sz="6" w:space="0" w:color="1A1A1A"/>
              <w:left w:val="single" w:sz="6" w:space="0" w:color="1A1A1A"/>
              <w:bottom w:val="single" w:sz="6" w:space="0" w:color="1A1A1A"/>
              <w:right w:val="single" w:sz="6" w:space="0" w:color="1A1A1A"/>
              <w:insideH w:val="single" w:sz="6" w:space="0" w:color="1A1A1A"/>
              <w:insideV w:val="single" w:sz="6" w:space="0" w:color="1A1A1A"/>
            </w:tcBorders>
            <w:tcMar>
              <w:top w:w="90" w:type="dxa"/>
              <w:start w:w="110" w:type="dxa"/>
              <w:bottom w:w="90" w:type="dxa"/>
              <w:end w:w="110" w:type="dxa"/>
            </w:tcMar>
          </w:tcPr>
          <w:p>
            <w:r>
              <w:rPr>
                <w:b/>
                <w:color w:val="FFFFFF"/>
                <w:sz w:val="16"/>
              </w:rPr>
              <w:t>AMOUNT</w:t>
            </w:r>
          </w:p>
        </w:tc>
        <w:tc>
          <w:tcPr>
            <w:tcW w:type="dxa" w:w="3389"/>
            <w:shd w:fill="1A1A1A"/>
            <w:tcBorders>
              <w:top w:val="single" w:sz="6" w:space="0" w:color="1A1A1A"/>
              <w:left w:val="single" w:sz="6" w:space="0" w:color="1A1A1A"/>
              <w:bottom w:val="single" w:sz="6" w:space="0" w:color="1A1A1A"/>
              <w:right w:val="single" w:sz="6" w:space="0" w:color="1A1A1A"/>
              <w:insideH w:val="single" w:sz="6" w:space="0" w:color="1A1A1A"/>
              <w:insideV w:val="single" w:sz="6" w:space="0" w:color="1A1A1A"/>
            </w:tcBorders>
            <w:tcMar>
              <w:top w:w="90" w:type="dxa"/>
              <w:start w:w="110" w:type="dxa"/>
              <w:bottom w:w="90" w:type="dxa"/>
              <w:end w:w="110" w:type="dxa"/>
            </w:tcMar>
          </w:tcPr>
          <w:p>
            <w:r>
              <w:rPr>
                <w:b/>
                <w:color w:val="FFFFFF"/>
                <w:sz w:val="16"/>
              </w:rPr>
              <w:t>CANONICAL PURPOSE</w:t>
            </w:r>
          </w:p>
        </w:tc>
      </w:tr>
      <w:tr>
        <w:trPr>
          <w:trHeight w:hRule="atLeast"/>
          <w:cantSplit/>
        </w:trPr>
        <w:tc>
          <w:tcPr>
            <w:tcW w:type="dxa" w:w="338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sz w:val="15"/>
              </w:rPr>
              <w:t>Founder / Project Director</w:t>
            </w:r>
          </w:p>
        </w:tc>
        <w:tc>
          <w:tcPr>
            <w:tcW w:type="dxa" w:w="15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7A1E1E"/>
                <w:sz w:val="16"/>
              </w:rPr>
              <w:t>$36,000</w:t>
            </w:r>
          </w:p>
        </w:tc>
        <w:tc>
          <w:tcPr>
            <w:tcW w:type="dxa" w:w="54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5"/>
              </w:rPr>
              <w:t>Six months full-time leadership; $6,000 gross/month planning figure.</w:t>
            </w:r>
          </w:p>
        </w:tc>
      </w:tr>
      <w:tr>
        <w:trPr>
          <w:trHeight w:hRule="atLeast"/>
          <w:cantSplit/>
        </w:trPr>
        <w:tc>
          <w:tcPr>
            <w:tcW w:type="dxa" w:w="338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sz w:val="15"/>
              </w:rPr>
              <w:t>Employer payroll / benefits reserve</w:t>
            </w:r>
          </w:p>
        </w:tc>
        <w:tc>
          <w:tcPr>
            <w:tcW w:type="dxa" w:w="15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7A1E1E"/>
                <w:sz w:val="16"/>
              </w:rPr>
              <w:t>$5,000</w:t>
            </w:r>
          </w:p>
        </w:tc>
        <w:tc>
          <w:tcPr>
            <w:tcW w:type="dxa" w:w="54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5"/>
              </w:rPr>
              <w:t>Employer-side payroll, benefits, related employment costs.</w:t>
            </w:r>
          </w:p>
        </w:tc>
      </w:tr>
      <w:tr>
        <w:trPr>
          <w:trHeight w:hRule="atLeast"/>
          <w:cantSplit/>
        </w:trPr>
        <w:tc>
          <w:tcPr>
            <w:tcW w:type="dxa" w:w="338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sz w:val="15"/>
              </w:rPr>
              <w:t>Part-time survivor-services expertise</w:t>
            </w:r>
          </w:p>
        </w:tc>
        <w:tc>
          <w:tcPr>
            <w:tcW w:type="dxa" w:w="15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7A1E1E"/>
                <w:sz w:val="16"/>
              </w:rPr>
              <w:t>$8,000</w:t>
            </w:r>
          </w:p>
        </w:tc>
        <w:tc>
          <w:tcPr>
            <w:tcW w:type="dxa" w:w="54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5"/>
              </w:rPr>
              <w:t>Navigation support, survivor-services expertise, safety review, pilot consultation.</w:t>
            </w:r>
          </w:p>
        </w:tc>
      </w:tr>
      <w:tr>
        <w:trPr>
          <w:trHeight w:hRule="atLeast"/>
          <w:cantSplit/>
        </w:trPr>
        <w:tc>
          <w:tcPr>
            <w:tcW w:type="dxa" w:w="338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sz w:val="15"/>
              </w:rPr>
              <w:t>Fiscal sponsorship / administration</w:t>
            </w:r>
          </w:p>
        </w:tc>
        <w:tc>
          <w:tcPr>
            <w:tcW w:type="dxa" w:w="15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7A1E1E"/>
                <w:sz w:val="16"/>
              </w:rPr>
              <w:t>$8,000</w:t>
            </w:r>
          </w:p>
        </w:tc>
        <w:tc>
          <w:tcPr>
            <w:tcW w:type="dxa" w:w="54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5"/>
              </w:rPr>
              <w:t>Sponsor fee, accounting, charitable administration, payroll/HR, fiduciary oversight.</w:t>
            </w:r>
          </w:p>
        </w:tc>
      </w:tr>
      <w:tr>
        <w:trPr>
          <w:trHeight w:hRule="atLeast"/>
          <w:cantSplit/>
        </w:trPr>
        <w:tc>
          <w:tcPr>
            <w:tcW w:type="dxa" w:w="338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sz w:val="15"/>
              </w:rPr>
              <w:t>Organizer technology + security</w:t>
            </w:r>
          </w:p>
        </w:tc>
        <w:tc>
          <w:tcPr>
            <w:tcW w:type="dxa" w:w="15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7A1E1E"/>
                <w:sz w:val="16"/>
              </w:rPr>
              <w:t>$10,000</w:t>
            </w:r>
          </w:p>
        </w:tc>
        <w:tc>
          <w:tcPr>
            <w:tcW w:type="dxa" w:w="54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5"/>
              </w:rPr>
              <w:t>MVP development, infrastructure, hosting, privacy/security controls, technical tools.</w:t>
            </w:r>
          </w:p>
        </w:tc>
      </w:tr>
      <w:tr>
        <w:trPr>
          <w:trHeight w:hRule="atLeast"/>
          <w:cantSplit/>
        </w:trPr>
        <w:tc>
          <w:tcPr>
            <w:tcW w:type="dxa" w:w="338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sz w:val="15"/>
              </w:rPr>
              <w:t>Legal / privacy / insurance / compliance</w:t>
            </w:r>
          </w:p>
        </w:tc>
        <w:tc>
          <w:tcPr>
            <w:tcW w:type="dxa" w:w="15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7A1E1E"/>
                <w:sz w:val="16"/>
              </w:rPr>
              <w:t>$10,000</w:t>
            </w:r>
          </w:p>
        </w:tc>
        <w:tc>
          <w:tcPr>
            <w:tcW w:type="dxa" w:w="54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5"/>
              </w:rPr>
              <w:t>Professional review of confidentiality, consent, data handling, nonprofit ops, insurance, risk.</w:t>
            </w:r>
          </w:p>
        </w:tc>
      </w:tr>
      <w:tr>
        <w:trPr>
          <w:trHeight w:hRule="atLeast"/>
          <w:cantSplit/>
        </w:trPr>
        <w:tc>
          <w:tcPr>
            <w:tcW w:type="dxa" w:w="338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sz w:val="15"/>
              </w:rPr>
              <w:t>Gap Fund</w:t>
            </w:r>
          </w:p>
        </w:tc>
        <w:tc>
          <w:tcPr>
            <w:tcW w:type="dxa" w:w="15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7A1E1E"/>
                <w:sz w:val="16"/>
              </w:rPr>
              <w:t>$10,000</w:t>
            </w:r>
          </w:p>
        </w:tc>
        <w:tc>
          <w:tcPr>
            <w:tcW w:type="dxa" w:w="54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5"/>
              </w:rPr>
              <w:t>Rapid direct assistance for small barriers blocking safety/stabilization.</w:t>
            </w:r>
          </w:p>
        </w:tc>
      </w:tr>
      <w:tr>
        <w:trPr>
          <w:trHeight w:hRule="atLeast"/>
          <w:cantSplit/>
        </w:trPr>
        <w:tc>
          <w:tcPr>
            <w:tcW w:type="dxa" w:w="338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sz w:val="15"/>
              </w:rPr>
              <w:t>Evaluation + data systems</w:t>
            </w:r>
          </w:p>
        </w:tc>
        <w:tc>
          <w:tcPr>
            <w:tcW w:type="dxa" w:w="15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7A1E1E"/>
                <w:sz w:val="16"/>
              </w:rPr>
              <w:t>$5,000</w:t>
            </w:r>
          </w:p>
        </w:tc>
        <w:tc>
          <w:tcPr>
            <w:tcW w:type="dxa" w:w="54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5"/>
              </w:rPr>
              <w:t>Pilot metrics, outcome tracking, analysis, first Bad Maps findings.</w:t>
            </w:r>
          </w:p>
        </w:tc>
      </w:tr>
      <w:tr>
        <w:trPr>
          <w:trHeight w:hRule="atLeast"/>
          <w:cantSplit/>
        </w:trPr>
        <w:tc>
          <w:tcPr>
            <w:tcW w:type="dxa" w:w="338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sz w:val="15"/>
              </w:rPr>
              <w:t>Partner training + outreach</w:t>
            </w:r>
          </w:p>
        </w:tc>
        <w:tc>
          <w:tcPr>
            <w:tcW w:type="dxa" w:w="15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7A1E1E"/>
                <w:sz w:val="16"/>
              </w:rPr>
              <w:t>$3,000</w:t>
            </w:r>
          </w:p>
        </w:tc>
        <w:tc>
          <w:tcPr>
            <w:tcW w:type="dxa" w:w="54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5"/>
              </w:rPr>
              <w:t>Context Before Closure / partner onboarding and testing.</w:t>
            </w:r>
          </w:p>
        </w:tc>
      </w:tr>
      <w:tr>
        <w:trPr>
          <w:trHeight w:hRule="atLeast"/>
          <w:cantSplit/>
        </w:trPr>
        <w:tc>
          <w:tcPr>
            <w:tcW w:type="dxa" w:w="338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sz w:val="15"/>
              </w:rPr>
              <w:t>Operating contingency</w:t>
            </w:r>
          </w:p>
        </w:tc>
        <w:tc>
          <w:tcPr>
            <w:tcW w:type="dxa" w:w="15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7A1E1E"/>
                <w:sz w:val="16"/>
              </w:rPr>
              <w:t>$5,000</w:t>
            </w:r>
          </w:p>
        </w:tc>
        <w:tc>
          <w:tcPr>
            <w:tcW w:type="dxa" w:w="540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5"/>
              </w:rPr>
              <w:t>Launch/pilot shocks without cannibalizing program funds.</w:t>
            </w:r>
          </w:p>
        </w:tc>
      </w:tr>
    </w:tbl>
    <w:tbl>
      <w:tblPr>
        <w:tblW w:type="auto" w:w="0"/>
        <w:jc w:val="center"/>
        <w:tblLayout w:type="fixed"/>
        <w:tblLook w:firstColumn="1" w:firstRow="1" w:lastColumn="0" w:lastRow="0" w:noHBand="0" w:noVBand="1" w:val="04A0"/>
      </w:tblPr>
      <w:tblGrid>
        <w:gridCol w:w="10166"/>
      </w:tblGrid>
      <w:tr>
        <w:trPr>
          <w:trHeight w:hRule="atLeast"/>
          <w:cantSplit/>
        </w:trPr>
        <w:tc>
          <w:tcPr>
            <w:tcW w:type="dxa" w:w="10166"/>
            <w:shd w:fill="F8F3EF"/>
            <w:tcBorders>
              <w:top w:val="single" w:sz="8" w:space="0" w:color="8E2F2F"/>
              <w:left w:val="single" w:sz="8" w:space="0" w:color="8E2F2F"/>
              <w:bottom w:val="single" w:sz="8" w:space="0" w:color="8E2F2F"/>
              <w:right w:val="single" w:sz="8" w:space="0" w:color="8E2F2F"/>
              <w:insideH w:val="single" w:sz="8" w:space="0" w:color="8E2F2F"/>
              <w:insideV w:val="single" w:sz="8" w:space="0" w:color="8E2F2F"/>
            </w:tcBorders>
            <w:tcMar>
              <w:top w:w="130" w:type="dxa"/>
              <w:start w:w="160" w:type="dxa"/>
              <w:bottom w:w="130" w:type="dxa"/>
              <w:end w:w="160" w:type="dxa"/>
            </w:tcMar>
          </w:tcPr>
          <w:p>
            <w:r>
              <w:rPr>
                <w:rFonts w:ascii="Aptos" w:hAnsi="Aptos"/>
                <w:b/>
                <w:i w:val="0"/>
                <w:color w:val="8E2F2F"/>
                <w:sz w:val="16"/>
              </w:rPr>
              <w:t>SUPERSEDES</w:t>
            </w:r>
          </w:p>
          <w:p>
            <w:r>
              <w:rPr>
                <w:rFonts w:ascii="Aptos" w:hAnsi="Aptos"/>
                <w:b/>
                <w:i w:val="0"/>
                <w:color w:val="1A1A1A"/>
                <w:sz w:val="21"/>
              </w:rPr>
              <w:t>Do not use the older $54,000 project-direction / $14,000 legal-security / $12,000 tooling / $10,000 sponsor-admin allocation. It conflicts with the canonical Financial Proposal v2.</w:t>
            </w:r>
          </w:p>
        </w:tc>
      </w:tr>
    </w:tbl>
    <w:p>
      <w:pPr>
        <w:pStyle w:val="Heading2"/>
      </w:pPr>
      <w:r>
        <w:t>Capital Type</w:t>
      </w:r>
    </w:p>
    <w:p>
      <w:r>
        <w:rPr>
          <w:rFonts w:ascii="Aptos" w:hAnsi="Aptos"/>
          <w:b/>
          <w:i w:val="0"/>
          <w:color w:val="1A1A1A"/>
        </w:rPr>
        <w:t xml:space="preserve">Primary current capital target: </w:t>
      </w:r>
      <w:r>
        <w:rPr>
          <w:rFonts w:ascii="Aptos" w:hAnsi="Aptos"/>
          <w:b w:val="0"/>
          <w:i w:val="0"/>
          <w:color w:val="1A1A1A"/>
        </w:rPr>
        <w:t>philanthropic/foundation/corporate community-impact funding under comprehensive fiscal sponsorship, plus founding individual donors and fiscally sponsored grants.</w:t>
      </w:r>
    </w:p>
    <w:p>
      <w:r>
        <w:rPr>
          <w:rFonts w:ascii="Aptos" w:hAnsi="Aptos"/>
          <w:b/>
          <w:i w:val="0"/>
          <w:color w:val="7A1E1E"/>
        </w:rPr>
        <w:t xml:space="preserve">Do not casually pitch this as an equity-investment round. </w:t>
      </w:r>
      <w:r>
        <w:rPr>
          <w:rFonts w:ascii="Aptos" w:hAnsi="Aptos"/>
          <w:b w:val="0"/>
          <w:i w:val="0"/>
          <w:color w:val="1A1A1A"/>
        </w:rPr>
        <w:t>A fiscally sponsored charitable project does not offer ordinary startup equity. If a future for-profit entity, benefit corporation, PRI structure, licensing company, or dual-entity model is considered, that must be a separate deliberate governance/legal decision.</w:t>
      </w:r>
    </w:p>
    <w:p>
      <w:pPr>
        <w:pStyle w:val="Heading1"/>
      </w:pPr>
      <w:r>
        <w:t>7. Competitive Positioning &amp; Moat</w:t>
      </w:r>
    </w:p>
    <w:p>
      <w:r>
        <w:rPr>
          <w:rFonts w:ascii="Aptos" w:hAnsi="Aptos"/>
          <w:b/>
          <w:i w:val="0"/>
          <w:color w:val="1A1A1A"/>
        </w:rPr>
        <w:t>The competitive landscape validates the underlying problem but narrows what Maps With Teeth can credibly claim as different.</w:t>
      </w:r>
    </w:p>
    <w:p>
      <w:pPr>
        <w:spacing w:after="40"/>
      </w:pPr>
      <w:r>
        <w:rPr>
          <w:rFonts w:ascii="Aptos" w:hAnsi="Aptos"/>
          <w:b/>
          <w:i w:val="0"/>
          <w:color w:val="7A1E1E"/>
          <w:sz w:val="18"/>
        </w:rPr>
        <w:t xml:space="preserve">Portable continuity outside one shared ecosystem — </w:t>
      </w:r>
      <w:r>
        <w:rPr>
          <w:rFonts w:ascii="Aptos" w:hAnsi="Aptos"/>
          <w:b w:val="0"/>
          <w:i w:val="0"/>
          <w:color w:val="1A1A1A"/>
          <w:sz w:val="18"/>
        </w:rPr>
        <w:t>Continuity follows the person across counties, agencies, legal/civil systems, housing, telecom, benefits and nonprofits without assuming common infrastructure.</w:t>
      </w:r>
    </w:p>
    <w:p>
      <w:pPr>
        <w:spacing w:after="40"/>
      </w:pPr>
      <w:r>
        <w:rPr>
          <w:rFonts w:ascii="Aptos" w:hAnsi="Aptos"/>
          <w:b/>
          <w:i w:val="0"/>
          <w:color w:val="7A1E1E"/>
          <w:sz w:val="18"/>
        </w:rPr>
        <w:t xml:space="preserve">Encounter Verification / Continuity Receipt — </w:t>
      </w:r>
      <w:r>
        <w:rPr>
          <w:rFonts w:ascii="Aptos" w:hAnsi="Aptos"/>
          <w:b w:val="0"/>
          <w:i w:val="0"/>
          <w:color w:val="1A1A1A"/>
          <w:sz w:val="18"/>
        </w:rPr>
        <w:t>Each touchpoint documents its own contact, action, scope, routing decision and reference number — not the whole case.</w:t>
      </w:r>
    </w:p>
    <w:p>
      <w:pPr>
        <w:spacing w:after="40"/>
      </w:pPr>
      <w:r>
        <w:rPr>
          <w:rFonts w:ascii="Aptos" w:hAnsi="Aptos"/>
          <w:b/>
          <w:i w:val="0"/>
          <w:color w:val="7A1E1E"/>
          <w:sz w:val="18"/>
        </w:rPr>
        <w:t xml:space="preserve">Routing ≠ merits distinction — </w:t>
      </w:r>
      <w:r>
        <w:rPr>
          <w:rFonts w:ascii="Aptos" w:hAnsi="Aptos"/>
          <w:b w:val="0"/>
          <w:i w:val="0"/>
          <w:color w:val="1A1A1A"/>
          <w:sz w:val="18"/>
        </w:rPr>
        <w:t>“Outside our jurisdiction” is recorded as a routing/scope decision unless a merits determination was actually made.</w:t>
      </w:r>
    </w:p>
    <w:p>
      <w:pPr>
        <w:spacing w:after="40"/>
      </w:pPr>
      <w:r>
        <w:rPr>
          <w:rFonts w:ascii="Aptos" w:hAnsi="Aptos"/>
          <w:b/>
          <w:i w:val="0"/>
          <w:color w:val="7A1E1E"/>
          <w:sz w:val="18"/>
        </w:rPr>
        <w:t xml:space="preserve">Evidence-to-touchpoint provenance — </w:t>
      </w:r>
      <w:r>
        <w:rPr>
          <w:rFonts w:ascii="Aptos" w:hAnsi="Aptos"/>
          <w:b w:val="0"/>
          <w:i w:val="0"/>
          <w:color w:val="1A1A1A"/>
          <w:sz w:val="18"/>
        </w:rPr>
        <w:t>Link original material to the institutional touchpoint that received/reviewed it, reference number, and resulting disposition.</w:t>
      </w:r>
    </w:p>
    <w:p>
      <w:pPr>
        <w:spacing w:after="40"/>
      </w:pPr>
      <w:r>
        <w:rPr>
          <w:rFonts w:ascii="Aptos" w:hAnsi="Aptos"/>
          <w:b/>
          <w:i w:val="0"/>
          <w:color w:val="7A1E1E"/>
          <w:sz w:val="18"/>
        </w:rPr>
        <w:t xml:space="preserve">Deflection-loop analytics — </w:t>
      </w:r>
      <w:r>
        <w:rPr>
          <w:rFonts w:ascii="Aptos" w:hAnsi="Aptos"/>
          <w:b w:val="0"/>
          <w:i w:val="0"/>
          <w:color w:val="1A1A1A"/>
          <w:sz w:val="18"/>
        </w:rPr>
        <w:t>Measure A→B→A loops, repeat referrals, unresolved ownership, retelling burden and contradictory routing.</w:t>
      </w:r>
    </w:p>
    <w:p>
      <w:pPr>
        <w:spacing w:after="40"/>
      </w:pPr>
      <w:r>
        <w:rPr>
          <w:rFonts w:ascii="Aptos" w:hAnsi="Aptos"/>
          <w:b/>
          <w:i w:val="0"/>
          <w:color w:val="7A1E1E"/>
          <w:sz w:val="18"/>
        </w:rPr>
        <w:t xml:space="preserve">Resource Graph + attempt history — </w:t>
      </w:r>
      <w:r>
        <w:rPr>
          <w:rFonts w:ascii="Aptos" w:hAnsi="Aptos"/>
          <w:b w:val="0"/>
          <w:i w:val="0"/>
          <w:color w:val="1A1A1A"/>
          <w:sz w:val="18"/>
        </w:rPr>
        <w:t>Eligibility-aware obscure routes + what has already failed + observed outcomes.</w:t>
      </w:r>
    </w:p>
    <w:p>
      <w:pPr>
        <w:spacing w:after="40"/>
      </w:pPr>
      <w:r>
        <w:rPr>
          <w:rFonts w:ascii="Aptos" w:hAnsi="Aptos"/>
          <w:b/>
          <w:i w:val="0"/>
          <w:color w:val="7A1E1E"/>
          <w:sz w:val="18"/>
        </w:rPr>
        <w:t xml:space="preserve">Low-burden partner model — </w:t>
      </w:r>
      <w:r>
        <w:rPr>
          <w:rFonts w:ascii="Aptos" w:hAnsi="Aptos"/>
          <w:b w:val="0"/>
          <w:i w:val="0"/>
          <w:color w:val="1A1A1A"/>
          <w:sz w:val="18"/>
        </w:rPr>
        <w:t>Bridge follows the person; partners are not asked to become cross-system case managers.</w:t>
      </w:r>
    </w:p>
    <w:p>
      <w:pPr>
        <w:pStyle w:val="Heading2"/>
      </w:pPr>
      <w:r>
        <w:t>Build / Borrow / Partner Rule</w:t>
      </w:r>
    </w:p>
    <w:p>
      <w:pPr>
        <w:spacing w:after="40"/>
        <w:ind w:left="216"/>
      </w:pPr>
      <w:r>
        <w:rPr>
          <w:rFonts w:ascii="Aptos" w:hAnsi="Aptos"/>
          <w:b/>
          <w:i w:val="0"/>
          <w:color w:val="2F6B57"/>
          <w:sz w:val="16"/>
        </w:rPr>
        <w:t xml:space="preserve">BUILD  </w:t>
      </w:r>
      <w:r>
        <w:rPr>
          <w:rFonts w:ascii="Aptos" w:hAnsi="Aptos"/>
          <w:b w:val="0"/>
          <w:i w:val="0"/>
          <w:color w:val="1A1A1A"/>
          <w:sz w:val="18"/>
        </w:rPr>
        <w:t>Bridge continuity workflow; Continuity Receipt; deflection-loop analytics.</w:t>
      </w:r>
    </w:p>
    <w:p>
      <w:pPr>
        <w:spacing w:after="40"/>
        <w:ind w:left="216"/>
      </w:pPr>
      <w:r>
        <w:rPr>
          <w:rFonts w:ascii="Aptos" w:hAnsi="Aptos"/>
          <w:b/>
          <w:i w:val="0"/>
          <w:color w:val="7A1E1E"/>
          <w:sz w:val="16"/>
        </w:rPr>
        <w:t xml:space="preserve">BUILD SELECTIVELY  </w:t>
      </w:r>
      <w:r>
        <w:rPr>
          <w:rFonts w:ascii="Aptos" w:hAnsi="Aptos"/>
          <w:b w:val="0"/>
          <w:i w:val="0"/>
          <w:color w:val="1A1A1A"/>
          <w:sz w:val="18"/>
        </w:rPr>
        <w:t>Organizer search/naturalization/touchpoint linkage; Resource Graph eligibility/attempt/outcome layer.</w:t>
      </w:r>
    </w:p>
    <w:p>
      <w:pPr>
        <w:spacing w:after="40"/>
        <w:ind w:left="216"/>
      </w:pPr>
      <w:r>
        <w:rPr>
          <w:rFonts w:ascii="Aptos" w:hAnsi="Aptos"/>
          <w:b/>
          <w:i w:val="0"/>
          <w:color w:val="7A1E1E"/>
          <w:sz w:val="16"/>
        </w:rPr>
        <w:t xml:space="preserve">BORROW + ADAPT  </w:t>
      </w:r>
      <w:r>
        <w:rPr>
          <w:rFonts w:ascii="Aptos" w:hAnsi="Aptos"/>
          <w:b w:val="0"/>
          <w:i w:val="0"/>
          <w:color w:val="1A1A1A"/>
          <w:sz w:val="18"/>
        </w:rPr>
        <w:t>Context Before Closure practice from established coordinated-response models.</w:t>
      </w:r>
    </w:p>
    <w:p>
      <w:pPr>
        <w:spacing w:after="40"/>
        <w:ind w:left="216"/>
      </w:pPr>
      <w:r>
        <w:rPr>
          <w:rFonts w:ascii="Aptos" w:hAnsi="Aptos"/>
          <w:b/>
          <w:i w:val="0"/>
          <w:color w:val="24415F"/>
          <w:sz w:val="16"/>
        </w:rPr>
        <w:t xml:space="preserve">PARTNER / INTEGRATE  </w:t>
      </w:r>
      <w:r>
        <w:rPr>
          <w:rFonts w:ascii="Aptos" w:hAnsi="Aptos"/>
          <w:b w:val="0"/>
          <w:i w:val="0"/>
          <w:color w:val="1A1A1A"/>
          <w:sz w:val="18"/>
        </w:rPr>
        <w:t>Existing evidence-storage tools, verified directory infrastructure, closed-loop referral systems where available.</w:t>
      </w:r>
    </w:p>
    <w:p>
      <w:pPr>
        <w:spacing w:after="40"/>
        <w:ind w:left="216"/>
      </w:pPr>
      <w:r>
        <w:rPr>
          <w:rFonts w:ascii="Aptos" w:hAnsi="Aptos"/>
          <w:b/>
          <w:i w:val="0"/>
          <w:color w:val="7A1E1E"/>
          <w:sz w:val="16"/>
        </w:rPr>
        <w:t xml:space="preserve">DO NOT OVERBUILD  </w:t>
      </w:r>
      <w:r>
        <w:rPr>
          <w:rFonts w:ascii="Aptos" w:hAnsi="Aptos"/>
          <w:b w:val="0"/>
          <w:i w:val="0"/>
          <w:color w:val="1A1A1A"/>
          <w:sz w:val="18"/>
        </w:rPr>
        <w:t>A generic evidence folder, giant resource directory, or full shared agency CRM.</w:t>
      </w:r>
    </w:p>
    <w:p>
      <w:pPr>
        <w:pStyle w:val="Heading1"/>
      </w:pPr>
      <w:r>
        <w:t>8. Legal, Privacy, Safety &amp; Institutional Guardrails</w:t>
      </w:r>
    </w:p>
    <w:tbl>
      <w:tblPr>
        <w:tblW w:type="auto" w:w="0"/>
        <w:jc w:val="center"/>
        <w:tblLayout w:type="fixed"/>
        <w:tblLook w:firstColumn="1" w:firstRow="1" w:lastColumn="0" w:lastRow="0" w:noHBand="0" w:noVBand="1" w:val="04A0"/>
      </w:tblPr>
      <w:tblGrid>
        <w:gridCol w:w="1152"/>
        <w:gridCol w:w="3888"/>
        <w:gridCol w:w="5112"/>
      </w:tblGrid>
      <w:tr>
        <w:trPr>
          <w:trHeight w:hRule="atLeast"/>
          <w:tblHeader w:val="true"/>
          <w:cantSplit/>
        </w:trPr>
        <w:tc>
          <w:tcPr>
            <w:tcW w:type="dxa" w:w="3389"/>
            <w:shd w:fill="7A1E1E"/>
            <w:tcBorders>
              <w:top w:val="single" w:sz="6" w:space="0" w:color="7A1E1E"/>
              <w:left w:val="single" w:sz="6" w:space="0" w:color="7A1E1E"/>
              <w:bottom w:val="single" w:sz="6" w:space="0" w:color="7A1E1E"/>
              <w:right w:val="single" w:sz="6" w:space="0" w:color="7A1E1E"/>
              <w:insideH w:val="single" w:sz="6" w:space="0" w:color="7A1E1E"/>
              <w:insideV w:val="single" w:sz="6" w:space="0" w:color="7A1E1E"/>
            </w:tcBorders>
            <w:tcMar>
              <w:top w:w="90" w:type="dxa"/>
              <w:start w:w="110" w:type="dxa"/>
              <w:bottom w:w="90" w:type="dxa"/>
              <w:end w:w="110" w:type="dxa"/>
            </w:tcMar>
          </w:tcPr>
          <w:p>
            <w:r>
              <w:rPr>
                <w:b/>
                <w:color w:val="FFFFFF"/>
                <w:sz w:val="15"/>
              </w:rPr>
              <w:t>STATUS</w:t>
            </w:r>
          </w:p>
        </w:tc>
        <w:tc>
          <w:tcPr>
            <w:tcW w:type="dxa" w:w="3389"/>
            <w:shd w:fill="7A1E1E"/>
            <w:tcBorders>
              <w:top w:val="single" w:sz="6" w:space="0" w:color="7A1E1E"/>
              <w:left w:val="single" w:sz="6" w:space="0" w:color="7A1E1E"/>
              <w:bottom w:val="single" w:sz="6" w:space="0" w:color="7A1E1E"/>
              <w:right w:val="single" w:sz="6" w:space="0" w:color="7A1E1E"/>
              <w:insideH w:val="single" w:sz="6" w:space="0" w:color="7A1E1E"/>
              <w:insideV w:val="single" w:sz="6" w:space="0" w:color="7A1E1E"/>
            </w:tcBorders>
            <w:tcMar>
              <w:top w:w="90" w:type="dxa"/>
              <w:start w:w="110" w:type="dxa"/>
              <w:bottom w:w="90" w:type="dxa"/>
              <w:end w:w="110" w:type="dxa"/>
            </w:tcMar>
          </w:tcPr>
          <w:p>
            <w:r>
              <w:rPr>
                <w:b/>
                <w:color w:val="FFFFFF"/>
                <w:sz w:val="15"/>
              </w:rPr>
              <w:t>ITEM</w:t>
            </w:r>
          </w:p>
        </w:tc>
        <w:tc>
          <w:tcPr>
            <w:tcW w:type="dxa" w:w="3389"/>
            <w:shd w:fill="7A1E1E"/>
            <w:tcBorders>
              <w:top w:val="single" w:sz="6" w:space="0" w:color="7A1E1E"/>
              <w:left w:val="single" w:sz="6" w:space="0" w:color="7A1E1E"/>
              <w:bottom w:val="single" w:sz="6" w:space="0" w:color="7A1E1E"/>
              <w:right w:val="single" w:sz="6" w:space="0" w:color="7A1E1E"/>
              <w:insideH w:val="single" w:sz="6" w:space="0" w:color="7A1E1E"/>
              <w:insideV w:val="single" w:sz="6" w:space="0" w:color="7A1E1E"/>
            </w:tcBorders>
            <w:tcMar>
              <w:top w:w="90" w:type="dxa"/>
              <w:start w:w="110" w:type="dxa"/>
              <w:bottom w:w="90" w:type="dxa"/>
              <w:end w:w="110" w:type="dxa"/>
            </w:tcMar>
          </w:tcPr>
          <w:p>
            <w:r>
              <w:rPr>
                <w:b/>
                <w:color w:val="FFFFFF"/>
                <w:sz w:val="15"/>
              </w:rPr>
              <w:t>REQUIRED BEFORE LIVE PILOT</w:t>
            </w:r>
          </w:p>
        </w:tc>
      </w:tr>
      <w:tr>
        <w:trPr>
          <w:trHeight w:hRule="atLeast"/>
          <w:cantSplit/>
        </w:trPr>
        <w:tc>
          <w:tcPr>
            <w:tcW w:type="dxa" w:w="115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b/>
                <w:color w:val="8E2F2F"/>
                <w:sz w:val="15"/>
              </w:rPr>
              <w:t>OPEN</w:t>
            </w:r>
          </w:p>
        </w:tc>
        <w:tc>
          <w:tcPr>
            <w:tcW w:type="dxa" w:w="38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Texas nonprofit formation / governance / founder compensation rules</w:t>
            </w:r>
          </w:p>
        </w:tc>
        <w:tc>
          <w:tcPr>
            <w:tcW w:type="dxa" w:w="51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Counsel/sponsor review before filing or representing final governance.</w:t>
            </w:r>
          </w:p>
        </w:tc>
      </w:tr>
      <w:tr>
        <w:trPr>
          <w:trHeight w:hRule="atLeast"/>
          <w:cantSplit/>
        </w:trPr>
        <w:tc>
          <w:tcPr>
            <w:tcW w:type="dxa" w:w="115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b/>
                <w:color w:val="8E2F2F"/>
                <w:sz w:val="15"/>
              </w:rPr>
              <w:t>OPEN</w:t>
            </w:r>
          </w:p>
        </w:tc>
        <w:tc>
          <w:tcPr>
            <w:tcW w:type="dxa" w:w="38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Fiscal sponsorship terms, payroll, direct-assistance restrictions</w:t>
            </w:r>
          </w:p>
        </w:tc>
        <w:tc>
          <w:tcPr>
            <w:tcW w:type="dxa" w:w="51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Must be confirmed with actual comprehensive sponsor.</w:t>
            </w:r>
          </w:p>
        </w:tc>
      </w:tr>
      <w:tr>
        <w:trPr>
          <w:trHeight w:hRule="atLeast"/>
          <w:cantSplit/>
        </w:trPr>
        <w:tc>
          <w:tcPr>
            <w:tcW w:type="dxa" w:w="115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b/>
                <w:color w:val="8E2F2F"/>
                <w:sz w:val="15"/>
              </w:rPr>
              <w:t>OPEN</w:t>
            </w:r>
          </w:p>
        </w:tc>
        <w:tc>
          <w:tcPr>
            <w:tcW w:type="dxa" w:w="38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VAWA/victim-service confidentiality and consent boundaries where applicable</w:t>
            </w:r>
          </w:p>
        </w:tc>
        <w:tc>
          <w:tcPr>
            <w:tcW w:type="dxa" w:w="51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Professional review required.</w:t>
            </w:r>
          </w:p>
        </w:tc>
      </w:tr>
      <w:tr>
        <w:trPr>
          <w:trHeight w:hRule="atLeast"/>
          <w:cantSplit/>
        </w:trPr>
        <w:tc>
          <w:tcPr>
            <w:tcW w:type="dxa" w:w="115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b/>
                <w:color w:val="8E2F2F"/>
                <w:sz w:val="15"/>
              </w:rPr>
              <w:t>OPEN</w:t>
            </w:r>
          </w:p>
        </w:tc>
        <w:tc>
          <w:tcPr>
            <w:tcW w:type="dxa" w:w="38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Records retention, subpoena/public-record exposure, cross-agency information sharing</w:t>
            </w:r>
          </w:p>
        </w:tc>
        <w:tc>
          <w:tcPr>
            <w:tcW w:type="dxa" w:w="51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Professional legal/privacy review required.</w:t>
            </w:r>
          </w:p>
        </w:tc>
      </w:tr>
      <w:tr>
        <w:trPr>
          <w:trHeight w:hRule="atLeast"/>
          <w:cantSplit/>
        </w:trPr>
        <w:tc>
          <w:tcPr>
            <w:tcW w:type="dxa" w:w="115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b/>
                <w:color w:val="8E2F2F"/>
                <w:sz w:val="15"/>
              </w:rPr>
              <w:t>OPEN</w:t>
            </w:r>
          </w:p>
        </w:tc>
        <w:tc>
          <w:tcPr>
            <w:tcW w:type="dxa" w:w="38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Mandatory-reporting boundaries for staff/partners</w:t>
            </w:r>
          </w:p>
        </w:tc>
        <w:tc>
          <w:tcPr>
            <w:tcW w:type="dxa" w:w="51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Define before live pilot.</w:t>
            </w:r>
          </w:p>
        </w:tc>
      </w:tr>
      <w:tr>
        <w:trPr>
          <w:trHeight w:hRule="atLeast"/>
          <w:cantSplit/>
        </w:trPr>
        <w:tc>
          <w:tcPr>
            <w:tcW w:type="dxa" w:w="115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b/>
                <w:color w:val="8E2F2F"/>
                <w:sz w:val="15"/>
              </w:rPr>
              <w:t>OPEN</w:t>
            </w:r>
          </w:p>
        </w:tc>
        <w:tc>
          <w:tcPr>
            <w:tcW w:type="dxa" w:w="38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Insurance / professional liability</w:t>
            </w:r>
          </w:p>
        </w:tc>
        <w:tc>
          <w:tcPr>
            <w:tcW w:type="dxa" w:w="51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Obtain appropriate review/coverage before live service.</w:t>
            </w:r>
          </w:p>
        </w:tc>
      </w:tr>
      <w:tr>
        <w:trPr>
          <w:trHeight w:hRule="atLeast"/>
          <w:cantSplit/>
        </w:trPr>
        <w:tc>
          <w:tcPr>
            <w:tcW w:type="dxa" w:w="115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b/>
                <w:color w:val="8E2F2F"/>
                <w:sz w:val="15"/>
              </w:rPr>
              <w:t>OPEN</w:t>
            </w:r>
          </w:p>
        </w:tc>
        <w:tc>
          <w:tcPr>
            <w:tcW w:type="dxa" w:w="38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Production security architecture</w:t>
            </w:r>
          </w:p>
        </w:tc>
        <w:tc>
          <w:tcPr>
            <w:tcW w:type="dxa" w:w="511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70" w:type="dxa"/>
              <w:start w:w="80" w:type="dxa"/>
              <w:bottom w:w="70" w:type="dxa"/>
              <w:end w:w="80" w:type="dxa"/>
            </w:tcMar>
          </w:tcPr>
          <w:p>
            <w:r>
              <w:rPr>
                <w:sz w:val="14"/>
              </w:rPr>
              <w:t>Threat model, encryption/access controls, retention/deletion, incident response, secure hosting.</w:t>
            </w:r>
          </w:p>
        </w:tc>
      </w:tr>
    </w:tbl>
    <w:p>
      <w:r>
        <w:rPr>
          <w:rFonts w:ascii="Aptos" w:hAnsi="Aptos"/>
          <w:b/>
          <w:i w:val="0"/>
          <w:color w:val="7A1E1E"/>
        </w:rPr>
        <w:t xml:space="preserve">Language rule: </w:t>
      </w:r>
      <w:r>
        <w:rPr>
          <w:rFonts w:ascii="Aptos" w:hAnsi="Aptos"/>
          <w:b w:val="0"/>
          <w:i w:val="0"/>
          <w:color w:val="1A1A1A"/>
        </w:rPr>
        <w:t>Use “secure,” “concealable,” “privacy-conscious,” or “tamper-evident” only when the specific implementation supports the claim. Never say “undetectable,” “unhackable,” “authenticated evidence,” or “chain of custody” unless the relevant legal/technical standard has actually been met and verified.</w:t>
      </w:r>
    </w:p>
    <w:p>
      <w:pPr>
        <w:pStyle w:val="Heading1"/>
      </w:pPr>
      <w:r>
        <w:t>9. Investor / Funder Package Readiness</w:t>
      </w:r>
    </w:p>
    <w:p>
      <w:r>
        <w:rPr>
          <w:rFonts w:ascii="Aptos" w:hAnsi="Aptos"/>
          <w:b/>
          <w:i w:val="0"/>
          <w:color w:val="1A1A1A"/>
        </w:rPr>
        <w:t>The package is conceptually strong but not send-ready as one coherent data room yet. The main issue is not lack of ideas — it is consolidation, proof labeling, and a few missing operating artifacts.</w:t>
      </w:r>
    </w:p>
    <w:tbl>
      <w:tblPr>
        <w:tblW w:type="auto" w:w="0"/>
        <w:jc w:val="center"/>
        <w:tblLayout w:type="fixed"/>
        <w:tblLook w:firstColumn="1" w:firstRow="1" w:lastColumn="0" w:lastRow="0" w:noHBand="0" w:noVBand="1" w:val="04A0"/>
      </w:tblPr>
      <w:tblGrid>
        <w:gridCol w:w="1440"/>
        <w:gridCol w:w="2736"/>
        <w:gridCol w:w="4032"/>
        <w:gridCol w:w="2376"/>
      </w:tblGrid>
      <w:tr>
        <w:trPr>
          <w:trHeight w:hRule="atLeast"/>
          <w:tblHeader w:val="true"/>
          <w:cantSplit/>
        </w:trPr>
        <w:tc>
          <w:tcPr>
            <w:tcW w:type="dxa" w:w="2541"/>
            <w:shd w:fill="1A1A1A"/>
            <w:tcBorders>
              <w:top w:val="single" w:sz="6" w:space="0" w:color="1A1A1A"/>
              <w:left w:val="single" w:sz="6" w:space="0" w:color="1A1A1A"/>
              <w:bottom w:val="single" w:sz="6" w:space="0" w:color="1A1A1A"/>
              <w:right w:val="single" w:sz="6" w:space="0" w:color="1A1A1A"/>
              <w:insideH w:val="single" w:sz="6" w:space="0" w:color="1A1A1A"/>
              <w:insideV w:val="single" w:sz="6" w:space="0" w:color="1A1A1A"/>
            </w:tcBorders>
            <w:tcMar>
              <w:top w:w="80" w:type="dxa"/>
              <w:start w:w="70" w:type="dxa"/>
              <w:bottom w:w="80" w:type="dxa"/>
              <w:end w:w="70" w:type="dxa"/>
            </w:tcMar>
          </w:tcPr>
          <w:p>
            <w:r>
              <w:rPr>
                <w:b/>
                <w:color w:val="FFFFFF"/>
                <w:sz w:val="14"/>
              </w:rPr>
              <w:t>STATUS</w:t>
            </w:r>
          </w:p>
        </w:tc>
        <w:tc>
          <w:tcPr>
            <w:tcW w:type="dxa" w:w="2541"/>
            <w:shd w:fill="1A1A1A"/>
            <w:tcBorders>
              <w:top w:val="single" w:sz="6" w:space="0" w:color="1A1A1A"/>
              <w:left w:val="single" w:sz="6" w:space="0" w:color="1A1A1A"/>
              <w:bottom w:val="single" w:sz="6" w:space="0" w:color="1A1A1A"/>
              <w:right w:val="single" w:sz="6" w:space="0" w:color="1A1A1A"/>
              <w:insideH w:val="single" w:sz="6" w:space="0" w:color="1A1A1A"/>
              <w:insideV w:val="single" w:sz="6" w:space="0" w:color="1A1A1A"/>
            </w:tcBorders>
            <w:tcMar>
              <w:top w:w="80" w:type="dxa"/>
              <w:start w:w="70" w:type="dxa"/>
              <w:bottom w:w="80" w:type="dxa"/>
              <w:end w:w="70" w:type="dxa"/>
            </w:tcMar>
          </w:tcPr>
          <w:p>
            <w:r>
              <w:rPr>
                <w:b/>
                <w:color w:val="FFFFFF"/>
                <w:sz w:val="14"/>
              </w:rPr>
              <w:t>ASSET</w:t>
            </w:r>
          </w:p>
        </w:tc>
        <w:tc>
          <w:tcPr>
            <w:tcW w:type="dxa" w:w="2541"/>
            <w:shd w:fill="1A1A1A"/>
            <w:tcBorders>
              <w:top w:val="single" w:sz="6" w:space="0" w:color="1A1A1A"/>
              <w:left w:val="single" w:sz="6" w:space="0" w:color="1A1A1A"/>
              <w:bottom w:val="single" w:sz="6" w:space="0" w:color="1A1A1A"/>
              <w:right w:val="single" w:sz="6" w:space="0" w:color="1A1A1A"/>
              <w:insideH w:val="single" w:sz="6" w:space="0" w:color="1A1A1A"/>
              <w:insideV w:val="single" w:sz="6" w:space="0" w:color="1A1A1A"/>
            </w:tcBorders>
            <w:tcMar>
              <w:top w:w="80" w:type="dxa"/>
              <w:start w:w="70" w:type="dxa"/>
              <w:bottom w:w="80" w:type="dxa"/>
              <w:end w:w="70" w:type="dxa"/>
            </w:tcMar>
          </w:tcPr>
          <w:p>
            <w:r>
              <w:rPr>
                <w:b/>
                <w:color w:val="FFFFFF"/>
                <w:sz w:val="14"/>
              </w:rPr>
              <w:t>CURRENT STATE</w:t>
            </w:r>
          </w:p>
        </w:tc>
        <w:tc>
          <w:tcPr>
            <w:tcW w:type="dxa" w:w="2541"/>
            <w:shd w:fill="1A1A1A"/>
            <w:tcBorders>
              <w:top w:val="single" w:sz="6" w:space="0" w:color="1A1A1A"/>
              <w:left w:val="single" w:sz="6" w:space="0" w:color="1A1A1A"/>
              <w:bottom w:val="single" w:sz="6" w:space="0" w:color="1A1A1A"/>
              <w:right w:val="single" w:sz="6" w:space="0" w:color="1A1A1A"/>
              <w:insideH w:val="single" w:sz="6" w:space="0" w:color="1A1A1A"/>
              <w:insideV w:val="single" w:sz="6" w:space="0" w:color="1A1A1A"/>
            </w:tcBorders>
            <w:tcMar>
              <w:top w:w="80" w:type="dxa"/>
              <w:start w:w="70" w:type="dxa"/>
              <w:bottom w:w="80" w:type="dxa"/>
              <w:end w:w="70" w:type="dxa"/>
            </w:tcMar>
          </w:tcPr>
          <w:p>
            <w:r>
              <w:rPr>
                <w:b/>
                <w:color w:val="FFFFFF"/>
                <w:sz w:val="14"/>
              </w:rPr>
              <w:t>NEXT ACTION</w:t>
            </w:r>
          </w:p>
        </w:tc>
      </w:tr>
      <w:tr>
        <w:trPr>
          <w:trHeight w:hRule="atLeast"/>
          <w:cantSplit/>
        </w:trPr>
        <w:tc>
          <w:tcPr>
            <w:tcW w:type="dxa" w:w="14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shd w:fill="F7F3EE"/>
          </w:tcPr>
          <w:p>
            <w:r>
              <w:rPr>
                <w:b/>
                <w:color w:val="2F6B57"/>
                <w:sz w:val="13"/>
              </w:rPr>
              <w:t>READY / USE</w:t>
            </w:r>
          </w:p>
        </w:tc>
        <w:tc>
          <w:tcPr>
            <w:tcW w:type="dxa" w:w="273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Founding Blueprint v2</w:t>
            </w:r>
          </w:p>
        </w:tc>
        <w:tc>
          <w:tcPr>
            <w:tcW w:type="dxa" w:w="403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Core architecture and long-term thesis.</w:t>
            </w:r>
          </w:p>
        </w:tc>
        <w:tc>
          <w:tcPr>
            <w:tcW w:type="dxa" w:w="237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Keep as internal/deep-dive source.</w:t>
            </w:r>
          </w:p>
        </w:tc>
      </w:tr>
      <w:tr>
        <w:trPr>
          <w:trHeight w:hRule="atLeast"/>
          <w:cantSplit/>
        </w:trPr>
        <w:tc>
          <w:tcPr>
            <w:tcW w:type="dxa" w:w="14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shd w:fill="F7F3EE"/>
          </w:tcPr>
          <w:p>
            <w:r>
              <w:rPr>
                <w:b/>
                <w:color w:val="2F6B57"/>
                <w:sz w:val="13"/>
              </w:rPr>
              <w:t>READY / USE</w:t>
            </w:r>
          </w:p>
        </w:tc>
        <w:tc>
          <w:tcPr>
            <w:tcW w:type="dxa" w:w="273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2–3 Page Founding Summary</w:t>
            </w:r>
          </w:p>
        </w:tc>
        <w:tc>
          <w:tcPr>
            <w:tcW w:type="dxa" w:w="403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Concise funder/sponsor overview with canonical budget.</w:t>
            </w:r>
          </w:p>
        </w:tc>
        <w:tc>
          <w:tcPr>
            <w:tcW w:type="dxa" w:w="237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Refresh branding/header language to match this source.</w:t>
            </w:r>
          </w:p>
        </w:tc>
      </w:tr>
      <w:tr>
        <w:trPr>
          <w:trHeight w:hRule="atLeast"/>
          <w:cantSplit/>
        </w:trPr>
        <w:tc>
          <w:tcPr>
            <w:tcW w:type="dxa" w:w="14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shd w:fill="F7F3EE"/>
          </w:tcPr>
          <w:p>
            <w:r>
              <w:rPr>
                <w:b/>
                <w:color w:val="2F6B57"/>
                <w:sz w:val="13"/>
              </w:rPr>
              <w:t>READY / USE</w:t>
            </w:r>
          </w:p>
        </w:tc>
        <w:tc>
          <w:tcPr>
            <w:tcW w:type="dxa" w:w="273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Fiscal Sponsor Pitch</w:t>
            </w:r>
          </w:p>
        </w:tc>
        <w:tc>
          <w:tcPr>
            <w:tcW w:type="dxa" w:w="403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Specific comprehensive-sponsorship ask; canonical $36k founder comp and $100k budget.</w:t>
            </w:r>
          </w:p>
        </w:tc>
        <w:tc>
          <w:tcPr>
            <w:tcW w:type="dxa" w:w="237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Target sponsor outreach after quick polish.</w:t>
            </w:r>
          </w:p>
        </w:tc>
      </w:tr>
      <w:tr>
        <w:trPr>
          <w:trHeight w:hRule="atLeast"/>
          <w:cantSplit/>
        </w:trPr>
        <w:tc>
          <w:tcPr>
            <w:tcW w:type="dxa" w:w="14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shd w:fill="F7F3EE"/>
          </w:tcPr>
          <w:p>
            <w:r>
              <w:rPr>
                <w:b/>
                <w:color w:val="2F6B57"/>
                <w:sz w:val="13"/>
              </w:rPr>
              <w:t>READY / USE</w:t>
            </w:r>
          </w:p>
        </w:tc>
        <w:tc>
          <w:tcPr>
            <w:tcW w:type="dxa" w:w="273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Financial Proposal v2</w:t>
            </w:r>
          </w:p>
        </w:tc>
        <w:tc>
          <w:tcPr>
            <w:tcW w:type="dxa" w:w="403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Canonical budget + metrics + controls.</w:t>
            </w:r>
          </w:p>
        </w:tc>
        <w:tc>
          <w:tcPr>
            <w:tcW w:type="dxa" w:w="237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This is the budget authority.</w:t>
            </w:r>
          </w:p>
        </w:tc>
      </w:tr>
      <w:tr>
        <w:trPr>
          <w:trHeight w:hRule="atLeast"/>
          <w:cantSplit/>
        </w:trPr>
        <w:tc>
          <w:tcPr>
            <w:tcW w:type="dxa" w:w="14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shd w:fill="F7F3EE"/>
          </w:tcPr>
          <w:p>
            <w:r>
              <w:rPr>
                <w:b/>
                <w:color w:val="2F6B57"/>
                <w:sz w:val="13"/>
              </w:rPr>
              <w:t>READY / USE</w:t>
            </w:r>
          </w:p>
        </w:tc>
        <w:tc>
          <w:tcPr>
            <w:tcW w:type="dxa" w:w="273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Competitive / Precedent Landscape</w:t>
            </w:r>
          </w:p>
        </w:tc>
        <w:tc>
          <w:tcPr>
            <w:tcW w:type="dxa" w:w="403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Strong differentiation and build/borrow/partner strategy.</w:t>
            </w:r>
          </w:p>
        </w:tc>
        <w:tc>
          <w:tcPr>
            <w:tcW w:type="dxa" w:w="237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Refresh periodically; do not overclaim novelty.</w:t>
            </w:r>
          </w:p>
        </w:tc>
      </w:tr>
      <w:tr>
        <w:trPr>
          <w:trHeight w:hRule="atLeast"/>
          <w:cantSplit/>
        </w:trPr>
        <w:tc>
          <w:tcPr>
            <w:tcW w:type="dxa" w:w="14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shd w:fill="F7F3EE"/>
          </w:tcPr>
          <w:p>
            <w:r>
              <w:rPr>
                <w:b/>
                <w:color w:val="2F6B57"/>
                <w:sz w:val="13"/>
              </w:rPr>
              <w:t>READY / REVISE</w:t>
            </w:r>
          </w:p>
        </w:tc>
        <w:tc>
          <w:tcPr>
            <w:tcW w:type="dxa" w:w="273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Bridge Partner Protocol</w:t>
            </w:r>
          </w:p>
        </w:tc>
        <w:tc>
          <w:tcPr>
            <w:tcW w:type="dxa" w:w="403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Standalone partner-facing concept exists.</w:t>
            </w:r>
          </w:p>
        </w:tc>
        <w:tc>
          <w:tcPr>
            <w:tcW w:type="dxa" w:w="237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Revise “authenticated documents,” chain-of-custody wording, and any implication agencies need not verify receipts.</w:t>
            </w:r>
          </w:p>
        </w:tc>
      </w:tr>
      <w:tr>
        <w:trPr>
          <w:trHeight w:hRule="atLeast"/>
          <w:cantSplit/>
        </w:trPr>
        <w:tc>
          <w:tcPr>
            <w:tcW w:type="dxa" w:w="14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shd w:fill="F7F3EE"/>
          </w:tcPr>
          <w:p>
            <w:r>
              <w:rPr>
                <w:b/>
                <w:color w:val="2F6B57"/>
                <w:sz w:val="13"/>
              </w:rPr>
              <w:t>READY / USE</w:t>
            </w:r>
          </w:p>
        </w:tc>
        <w:tc>
          <w:tcPr>
            <w:tcW w:type="dxa" w:w="273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Brand standards + master template</w:t>
            </w:r>
          </w:p>
        </w:tc>
        <w:tc>
          <w:tcPr>
            <w:tcW w:type="dxa" w:w="403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Strong identity system exists.</w:t>
            </w:r>
          </w:p>
        </w:tc>
        <w:tc>
          <w:tcPr>
            <w:tcW w:type="dxa" w:w="237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Apply consistently to all outgoing materials.</w:t>
            </w:r>
          </w:p>
        </w:tc>
      </w:tr>
      <w:tr>
        <w:trPr>
          <w:trHeight w:hRule="atLeast"/>
          <w:cantSplit/>
        </w:trPr>
        <w:tc>
          <w:tcPr>
            <w:tcW w:type="dxa" w:w="14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shd w:fill="F7F3EE"/>
          </w:tcPr>
          <w:p>
            <w:r>
              <w:rPr>
                <w:b/>
                <w:color w:val="8E2F2F"/>
                <w:sz w:val="13"/>
              </w:rPr>
              <w:t>MISSING</w:t>
            </w:r>
          </w:p>
        </w:tc>
        <w:tc>
          <w:tcPr>
            <w:tcW w:type="dxa" w:w="273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Founding Funding Deck</w:t>
            </w:r>
          </w:p>
        </w:tc>
        <w:tc>
          <w:tcPr>
            <w:tcW w:type="dxa" w:w="403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No finished canonical 10–12 slide deck identified.</w:t>
            </w:r>
          </w:p>
        </w:tc>
        <w:tc>
          <w:tcPr>
            <w:tcW w:type="dxa" w:w="237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Build next from this source.</w:t>
            </w:r>
          </w:p>
        </w:tc>
      </w:tr>
      <w:tr>
        <w:trPr>
          <w:trHeight w:hRule="atLeast"/>
          <w:cantSplit/>
        </w:trPr>
        <w:tc>
          <w:tcPr>
            <w:tcW w:type="dxa" w:w="14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shd w:fill="F7F3EE"/>
          </w:tcPr>
          <w:p>
            <w:r>
              <w:rPr>
                <w:b/>
                <w:color w:val="8E2F2F"/>
                <w:sz w:val="13"/>
              </w:rPr>
              <w:t>MISSING</w:t>
            </w:r>
          </w:p>
        </w:tc>
        <w:tc>
          <w:tcPr>
            <w:tcW w:type="dxa" w:w="273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Continuity Receipt standalone pilot form</w:t>
            </w:r>
          </w:p>
        </w:tc>
        <w:tc>
          <w:tcPr>
            <w:tcW w:type="dxa" w:w="403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Concept/fields exist in blueprint/code; no canonical partner-ready one-page form identified.</w:t>
            </w:r>
          </w:p>
        </w:tc>
        <w:tc>
          <w:tcPr>
            <w:tcW w:type="dxa" w:w="237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Create + legal/partner pressure-test.</w:t>
            </w:r>
          </w:p>
        </w:tc>
      </w:tr>
      <w:tr>
        <w:trPr>
          <w:trHeight w:hRule="atLeast"/>
          <w:cantSplit/>
        </w:trPr>
        <w:tc>
          <w:tcPr>
            <w:tcW w:type="dxa" w:w="14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shd w:fill="F7F3EE"/>
          </w:tcPr>
          <w:p>
            <w:r>
              <w:rPr>
                <w:b/>
                <w:color w:val="8E2F2F"/>
                <w:sz w:val="13"/>
              </w:rPr>
              <w:t>MISSING</w:t>
            </w:r>
          </w:p>
        </w:tc>
        <w:tc>
          <w:tcPr>
            <w:tcW w:type="dxa" w:w="273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Pilot Operating Manual</w:t>
            </w:r>
          </w:p>
        </w:tc>
        <w:tc>
          <w:tcPr>
            <w:tcW w:type="dxa" w:w="403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Eligibility, safety, consent, data handling, escalation, Resource Graph verification, Gap Fund controls.</w:t>
            </w:r>
          </w:p>
        </w:tc>
        <w:tc>
          <w:tcPr>
            <w:tcW w:type="dxa" w:w="237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Required before live pilot.</w:t>
            </w:r>
          </w:p>
        </w:tc>
      </w:tr>
      <w:tr>
        <w:trPr>
          <w:trHeight w:hRule="atLeast"/>
          <w:cantSplit/>
        </w:trPr>
        <w:tc>
          <w:tcPr>
            <w:tcW w:type="dxa" w:w="14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shd w:fill="F7F3EE"/>
          </w:tcPr>
          <w:p>
            <w:r>
              <w:rPr>
                <w:b/>
                <w:color w:val="8E2F2F"/>
                <w:sz w:val="13"/>
              </w:rPr>
              <w:t>MISSING</w:t>
            </w:r>
          </w:p>
        </w:tc>
        <w:tc>
          <w:tcPr>
            <w:tcW w:type="dxa" w:w="273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Security / Privacy Architecture Memo</w:t>
            </w:r>
          </w:p>
        </w:tc>
        <w:tc>
          <w:tcPr>
            <w:tcW w:type="dxa" w:w="403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Threat model, data map, retention/deletion, encryption/access controls, incident response, vendor boundaries.</w:t>
            </w:r>
          </w:p>
        </w:tc>
        <w:tc>
          <w:tcPr>
            <w:tcW w:type="dxa" w:w="237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Required for serious sponsor/funder diligence.</w:t>
            </w:r>
          </w:p>
        </w:tc>
      </w:tr>
      <w:tr>
        <w:trPr>
          <w:trHeight w:hRule="atLeast"/>
          <w:cantSplit/>
        </w:trPr>
        <w:tc>
          <w:tcPr>
            <w:tcW w:type="dxa" w:w="14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shd w:fill="F7F3EE"/>
          </w:tcPr>
          <w:p>
            <w:r>
              <w:rPr>
                <w:b/>
                <w:color w:val="8E2F2F"/>
                <w:sz w:val="13"/>
              </w:rPr>
              <w:t>MISSING</w:t>
            </w:r>
          </w:p>
        </w:tc>
        <w:tc>
          <w:tcPr>
            <w:tcW w:type="dxa" w:w="273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Evaluation Plan / Metric Definitions</w:t>
            </w:r>
          </w:p>
        </w:tc>
        <w:tc>
          <w:tcPr>
            <w:tcW w:type="dxa" w:w="403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Exact operational definitions, baseline, collection method, reporting cadence, success thresholds.</w:t>
            </w:r>
          </w:p>
        </w:tc>
        <w:tc>
          <w:tcPr>
            <w:tcW w:type="dxa" w:w="237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Required before pilot to avoid retrofitting metrics.</w:t>
            </w:r>
          </w:p>
        </w:tc>
      </w:tr>
      <w:tr>
        <w:trPr>
          <w:trHeight w:hRule="atLeast"/>
          <w:cantSplit/>
        </w:trPr>
        <w:tc>
          <w:tcPr>
            <w:tcW w:type="dxa" w:w="14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shd w:fill="F7F3EE"/>
          </w:tcPr>
          <w:p>
            <w:r>
              <w:rPr>
                <w:b/>
                <w:color w:val="8E2F2F"/>
                <w:sz w:val="13"/>
              </w:rPr>
              <w:t>MISSING</w:t>
            </w:r>
          </w:p>
        </w:tc>
        <w:tc>
          <w:tcPr>
            <w:tcW w:type="dxa" w:w="273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Founder / Team Credibility Sheet</w:t>
            </w:r>
          </w:p>
        </w:tc>
        <w:tc>
          <w:tcPr>
            <w:tcW w:type="dxa" w:w="403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Why this founder; relevant systems/product/operations experience; advisors needed.</w:t>
            </w:r>
          </w:p>
        </w:tc>
        <w:tc>
          <w:tcPr>
            <w:tcW w:type="dxa" w:w="237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Needed for deck and diligence.</w:t>
            </w:r>
          </w:p>
        </w:tc>
      </w:tr>
      <w:tr>
        <w:trPr>
          <w:trHeight w:hRule="atLeast"/>
          <w:cantSplit/>
        </w:trPr>
        <w:tc>
          <w:tcPr>
            <w:tcW w:type="dxa" w:w="14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shd w:fill="F7F3EE"/>
          </w:tcPr>
          <w:p>
            <w:r>
              <w:rPr>
                <w:b/>
                <w:color w:val="8E2F2F"/>
                <w:sz w:val="13"/>
              </w:rPr>
              <w:t>MISSING</w:t>
            </w:r>
          </w:p>
        </w:tc>
        <w:tc>
          <w:tcPr>
            <w:tcW w:type="dxa" w:w="273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Partner / Sponsor Evidence</w:t>
            </w:r>
          </w:p>
        </w:tc>
        <w:tc>
          <w:tcPr>
            <w:tcW w:type="dxa" w:w="403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LOIs, pilot-interest emails, advisor commitments, fiscal-sponsor conversations.</w:t>
            </w:r>
          </w:p>
        </w:tc>
        <w:tc>
          <w:tcPr>
            <w:tcW w:type="dxa" w:w="237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This is the biggest credibility upgrade after deck.</w:t>
            </w:r>
          </w:p>
        </w:tc>
      </w:tr>
      <w:tr>
        <w:trPr>
          <w:trHeight w:hRule="atLeast"/>
          <w:cantSplit/>
        </w:trPr>
        <w:tc>
          <w:tcPr>
            <w:tcW w:type="dxa" w:w="14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shd w:fill="F7F3EE"/>
          </w:tcPr>
          <w:p>
            <w:r>
              <w:rPr>
                <w:b/>
                <w:color w:val="8E2F2F"/>
                <w:sz w:val="13"/>
              </w:rPr>
              <w:t>MISSING</w:t>
            </w:r>
          </w:p>
        </w:tc>
        <w:tc>
          <w:tcPr>
            <w:tcW w:type="dxa" w:w="273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Data Room Index + version control</w:t>
            </w:r>
          </w:p>
        </w:tc>
        <w:tc>
          <w:tcPr>
            <w:tcW w:type="dxa" w:w="403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One ordered folder with canonical docs and retired versions separated.</w:t>
            </w:r>
          </w:p>
        </w:tc>
        <w:tc>
          <w:tcPr>
            <w:tcW w:type="dxa" w:w="237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Create before external diligence.</w:t>
            </w:r>
          </w:p>
        </w:tc>
      </w:tr>
      <w:tr>
        <w:trPr>
          <w:trHeight w:hRule="atLeast"/>
          <w:cantSplit/>
        </w:trPr>
        <w:tc>
          <w:tcPr>
            <w:tcW w:type="dxa" w:w="1440"/>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shd w:fill="F7F3EE"/>
          </w:tcPr>
          <w:p>
            <w:r>
              <w:rPr>
                <w:b/>
                <w:color w:val="A5651A"/>
                <w:sz w:val="13"/>
              </w:rPr>
              <w:t>OPEN</w:t>
            </w:r>
          </w:p>
        </w:tc>
        <w:tc>
          <w:tcPr>
            <w:tcW w:type="dxa" w:w="273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Funding target list + outreach tracker</w:t>
            </w:r>
          </w:p>
        </w:tc>
        <w:tc>
          <w:tcPr>
            <w:tcW w:type="dxa" w:w="4032"/>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Fiscal sponsors, foundations, corporate impact, local philanthropy, pilot partners.</w:t>
            </w:r>
          </w:p>
        </w:tc>
        <w:tc>
          <w:tcPr>
            <w:tcW w:type="dxa" w:w="237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0" w:type="dxa"/>
              <w:start w:w="70" w:type="dxa"/>
              <w:bottom w:w="60" w:type="dxa"/>
              <w:end w:w="70" w:type="dxa"/>
            </w:tcMar>
          </w:tcPr>
          <w:p>
            <w:r>
              <w:rPr>
                <w:sz w:val="13"/>
              </w:rPr>
              <w:t>Build after deck + core operating artifacts.</w:t>
            </w:r>
          </w:p>
        </w:tc>
      </w:tr>
    </w:tbl>
    <w:p>
      <w:pPr>
        <w:pStyle w:val="Heading1"/>
      </w:pPr>
      <w:r>
        <w:t>10. Send-Ready Gate</w:t>
      </w:r>
    </w:p>
    <w:p>
      <w:r>
        <w:rPr>
          <w:rFonts w:ascii="Aptos" w:hAnsi="Aptos"/>
          <w:b/>
          <w:i w:val="0"/>
          <w:color w:val="7A1E1E"/>
        </w:rPr>
        <w:t>Do not send a full funding package until the following are true:</w:t>
      </w:r>
    </w:p>
    <w:p>
      <w:pPr>
        <w:spacing w:after="60"/>
        <w:ind w:left="173" w:hanging="173"/>
      </w:pPr>
      <w:r>
        <w:rPr>
          <w:rFonts w:ascii="Aptos" w:hAnsi="Aptos"/>
          <w:b w:val="0"/>
          <w:i w:val="0"/>
          <w:color w:val="7A1E1E"/>
          <w:sz w:val="20"/>
        </w:rPr>
        <w:t xml:space="preserve">☐ </w:t>
      </w:r>
      <w:r>
        <w:rPr>
          <w:rFonts w:ascii="Aptos" w:hAnsi="Aptos"/>
          <w:b/>
          <w:i w:val="0"/>
          <w:color w:val="1A1A1A"/>
          <w:sz w:val="18"/>
        </w:rPr>
        <w:t xml:space="preserve">Budget conflict eliminated everywhere: </w:t>
      </w:r>
      <w:r>
        <w:rPr>
          <w:rFonts w:ascii="Aptos" w:hAnsi="Aptos"/>
          <w:b w:val="0"/>
          <w:i w:val="0"/>
          <w:color w:val="1A1A1A"/>
          <w:sz w:val="18"/>
        </w:rPr>
        <w:t>Every outgoing document uses the $36k founder compensation / Financial Proposal v2 allocation.</w:t>
      </w:r>
    </w:p>
    <w:p>
      <w:pPr>
        <w:spacing w:after="60"/>
        <w:ind w:left="173" w:hanging="173"/>
      </w:pPr>
      <w:r>
        <w:rPr>
          <w:rFonts w:ascii="Aptos" w:hAnsi="Aptos"/>
          <w:b w:val="0"/>
          <w:i w:val="0"/>
          <w:color w:val="7A1E1E"/>
          <w:sz w:val="20"/>
        </w:rPr>
        <w:t xml:space="preserve">☐ </w:t>
      </w:r>
      <w:r>
        <w:rPr>
          <w:rFonts w:ascii="Aptos" w:hAnsi="Aptos"/>
          <w:b/>
          <w:i w:val="0"/>
          <w:color w:val="1A1A1A"/>
          <w:sz w:val="18"/>
        </w:rPr>
        <w:t xml:space="preserve">Built vs. planned labeled: </w:t>
      </w:r>
      <w:r>
        <w:rPr>
          <w:rFonts w:ascii="Aptos" w:hAnsi="Aptos"/>
          <w:b w:val="0"/>
          <w:i w:val="0"/>
          <w:color w:val="1A1A1A"/>
          <w:sz w:val="18"/>
        </w:rPr>
        <w:t>No deck slide implies the full Bridge network, Organizer vault, Gap Fund, or 25-person pilot is already operational.</w:t>
      </w:r>
    </w:p>
    <w:p>
      <w:pPr>
        <w:spacing w:after="60"/>
        <w:ind w:left="173" w:hanging="173"/>
      </w:pPr>
      <w:r>
        <w:rPr>
          <w:rFonts w:ascii="Aptos" w:hAnsi="Aptos"/>
          <w:b w:val="0"/>
          <w:i w:val="0"/>
          <w:color w:val="7A1E1E"/>
          <w:sz w:val="20"/>
        </w:rPr>
        <w:t xml:space="preserve">☐ </w:t>
      </w:r>
      <w:r>
        <w:rPr>
          <w:rFonts w:ascii="Aptos" w:hAnsi="Aptos"/>
          <w:b/>
          <w:i w:val="0"/>
          <w:color w:val="1A1A1A"/>
          <w:sz w:val="18"/>
        </w:rPr>
        <w:t xml:space="preserve">Founding deck finished: </w:t>
      </w:r>
      <w:r>
        <w:rPr>
          <w:rFonts w:ascii="Aptos" w:hAnsi="Aptos"/>
          <w:b w:val="0"/>
          <w:i w:val="0"/>
          <w:color w:val="1A1A1A"/>
          <w:sz w:val="18"/>
        </w:rPr>
        <w:t>10–12 slides; problem, model, prototype proof, differentiation, pilot, budget, team, ask.</w:t>
      </w:r>
    </w:p>
    <w:p>
      <w:pPr>
        <w:spacing w:after="60"/>
        <w:ind w:left="173" w:hanging="173"/>
      </w:pPr>
      <w:r>
        <w:rPr>
          <w:rFonts w:ascii="Aptos" w:hAnsi="Aptos"/>
          <w:b w:val="0"/>
          <w:i w:val="0"/>
          <w:color w:val="7A1E1E"/>
          <w:sz w:val="20"/>
        </w:rPr>
        <w:t xml:space="preserve">☐ </w:t>
      </w:r>
      <w:r>
        <w:rPr>
          <w:rFonts w:ascii="Aptos" w:hAnsi="Aptos"/>
          <w:b/>
          <w:i w:val="0"/>
          <w:color w:val="1A1A1A"/>
          <w:sz w:val="18"/>
        </w:rPr>
        <w:t xml:space="preserve">Continuity Receipt prototype exists: </w:t>
      </w:r>
      <w:r>
        <w:rPr>
          <w:rFonts w:ascii="Aptos" w:hAnsi="Aptos"/>
          <w:b w:val="0"/>
          <w:i w:val="0"/>
          <w:color w:val="1A1A1A"/>
          <w:sz w:val="18"/>
        </w:rPr>
        <w:t>One-page form + explanatory legend + verification language.</w:t>
      </w:r>
    </w:p>
    <w:p>
      <w:pPr>
        <w:spacing w:after="60"/>
        <w:ind w:left="173" w:hanging="173"/>
      </w:pPr>
      <w:r>
        <w:rPr>
          <w:rFonts w:ascii="Aptos" w:hAnsi="Aptos"/>
          <w:b w:val="0"/>
          <w:i w:val="0"/>
          <w:color w:val="7A1E1E"/>
          <w:sz w:val="20"/>
        </w:rPr>
        <w:t xml:space="preserve">☐ </w:t>
      </w:r>
      <w:r>
        <w:rPr>
          <w:rFonts w:ascii="Aptos" w:hAnsi="Aptos"/>
          <w:b/>
          <w:i w:val="0"/>
          <w:color w:val="1A1A1A"/>
          <w:sz w:val="18"/>
        </w:rPr>
        <w:t xml:space="preserve">Bridge Partner Protocol revised: </w:t>
      </w:r>
      <w:r>
        <w:rPr>
          <w:rFonts w:ascii="Aptos" w:hAnsi="Aptos"/>
          <w:b w:val="0"/>
          <w:i w:val="0"/>
          <w:color w:val="1A1A1A"/>
          <w:sz w:val="18"/>
        </w:rPr>
        <w:t>Remove unsupported authentication/chain-of-custody assertions.</w:t>
      </w:r>
    </w:p>
    <w:p>
      <w:pPr>
        <w:spacing w:after="60"/>
        <w:ind w:left="173" w:hanging="173"/>
      </w:pPr>
      <w:r>
        <w:rPr>
          <w:rFonts w:ascii="Aptos" w:hAnsi="Aptos"/>
          <w:b w:val="0"/>
          <w:i w:val="0"/>
          <w:color w:val="7A1E1E"/>
          <w:sz w:val="20"/>
        </w:rPr>
        <w:t xml:space="preserve">☐ </w:t>
      </w:r>
      <w:r>
        <w:rPr>
          <w:rFonts w:ascii="Aptos" w:hAnsi="Aptos"/>
          <w:b/>
          <w:i w:val="0"/>
          <w:color w:val="1A1A1A"/>
          <w:sz w:val="18"/>
        </w:rPr>
        <w:t xml:space="preserve">Founder credibility story finished: </w:t>
      </w:r>
      <w:r>
        <w:rPr>
          <w:rFonts w:ascii="Aptos" w:hAnsi="Aptos"/>
          <w:b w:val="0"/>
          <w:i w:val="0"/>
          <w:color w:val="1A1A1A"/>
          <w:sz w:val="18"/>
        </w:rPr>
        <w:t>Specific experience and demonstrated work; no trauma-dump, no vague “lived experience” placeholder.</w:t>
      </w:r>
    </w:p>
    <w:p>
      <w:pPr>
        <w:spacing w:after="60"/>
        <w:ind w:left="173" w:hanging="173"/>
      </w:pPr>
      <w:r>
        <w:rPr>
          <w:rFonts w:ascii="Aptos" w:hAnsi="Aptos"/>
          <w:b w:val="0"/>
          <w:i w:val="0"/>
          <w:color w:val="7A1E1E"/>
          <w:sz w:val="20"/>
        </w:rPr>
        <w:t xml:space="preserve">☐ </w:t>
      </w:r>
      <w:r>
        <w:rPr>
          <w:rFonts w:ascii="Aptos" w:hAnsi="Aptos"/>
          <w:b/>
          <w:i w:val="0"/>
          <w:color w:val="1A1A1A"/>
          <w:sz w:val="18"/>
        </w:rPr>
        <w:t xml:space="preserve">At least preliminary partner validation: </w:t>
      </w:r>
      <w:r>
        <w:rPr>
          <w:rFonts w:ascii="Aptos" w:hAnsi="Aptos"/>
          <w:b w:val="0"/>
          <w:i w:val="0"/>
          <w:color w:val="1A1A1A"/>
          <w:sz w:val="18"/>
        </w:rPr>
        <w:t>3–5 serious conversations, ideally written interest / LOI / advisory participation.</w:t>
      </w:r>
    </w:p>
    <w:p>
      <w:pPr>
        <w:spacing w:after="60"/>
        <w:ind w:left="173" w:hanging="173"/>
      </w:pPr>
      <w:r>
        <w:rPr>
          <w:rFonts w:ascii="Aptos" w:hAnsi="Aptos"/>
          <w:b w:val="0"/>
          <w:i w:val="0"/>
          <w:color w:val="7A1E1E"/>
          <w:sz w:val="20"/>
        </w:rPr>
        <w:t xml:space="preserve">☐ </w:t>
      </w:r>
      <w:r>
        <w:rPr>
          <w:rFonts w:ascii="Aptos" w:hAnsi="Aptos"/>
          <w:b/>
          <w:i w:val="0"/>
          <w:color w:val="1A1A1A"/>
          <w:sz w:val="18"/>
        </w:rPr>
        <w:t xml:space="preserve">Security/legal diligence path stated: </w:t>
      </w:r>
      <w:r>
        <w:rPr>
          <w:rFonts w:ascii="Aptos" w:hAnsi="Aptos"/>
          <w:b w:val="0"/>
          <w:i w:val="0"/>
          <w:color w:val="1A1A1A"/>
          <w:sz w:val="18"/>
        </w:rPr>
        <w:t>Who will review what, by when, funded from which line item.</w:t>
      </w:r>
    </w:p>
    <w:p>
      <w:pPr>
        <w:spacing w:after="60"/>
        <w:ind w:left="173" w:hanging="173"/>
      </w:pPr>
      <w:r>
        <w:rPr>
          <w:rFonts w:ascii="Aptos" w:hAnsi="Aptos"/>
          <w:b w:val="0"/>
          <w:i w:val="0"/>
          <w:color w:val="7A1E1E"/>
          <w:sz w:val="20"/>
        </w:rPr>
        <w:t xml:space="preserve">☐ </w:t>
      </w:r>
      <w:r>
        <w:rPr>
          <w:rFonts w:ascii="Aptos" w:hAnsi="Aptos"/>
          <w:b/>
          <w:i w:val="0"/>
          <w:color w:val="1A1A1A"/>
          <w:sz w:val="18"/>
        </w:rPr>
        <w:t xml:space="preserve">Data room clean: </w:t>
      </w:r>
      <w:r>
        <w:rPr>
          <w:rFonts w:ascii="Aptos" w:hAnsi="Aptos"/>
          <w:b w:val="0"/>
          <w:i w:val="0"/>
          <w:color w:val="1A1A1A"/>
          <w:sz w:val="18"/>
        </w:rPr>
        <w:t>Canonical folder; old conflicting versions moved to /Superseded or clearly stamped.</w:t>
      </w:r>
    </w:p>
    <w:tbl>
      <w:tblPr>
        <w:tblW w:type="auto" w:w="0"/>
        <w:jc w:val="center"/>
        <w:tblLayout w:type="fixed"/>
        <w:tblLook w:firstColumn="1" w:firstRow="1" w:lastColumn="0" w:lastRow="0" w:noHBand="0" w:noVBand="1" w:val="04A0"/>
      </w:tblPr>
      <w:tblGrid>
        <w:gridCol w:w="10166"/>
      </w:tblGrid>
      <w:tr>
        <w:trPr>
          <w:trHeight w:hRule="atLeast"/>
          <w:cantSplit/>
        </w:trPr>
        <w:tc>
          <w:tcPr>
            <w:tcW w:type="dxa" w:w="10166"/>
            <w:shd w:fill="F2EDE4"/>
            <w:tcBorders>
              <w:top w:val="single" w:sz="8" w:space="0" w:color="2F6B57"/>
              <w:left w:val="single" w:sz="8" w:space="0" w:color="2F6B57"/>
              <w:bottom w:val="single" w:sz="8" w:space="0" w:color="2F6B57"/>
              <w:right w:val="single" w:sz="8" w:space="0" w:color="2F6B57"/>
              <w:insideH w:val="single" w:sz="8" w:space="0" w:color="2F6B57"/>
              <w:insideV w:val="single" w:sz="8" w:space="0" w:color="2F6B57"/>
            </w:tcBorders>
            <w:tcMar>
              <w:top w:w="130" w:type="dxa"/>
              <w:start w:w="160" w:type="dxa"/>
              <w:bottom w:w="130" w:type="dxa"/>
              <w:end w:w="160" w:type="dxa"/>
            </w:tcMar>
          </w:tcPr>
          <w:p>
            <w:r>
              <w:rPr>
                <w:rFonts w:ascii="Aptos" w:hAnsi="Aptos"/>
                <w:b/>
                <w:i w:val="0"/>
                <w:color w:val="2F6B57"/>
                <w:sz w:val="16"/>
              </w:rPr>
              <w:t>EARLIEST SAFE OUTREACH</w:t>
            </w:r>
          </w:p>
          <w:p>
            <w:r>
              <w:rPr>
                <w:rFonts w:ascii="Aptos" w:hAnsi="Aptos"/>
                <w:b/>
                <w:i w:val="0"/>
                <w:color w:val="1A1A1A"/>
                <w:sz w:val="21"/>
              </w:rPr>
              <w:t>Fiscal-sponsor outreach can begin before the entire investor/funder data room is complete, because the sponsor pitch and canonical budget already exist. Broader funder outreach should wait until the deck, founder/team story, and proof/partner-validation story are coherent.</w:t>
            </w:r>
          </w:p>
        </w:tc>
      </w:tr>
    </w:tbl>
    <w:p>
      <w:pPr>
        <w:pStyle w:val="Heading1"/>
      </w:pPr>
      <w:r>
        <w:t>11. Build Order From Here</w:t>
      </w:r>
    </w:p>
    <w:tbl>
      <w:tblPr>
        <w:tblW w:type="auto" w:w="0"/>
        <w:jc w:val="center"/>
        <w:tblLayout w:type="fixed"/>
        <w:tblLook w:firstColumn="1" w:firstRow="1" w:lastColumn="0" w:lastRow="0" w:noHBand="0" w:noVBand="1" w:val="04A0"/>
      </w:tblPr>
      <w:tblGrid>
        <w:gridCol w:w="792"/>
        <w:gridCol w:w="9144"/>
      </w:tblGrid>
      <w:tr>
        <w:trPr>
          <w:trHeight w:hRule="atLeast"/>
          <w:cantSplit/>
        </w:trPr>
        <w:tc>
          <w:tcPr>
            <w:tcW w:type="dxa" w:w="5083"/>
            <w:shd w:fill="7A1E1E"/>
            <w:tcBorders>
              <w:top w:val="single" w:sz="6" w:space="0" w:color="7A1E1E"/>
              <w:left w:val="single" w:sz="6" w:space="0" w:color="7A1E1E"/>
              <w:bottom w:val="single" w:sz="6" w:space="0" w:color="7A1E1E"/>
              <w:right w:val="single" w:sz="6" w:space="0" w:color="7A1E1E"/>
              <w:insideH w:val="single" w:sz="6" w:space="0" w:color="7A1E1E"/>
              <w:insideV w:val="single" w:sz="6" w:space="0" w:color="7A1E1E"/>
            </w:tcBorders>
            <w:tcMar>
              <w:top w:w="95" w:type="dxa"/>
              <w:start w:w="80" w:type="dxa"/>
              <w:bottom w:w="95" w:type="dxa"/>
              <w:end w:w="80" w:type="dxa"/>
            </w:tcMar>
          </w:tcPr>
          <w:p>
            <w:pPr>
              <w:jc w:val="center"/>
            </w:pPr>
            <w:r>
              <w:rPr>
                <w:rFonts w:ascii="Aptos" w:hAnsi="Aptos"/>
                <w:b/>
                <w:i w:val="0"/>
                <w:color w:val="FFFFFF"/>
                <w:sz w:val="26"/>
              </w:rPr>
              <w:t>1</w:t>
            </w:r>
          </w:p>
        </w:tc>
        <w:tc>
          <w:tcPr>
            <w:tcW w:type="dxa" w:w="5083"/>
            <w:shd w:fill="F8F5F1"/>
            <w:tcBorders>
              <w:top w:val="single" w:sz="6" w:space="0" w:color="DDD4CA"/>
              <w:left w:val="single" w:sz="6" w:space="0" w:color="DDD4CA"/>
              <w:bottom w:val="single" w:sz="6" w:space="0" w:color="DDD4CA"/>
              <w:right w:val="single" w:sz="6" w:space="0" w:color="DDD4CA"/>
              <w:insideH w:val="single" w:sz="6" w:space="0" w:color="DDD4CA"/>
              <w:insideV w:val="single" w:sz="6" w:space="0" w:color="DDD4CA"/>
            </w:tcBorders>
            <w:tcMar>
              <w:top w:w="95" w:type="dxa"/>
              <w:start w:w="120" w:type="dxa"/>
              <w:bottom w:w="95" w:type="dxa"/>
              <w:end w:w="120" w:type="dxa"/>
            </w:tcMar>
          </w:tcPr>
          <w:p>
            <w:r>
              <w:rPr>
                <w:rFonts w:ascii="Aptos" w:hAnsi="Aptos"/>
                <w:b/>
                <w:i w:val="0"/>
                <w:color w:val="1A1A1A"/>
                <w:sz w:val="19"/>
              </w:rPr>
              <w:t>Freeze this Source of Truth</w:t>
            </w:r>
          </w:p>
          <w:p>
            <w:r>
              <w:rPr>
                <w:rFonts w:ascii="Aptos" w:hAnsi="Aptos"/>
                <w:b w:val="0"/>
                <w:i w:val="0"/>
                <w:color w:val="66615C"/>
                <w:sz w:val="17"/>
              </w:rPr>
              <w:t>No more downstream rewriting until the canonical reference is approved.</w:t>
            </w:r>
          </w:p>
        </w:tc>
      </w:tr>
    </w:tbl>
    <w:p>
      <w:pPr>
        <w:spacing w:after="20"/>
      </w:pPr>
    </w:p>
    <w:tbl>
      <w:tblPr>
        <w:tblW w:type="auto" w:w="0"/>
        <w:jc w:val="center"/>
        <w:tblLayout w:type="fixed"/>
        <w:tblLook w:firstColumn="1" w:firstRow="1" w:lastColumn="0" w:lastRow="0" w:noHBand="0" w:noVBand="1" w:val="04A0"/>
      </w:tblPr>
      <w:tblGrid>
        <w:gridCol w:w="792"/>
        <w:gridCol w:w="9144"/>
      </w:tblGrid>
      <w:tr>
        <w:trPr>
          <w:trHeight w:hRule="atLeast"/>
          <w:cantSplit/>
        </w:trPr>
        <w:tc>
          <w:tcPr>
            <w:tcW w:type="dxa" w:w="5083"/>
            <w:shd w:fill="7A1E1E"/>
            <w:tcBorders>
              <w:top w:val="single" w:sz="6" w:space="0" w:color="7A1E1E"/>
              <w:left w:val="single" w:sz="6" w:space="0" w:color="7A1E1E"/>
              <w:bottom w:val="single" w:sz="6" w:space="0" w:color="7A1E1E"/>
              <w:right w:val="single" w:sz="6" w:space="0" w:color="7A1E1E"/>
              <w:insideH w:val="single" w:sz="6" w:space="0" w:color="7A1E1E"/>
              <w:insideV w:val="single" w:sz="6" w:space="0" w:color="7A1E1E"/>
            </w:tcBorders>
            <w:tcMar>
              <w:top w:w="95" w:type="dxa"/>
              <w:start w:w="80" w:type="dxa"/>
              <w:bottom w:w="95" w:type="dxa"/>
              <w:end w:w="80" w:type="dxa"/>
            </w:tcMar>
          </w:tcPr>
          <w:p>
            <w:pPr>
              <w:jc w:val="center"/>
            </w:pPr>
            <w:r>
              <w:rPr>
                <w:rFonts w:ascii="Aptos" w:hAnsi="Aptos"/>
                <w:b/>
                <w:i w:val="0"/>
                <w:color w:val="FFFFFF"/>
                <w:sz w:val="26"/>
              </w:rPr>
              <w:t>2</w:t>
            </w:r>
          </w:p>
        </w:tc>
        <w:tc>
          <w:tcPr>
            <w:tcW w:type="dxa" w:w="5083"/>
            <w:shd w:fill="F8F5F1"/>
            <w:tcBorders>
              <w:top w:val="single" w:sz="6" w:space="0" w:color="DDD4CA"/>
              <w:left w:val="single" w:sz="6" w:space="0" w:color="DDD4CA"/>
              <w:bottom w:val="single" w:sz="6" w:space="0" w:color="DDD4CA"/>
              <w:right w:val="single" w:sz="6" w:space="0" w:color="DDD4CA"/>
              <w:insideH w:val="single" w:sz="6" w:space="0" w:color="DDD4CA"/>
              <w:insideV w:val="single" w:sz="6" w:space="0" w:color="DDD4CA"/>
            </w:tcBorders>
            <w:tcMar>
              <w:top w:w="95" w:type="dxa"/>
              <w:start w:w="120" w:type="dxa"/>
              <w:bottom w:w="95" w:type="dxa"/>
              <w:end w:w="120" w:type="dxa"/>
            </w:tcMar>
          </w:tcPr>
          <w:p>
            <w:r>
              <w:rPr>
                <w:rFonts w:ascii="Aptos" w:hAnsi="Aptos"/>
                <w:b/>
                <w:i w:val="0"/>
                <w:color w:val="1A1A1A"/>
                <w:sz w:val="19"/>
              </w:rPr>
              <w:t>Create Founding Funding Deck</w:t>
            </w:r>
          </w:p>
          <w:p>
            <w:r>
              <w:rPr>
                <w:rFonts w:ascii="Aptos" w:hAnsi="Aptos"/>
                <w:b w:val="0"/>
                <w:i w:val="0"/>
                <w:color w:val="66615C"/>
                <w:sz w:val="17"/>
              </w:rPr>
              <w:t>This becomes the first external visual pitch.</w:t>
            </w:r>
          </w:p>
        </w:tc>
      </w:tr>
    </w:tbl>
    <w:p>
      <w:pPr>
        <w:spacing w:after="20"/>
      </w:pPr>
    </w:p>
    <w:tbl>
      <w:tblPr>
        <w:tblW w:type="auto" w:w="0"/>
        <w:jc w:val="center"/>
        <w:tblLayout w:type="fixed"/>
        <w:tblLook w:firstColumn="1" w:firstRow="1" w:lastColumn="0" w:lastRow="0" w:noHBand="0" w:noVBand="1" w:val="04A0"/>
      </w:tblPr>
      <w:tblGrid>
        <w:gridCol w:w="792"/>
        <w:gridCol w:w="9144"/>
      </w:tblGrid>
      <w:tr>
        <w:trPr>
          <w:trHeight w:hRule="atLeast"/>
          <w:cantSplit/>
        </w:trPr>
        <w:tc>
          <w:tcPr>
            <w:tcW w:type="dxa" w:w="5083"/>
            <w:shd w:fill="7A1E1E"/>
            <w:tcBorders>
              <w:top w:val="single" w:sz="6" w:space="0" w:color="7A1E1E"/>
              <w:left w:val="single" w:sz="6" w:space="0" w:color="7A1E1E"/>
              <w:bottom w:val="single" w:sz="6" w:space="0" w:color="7A1E1E"/>
              <w:right w:val="single" w:sz="6" w:space="0" w:color="7A1E1E"/>
              <w:insideH w:val="single" w:sz="6" w:space="0" w:color="7A1E1E"/>
              <w:insideV w:val="single" w:sz="6" w:space="0" w:color="7A1E1E"/>
            </w:tcBorders>
            <w:tcMar>
              <w:top w:w="95" w:type="dxa"/>
              <w:start w:w="80" w:type="dxa"/>
              <w:bottom w:w="95" w:type="dxa"/>
              <w:end w:w="80" w:type="dxa"/>
            </w:tcMar>
          </w:tcPr>
          <w:p>
            <w:pPr>
              <w:jc w:val="center"/>
            </w:pPr>
            <w:r>
              <w:rPr>
                <w:rFonts w:ascii="Aptos" w:hAnsi="Aptos"/>
                <w:b/>
                <w:i w:val="0"/>
                <w:color w:val="FFFFFF"/>
                <w:sz w:val="26"/>
              </w:rPr>
              <w:t>3</w:t>
            </w:r>
          </w:p>
        </w:tc>
        <w:tc>
          <w:tcPr>
            <w:tcW w:type="dxa" w:w="5083"/>
            <w:shd w:fill="F8F5F1"/>
            <w:tcBorders>
              <w:top w:val="single" w:sz="6" w:space="0" w:color="DDD4CA"/>
              <w:left w:val="single" w:sz="6" w:space="0" w:color="DDD4CA"/>
              <w:bottom w:val="single" w:sz="6" w:space="0" w:color="DDD4CA"/>
              <w:right w:val="single" w:sz="6" w:space="0" w:color="DDD4CA"/>
              <w:insideH w:val="single" w:sz="6" w:space="0" w:color="DDD4CA"/>
              <w:insideV w:val="single" w:sz="6" w:space="0" w:color="DDD4CA"/>
            </w:tcBorders>
            <w:tcMar>
              <w:top w:w="95" w:type="dxa"/>
              <w:start w:w="120" w:type="dxa"/>
              <w:bottom w:w="95" w:type="dxa"/>
              <w:end w:w="120" w:type="dxa"/>
            </w:tcMar>
          </w:tcPr>
          <w:p>
            <w:r>
              <w:rPr>
                <w:rFonts w:ascii="Aptos" w:hAnsi="Aptos"/>
                <w:b/>
                <w:i w:val="0"/>
                <w:color w:val="1A1A1A"/>
                <w:sz w:val="19"/>
              </w:rPr>
              <w:t>Create Continuity Receipt v1 + revise Bridge Partner Protocol</w:t>
            </w:r>
          </w:p>
          <w:p>
            <w:r>
              <w:rPr>
                <w:rFonts w:ascii="Aptos" w:hAnsi="Aptos"/>
                <w:b w:val="0"/>
                <w:i w:val="0"/>
                <w:color w:val="66615C"/>
                <w:sz w:val="17"/>
              </w:rPr>
              <w:t>Make the differentiator tangible and institution-safe.</w:t>
            </w:r>
          </w:p>
        </w:tc>
      </w:tr>
    </w:tbl>
    <w:p>
      <w:pPr>
        <w:spacing w:after="20"/>
      </w:pPr>
    </w:p>
    <w:tbl>
      <w:tblPr>
        <w:tblW w:type="auto" w:w="0"/>
        <w:jc w:val="center"/>
        <w:tblLayout w:type="fixed"/>
        <w:tblLook w:firstColumn="1" w:firstRow="1" w:lastColumn="0" w:lastRow="0" w:noHBand="0" w:noVBand="1" w:val="04A0"/>
      </w:tblPr>
      <w:tblGrid>
        <w:gridCol w:w="792"/>
        <w:gridCol w:w="9144"/>
      </w:tblGrid>
      <w:tr>
        <w:trPr>
          <w:trHeight w:hRule="atLeast"/>
          <w:cantSplit/>
        </w:trPr>
        <w:tc>
          <w:tcPr>
            <w:tcW w:type="dxa" w:w="5083"/>
            <w:shd w:fill="7A1E1E"/>
            <w:tcBorders>
              <w:top w:val="single" w:sz="6" w:space="0" w:color="7A1E1E"/>
              <w:left w:val="single" w:sz="6" w:space="0" w:color="7A1E1E"/>
              <w:bottom w:val="single" w:sz="6" w:space="0" w:color="7A1E1E"/>
              <w:right w:val="single" w:sz="6" w:space="0" w:color="7A1E1E"/>
              <w:insideH w:val="single" w:sz="6" w:space="0" w:color="7A1E1E"/>
              <w:insideV w:val="single" w:sz="6" w:space="0" w:color="7A1E1E"/>
            </w:tcBorders>
            <w:tcMar>
              <w:top w:w="95" w:type="dxa"/>
              <w:start w:w="80" w:type="dxa"/>
              <w:bottom w:w="95" w:type="dxa"/>
              <w:end w:w="80" w:type="dxa"/>
            </w:tcMar>
          </w:tcPr>
          <w:p>
            <w:pPr>
              <w:jc w:val="center"/>
            </w:pPr>
            <w:r>
              <w:rPr>
                <w:rFonts w:ascii="Aptos" w:hAnsi="Aptos"/>
                <w:b/>
                <w:i w:val="0"/>
                <w:color w:val="FFFFFF"/>
                <w:sz w:val="26"/>
              </w:rPr>
              <w:t>4</w:t>
            </w:r>
          </w:p>
        </w:tc>
        <w:tc>
          <w:tcPr>
            <w:tcW w:type="dxa" w:w="5083"/>
            <w:shd w:fill="F8F5F1"/>
            <w:tcBorders>
              <w:top w:val="single" w:sz="6" w:space="0" w:color="DDD4CA"/>
              <w:left w:val="single" w:sz="6" w:space="0" w:color="DDD4CA"/>
              <w:bottom w:val="single" w:sz="6" w:space="0" w:color="DDD4CA"/>
              <w:right w:val="single" w:sz="6" w:space="0" w:color="DDD4CA"/>
              <w:insideH w:val="single" w:sz="6" w:space="0" w:color="DDD4CA"/>
              <w:insideV w:val="single" w:sz="6" w:space="0" w:color="DDD4CA"/>
            </w:tcBorders>
            <w:tcMar>
              <w:top w:w="95" w:type="dxa"/>
              <w:start w:w="120" w:type="dxa"/>
              <w:bottom w:w="95" w:type="dxa"/>
              <w:end w:w="120" w:type="dxa"/>
            </w:tcMar>
          </w:tcPr>
          <w:p>
            <w:r>
              <w:rPr>
                <w:rFonts w:ascii="Aptos" w:hAnsi="Aptos"/>
                <w:b/>
                <w:i w:val="0"/>
                <w:color w:val="1A1A1A"/>
                <w:sz w:val="19"/>
              </w:rPr>
              <w:t>Create Pilot Operating Manual + security/privacy memo</w:t>
            </w:r>
          </w:p>
          <w:p>
            <w:r>
              <w:rPr>
                <w:rFonts w:ascii="Aptos" w:hAnsi="Aptos"/>
                <w:b w:val="0"/>
                <w:i w:val="0"/>
                <w:color w:val="66615C"/>
                <w:sz w:val="17"/>
              </w:rPr>
              <w:t>Turn concept into something a sponsor can responsibly host.</w:t>
            </w:r>
          </w:p>
        </w:tc>
      </w:tr>
    </w:tbl>
    <w:p>
      <w:pPr>
        <w:spacing w:after="20"/>
      </w:pPr>
    </w:p>
    <w:tbl>
      <w:tblPr>
        <w:tblW w:type="auto" w:w="0"/>
        <w:jc w:val="center"/>
        <w:tblLayout w:type="fixed"/>
        <w:tblLook w:firstColumn="1" w:firstRow="1" w:lastColumn="0" w:lastRow="0" w:noHBand="0" w:noVBand="1" w:val="04A0"/>
      </w:tblPr>
      <w:tblGrid>
        <w:gridCol w:w="792"/>
        <w:gridCol w:w="9144"/>
      </w:tblGrid>
      <w:tr>
        <w:trPr>
          <w:trHeight w:hRule="atLeast"/>
          <w:cantSplit/>
        </w:trPr>
        <w:tc>
          <w:tcPr>
            <w:tcW w:type="dxa" w:w="5083"/>
            <w:shd w:fill="7A1E1E"/>
            <w:tcBorders>
              <w:top w:val="single" w:sz="6" w:space="0" w:color="7A1E1E"/>
              <w:left w:val="single" w:sz="6" w:space="0" w:color="7A1E1E"/>
              <w:bottom w:val="single" w:sz="6" w:space="0" w:color="7A1E1E"/>
              <w:right w:val="single" w:sz="6" w:space="0" w:color="7A1E1E"/>
              <w:insideH w:val="single" w:sz="6" w:space="0" w:color="7A1E1E"/>
              <w:insideV w:val="single" w:sz="6" w:space="0" w:color="7A1E1E"/>
            </w:tcBorders>
            <w:tcMar>
              <w:top w:w="95" w:type="dxa"/>
              <w:start w:w="80" w:type="dxa"/>
              <w:bottom w:w="95" w:type="dxa"/>
              <w:end w:w="80" w:type="dxa"/>
            </w:tcMar>
          </w:tcPr>
          <w:p>
            <w:pPr>
              <w:jc w:val="center"/>
            </w:pPr>
            <w:r>
              <w:rPr>
                <w:rFonts w:ascii="Aptos" w:hAnsi="Aptos"/>
                <w:b/>
                <w:i w:val="0"/>
                <w:color w:val="FFFFFF"/>
                <w:sz w:val="26"/>
              </w:rPr>
              <w:t>5</w:t>
            </w:r>
          </w:p>
        </w:tc>
        <w:tc>
          <w:tcPr>
            <w:tcW w:type="dxa" w:w="5083"/>
            <w:shd w:fill="F8F5F1"/>
            <w:tcBorders>
              <w:top w:val="single" w:sz="6" w:space="0" w:color="DDD4CA"/>
              <w:left w:val="single" w:sz="6" w:space="0" w:color="DDD4CA"/>
              <w:bottom w:val="single" w:sz="6" w:space="0" w:color="DDD4CA"/>
              <w:right w:val="single" w:sz="6" w:space="0" w:color="DDD4CA"/>
              <w:insideH w:val="single" w:sz="6" w:space="0" w:color="DDD4CA"/>
              <w:insideV w:val="single" w:sz="6" w:space="0" w:color="DDD4CA"/>
            </w:tcBorders>
            <w:tcMar>
              <w:top w:w="95" w:type="dxa"/>
              <w:start w:w="120" w:type="dxa"/>
              <w:bottom w:w="95" w:type="dxa"/>
              <w:end w:w="120" w:type="dxa"/>
            </w:tcMar>
          </w:tcPr>
          <w:p>
            <w:r>
              <w:rPr>
                <w:rFonts w:ascii="Aptos" w:hAnsi="Aptos"/>
                <w:b/>
                <w:i w:val="0"/>
                <w:color w:val="1A1A1A"/>
                <w:sz w:val="19"/>
              </w:rPr>
              <w:t>Build founder/team credibility page + one-page prototype evidence sheet</w:t>
            </w:r>
          </w:p>
          <w:p>
            <w:r>
              <w:rPr>
                <w:rFonts w:ascii="Aptos" w:hAnsi="Aptos"/>
                <w:b w:val="0"/>
                <w:i w:val="0"/>
                <w:color w:val="66615C"/>
                <w:sz w:val="17"/>
              </w:rPr>
              <w:t>Show why this can actually be executed.</w:t>
            </w:r>
          </w:p>
        </w:tc>
      </w:tr>
    </w:tbl>
    <w:p>
      <w:pPr>
        <w:spacing w:after="20"/>
      </w:pPr>
    </w:p>
    <w:tbl>
      <w:tblPr>
        <w:tblW w:type="auto" w:w="0"/>
        <w:jc w:val="center"/>
        <w:tblLayout w:type="fixed"/>
        <w:tblLook w:firstColumn="1" w:firstRow="1" w:lastColumn="0" w:lastRow="0" w:noHBand="0" w:noVBand="1" w:val="04A0"/>
      </w:tblPr>
      <w:tblGrid>
        <w:gridCol w:w="792"/>
        <w:gridCol w:w="9144"/>
      </w:tblGrid>
      <w:tr>
        <w:trPr>
          <w:trHeight w:hRule="atLeast"/>
          <w:cantSplit/>
        </w:trPr>
        <w:tc>
          <w:tcPr>
            <w:tcW w:type="dxa" w:w="5083"/>
            <w:shd w:fill="7A1E1E"/>
            <w:tcBorders>
              <w:top w:val="single" w:sz="6" w:space="0" w:color="7A1E1E"/>
              <w:left w:val="single" w:sz="6" w:space="0" w:color="7A1E1E"/>
              <w:bottom w:val="single" w:sz="6" w:space="0" w:color="7A1E1E"/>
              <w:right w:val="single" w:sz="6" w:space="0" w:color="7A1E1E"/>
              <w:insideH w:val="single" w:sz="6" w:space="0" w:color="7A1E1E"/>
              <w:insideV w:val="single" w:sz="6" w:space="0" w:color="7A1E1E"/>
            </w:tcBorders>
            <w:tcMar>
              <w:top w:w="95" w:type="dxa"/>
              <w:start w:w="80" w:type="dxa"/>
              <w:bottom w:w="95" w:type="dxa"/>
              <w:end w:w="80" w:type="dxa"/>
            </w:tcMar>
          </w:tcPr>
          <w:p>
            <w:pPr>
              <w:jc w:val="center"/>
            </w:pPr>
            <w:r>
              <w:rPr>
                <w:rFonts w:ascii="Aptos" w:hAnsi="Aptos"/>
                <w:b/>
                <w:i w:val="0"/>
                <w:color w:val="FFFFFF"/>
                <w:sz w:val="26"/>
              </w:rPr>
              <w:t>6</w:t>
            </w:r>
          </w:p>
        </w:tc>
        <w:tc>
          <w:tcPr>
            <w:tcW w:type="dxa" w:w="5083"/>
            <w:shd w:fill="F8F5F1"/>
            <w:tcBorders>
              <w:top w:val="single" w:sz="6" w:space="0" w:color="DDD4CA"/>
              <w:left w:val="single" w:sz="6" w:space="0" w:color="DDD4CA"/>
              <w:bottom w:val="single" w:sz="6" w:space="0" w:color="DDD4CA"/>
              <w:right w:val="single" w:sz="6" w:space="0" w:color="DDD4CA"/>
              <w:insideH w:val="single" w:sz="6" w:space="0" w:color="DDD4CA"/>
              <w:insideV w:val="single" w:sz="6" w:space="0" w:color="DDD4CA"/>
            </w:tcBorders>
            <w:tcMar>
              <w:top w:w="95" w:type="dxa"/>
              <w:start w:w="120" w:type="dxa"/>
              <w:bottom w:w="95" w:type="dxa"/>
              <w:end w:w="120" w:type="dxa"/>
            </w:tcMar>
          </w:tcPr>
          <w:p>
            <w:r>
              <w:rPr>
                <w:rFonts w:ascii="Aptos" w:hAnsi="Aptos"/>
                <w:b/>
                <w:i w:val="0"/>
                <w:color w:val="1A1A1A"/>
                <w:sz w:val="19"/>
              </w:rPr>
              <w:t>Start targeted fiscal-sponsor + pilot-partner outreach</w:t>
            </w:r>
          </w:p>
          <w:p>
            <w:r>
              <w:rPr>
                <w:rFonts w:ascii="Aptos" w:hAnsi="Aptos"/>
                <w:b w:val="0"/>
                <w:i w:val="0"/>
                <w:color w:val="66615C"/>
                <w:sz w:val="17"/>
              </w:rPr>
              <w:t>Get real institutional pressure-testing and letters of interest.</w:t>
            </w:r>
          </w:p>
        </w:tc>
      </w:tr>
    </w:tbl>
    <w:p>
      <w:pPr>
        <w:spacing w:after="20"/>
      </w:pPr>
    </w:p>
    <w:tbl>
      <w:tblPr>
        <w:tblW w:type="auto" w:w="0"/>
        <w:jc w:val="center"/>
        <w:tblLayout w:type="fixed"/>
        <w:tblLook w:firstColumn="1" w:firstRow="1" w:lastColumn="0" w:lastRow="0" w:noHBand="0" w:noVBand="1" w:val="04A0"/>
      </w:tblPr>
      <w:tblGrid>
        <w:gridCol w:w="792"/>
        <w:gridCol w:w="9144"/>
      </w:tblGrid>
      <w:tr>
        <w:trPr>
          <w:trHeight w:hRule="atLeast"/>
          <w:cantSplit/>
        </w:trPr>
        <w:tc>
          <w:tcPr>
            <w:tcW w:type="dxa" w:w="5083"/>
            <w:shd w:fill="7A1E1E"/>
            <w:tcBorders>
              <w:top w:val="single" w:sz="6" w:space="0" w:color="7A1E1E"/>
              <w:left w:val="single" w:sz="6" w:space="0" w:color="7A1E1E"/>
              <w:bottom w:val="single" w:sz="6" w:space="0" w:color="7A1E1E"/>
              <w:right w:val="single" w:sz="6" w:space="0" w:color="7A1E1E"/>
              <w:insideH w:val="single" w:sz="6" w:space="0" w:color="7A1E1E"/>
              <w:insideV w:val="single" w:sz="6" w:space="0" w:color="7A1E1E"/>
            </w:tcBorders>
            <w:tcMar>
              <w:top w:w="95" w:type="dxa"/>
              <w:start w:w="80" w:type="dxa"/>
              <w:bottom w:w="95" w:type="dxa"/>
              <w:end w:w="80" w:type="dxa"/>
            </w:tcMar>
          </w:tcPr>
          <w:p>
            <w:pPr>
              <w:jc w:val="center"/>
            </w:pPr>
            <w:r>
              <w:rPr>
                <w:rFonts w:ascii="Aptos" w:hAnsi="Aptos"/>
                <w:b/>
                <w:i w:val="0"/>
                <w:color w:val="FFFFFF"/>
                <w:sz w:val="26"/>
              </w:rPr>
              <w:t>7</w:t>
            </w:r>
          </w:p>
        </w:tc>
        <w:tc>
          <w:tcPr>
            <w:tcW w:type="dxa" w:w="5083"/>
            <w:shd w:fill="F8F5F1"/>
            <w:tcBorders>
              <w:top w:val="single" w:sz="6" w:space="0" w:color="DDD4CA"/>
              <w:left w:val="single" w:sz="6" w:space="0" w:color="DDD4CA"/>
              <w:bottom w:val="single" w:sz="6" w:space="0" w:color="DDD4CA"/>
              <w:right w:val="single" w:sz="6" w:space="0" w:color="DDD4CA"/>
              <w:insideH w:val="single" w:sz="6" w:space="0" w:color="DDD4CA"/>
              <w:insideV w:val="single" w:sz="6" w:space="0" w:color="DDD4CA"/>
            </w:tcBorders>
            <w:tcMar>
              <w:top w:w="95" w:type="dxa"/>
              <w:start w:w="120" w:type="dxa"/>
              <w:bottom w:w="95" w:type="dxa"/>
              <w:end w:w="120" w:type="dxa"/>
            </w:tcMar>
          </w:tcPr>
          <w:p>
            <w:r>
              <w:rPr>
                <w:rFonts w:ascii="Aptos" w:hAnsi="Aptos"/>
                <w:b/>
                <w:i w:val="0"/>
                <w:color w:val="1A1A1A"/>
                <w:sz w:val="19"/>
              </w:rPr>
              <w:t>Then broaden to foundations/corporate impact funders</w:t>
            </w:r>
          </w:p>
          <w:p>
            <w:r>
              <w:rPr>
                <w:rFonts w:ascii="Aptos" w:hAnsi="Aptos"/>
                <w:b w:val="0"/>
                <w:i w:val="0"/>
                <w:color w:val="66615C"/>
                <w:sz w:val="17"/>
              </w:rPr>
              <w:t>Use partner validation to strengthen the $100k case.</w:t>
            </w:r>
          </w:p>
        </w:tc>
      </w:tr>
    </w:tbl>
    <w:p>
      <w:pPr>
        <w:spacing w:after="20"/>
      </w:pPr>
    </w:p>
    <w:p>
      <w:pPr>
        <w:pStyle w:val="Heading1"/>
      </w:pPr>
      <w:r>
        <w:t>12. Source Register &amp; Supersession Notes</w:t>
      </w:r>
    </w:p>
    <w:tbl>
      <w:tblPr>
        <w:tblW w:type="auto" w:w="0"/>
        <w:jc w:val="center"/>
        <w:tblLayout w:type="fixed"/>
        <w:tblLook w:firstColumn="1" w:firstRow="1" w:lastColumn="0" w:lastRow="0" w:noHBand="0" w:noVBand="1" w:val="04A0"/>
      </w:tblPr>
      <w:tblGrid>
        <w:gridCol w:w="4104"/>
        <w:gridCol w:w="4464"/>
        <w:gridCol w:w="2088"/>
      </w:tblGrid>
      <w:tr>
        <w:trPr>
          <w:trHeight w:hRule="atLeast"/>
          <w:tblHeader w:val="true"/>
          <w:cantSplit/>
        </w:trPr>
        <w:tc>
          <w:tcPr>
            <w:tcW w:type="dxa" w:w="3389"/>
            <w:shd w:fill="7A1E1E"/>
            <w:tcBorders>
              <w:top w:val="single" w:sz="6" w:space="0" w:color="7A1E1E"/>
              <w:left w:val="single" w:sz="6" w:space="0" w:color="7A1E1E"/>
              <w:bottom w:val="single" w:sz="6" w:space="0" w:color="7A1E1E"/>
              <w:right w:val="single" w:sz="6" w:space="0" w:color="7A1E1E"/>
              <w:insideH w:val="single" w:sz="6" w:space="0" w:color="7A1E1E"/>
              <w:insideV w:val="single" w:sz="6" w:space="0" w:color="7A1E1E"/>
            </w:tcBorders>
            <w:tcMar>
              <w:top w:w="90" w:type="dxa"/>
              <w:start w:w="110" w:type="dxa"/>
              <w:bottom w:w="90" w:type="dxa"/>
              <w:end w:w="110" w:type="dxa"/>
            </w:tcMar>
          </w:tcPr>
          <w:p>
            <w:r>
              <w:rPr>
                <w:b/>
                <w:color w:val="FFFFFF"/>
                <w:sz w:val="15"/>
              </w:rPr>
              <w:t>SOURCE</w:t>
            </w:r>
          </w:p>
        </w:tc>
        <w:tc>
          <w:tcPr>
            <w:tcW w:type="dxa" w:w="3389"/>
            <w:shd w:fill="7A1E1E"/>
            <w:tcBorders>
              <w:top w:val="single" w:sz="6" w:space="0" w:color="7A1E1E"/>
              <w:left w:val="single" w:sz="6" w:space="0" w:color="7A1E1E"/>
              <w:bottom w:val="single" w:sz="6" w:space="0" w:color="7A1E1E"/>
              <w:right w:val="single" w:sz="6" w:space="0" w:color="7A1E1E"/>
              <w:insideH w:val="single" w:sz="6" w:space="0" w:color="7A1E1E"/>
              <w:insideV w:val="single" w:sz="6" w:space="0" w:color="7A1E1E"/>
            </w:tcBorders>
            <w:tcMar>
              <w:top w:w="90" w:type="dxa"/>
              <w:start w:w="110" w:type="dxa"/>
              <w:bottom w:w="90" w:type="dxa"/>
              <w:end w:w="110" w:type="dxa"/>
            </w:tcMar>
          </w:tcPr>
          <w:p>
            <w:r>
              <w:rPr>
                <w:b/>
                <w:color w:val="FFFFFF"/>
                <w:sz w:val="15"/>
              </w:rPr>
              <w:t>WHAT IT CONTRIBUTES</w:t>
            </w:r>
          </w:p>
        </w:tc>
        <w:tc>
          <w:tcPr>
            <w:tcW w:type="dxa" w:w="3389"/>
            <w:shd w:fill="7A1E1E"/>
            <w:tcBorders>
              <w:top w:val="single" w:sz="6" w:space="0" w:color="7A1E1E"/>
              <w:left w:val="single" w:sz="6" w:space="0" w:color="7A1E1E"/>
              <w:bottom w:val="single" w:sz="6" w:space="0" w:color="7A1E1E"/>
              <w:right w:val="single" w:sz="6" w:space="0" w:color="7A1E1E"/>
              <w:insideH w:val="single" w:sz="6" w:space="0" w:color="7A1E1E"/>
              <w:insideV w:val="single" w:sz="6" w:space="0" w:color="7A1E1E"/>
            </w:tcBorders>
            <w:tcMar>
              <w:top w:w="90" w:type="dxa"/>
              <w:start w:w="110" w:type="dxa"/>
              <w:bottom w:w="90" w:type="dxa"/>
              <w:end w:w="110" w:type="dxa"/>
            </w:tcMar>
          </w:tcPr>
          <w:p>
            <w:r>
              <w:rPr>
                <w:b/>
                <w:color w:val="FFFFFF"/>
                <w:sz w:val="15"/>
              </w:rPr>
              <w:t>STATUS</w:t>
            </w:r>
          </w:p>
        </w:tc>
      </w:tr>
      <w:tr>
        <w:trPr>
          <w:trHeight w:hRule="atLeast"/>
          <w:cantSplit/>
        </w:trPr>
        <w:tc>
          <w:tcPr>
            <w:tcW w:type="dxa" w:w="410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sz w:val="14"/>
              </w:rPr>
              <w:t>Maps_With_Teeth_Founding_Blueprint_v2.docx</w:t>
            </w:r>
          </w:p>
        </w:tc>
        <w:tc>
          <w:tcPr>
            <w:tcW w:type="dxa" w:w="446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4"/>
              </w:rPr>
              <w:t>Program architecture, pilot, long-term vision, boundaries.</w:t>
            </w:r>
          </w:p>
        </w:tc>
        <w:tc>
          <w:tcPr>
            <w:tcW w:type="dxa" w:w="20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2F6B57"/>
                <w:sz w:val="13"/>
              </w:rPr>
              <w:t>ACTIVE SOURCE</w:t>
            </w:r>
          </w:p>
        </w:tc>
      </w:tr>
      <w:tr>
        <w:trPr>
          <w:trHeight w:hRule="atLeast"/>
          <w:cantSplit/>
        </w:trPr>
        <w:tc>
          <w:tcPr>
            <w:tcW w:type="dxa" w:w="410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sz w:val="14"/>
              </w:rPr>
              <w:t>Maps_With_Teeth_2-3_Page_Summary.docx</w:t>
            </w:r>
          </w:p>
        </w:tc>
        <w:tc>
          <w:tcPr>
            <w:tcW w:type="dxa" w:w="446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4"/>
              </w:rPr>
              <w:t>Concise founding summary.</w:t>
            </w:r>
          </w:p>
        </w:tc>
        <w:tc>
          <w:tcPr>
            <w:tcW w:type="dxa" w:w="20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2F6B57"/>
                <w:sz w:val="13"/>
              </w:rPr>
              <w:t>ACTIVE SOURCE</w:t>
            </w:r>
          </w:p>
        </w:tc>
      </w:tr>
      <w:tr>
        <w:trPr>
          <w:trHeight w:hRule="atLeast"/>
          <w:cantSplit/>
        </w:trPr>
        <w:tc>
          <w:tcPr>
            <w:tcW w:type="dxa" w:w="410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sz w:val="14"/>
              </w:rPr>
              <w:t>Maps_With_Teeth_Fiscal_Sponsor_Pitch.docx</w:t>
            </w:r>
          </w:p>
        </w:tc>
        <w:tc>
          <w:tcPr>
            <w:tcW w:type="dxa" w:w="446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4"/>
              </w:rPr>
              <w:t>Fiscal-sponsor ask and canonical budget summary.</w:t>
            </w:r>
          </w:p>
        </w:tc>
        <w:tc>
          <w:tcPr>
            <w:tcW w:type="dxa" w:w="20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2F6B57"/>
                <w:sz w:val="13"/>
              </w:rPr>
              <w:t>ACTIVE SOURCE</w:t>
            </w:r>
          </w:p>
        </w:tc>
      </w:tr>
      <w:tr>
        <w:trPr>
          <w:trHeight w:hRule="atLeast"/>
          <w:cantSplit/>
        </w:trPr>
        <w:tc>
          <w:tcPr>
            <w:tcW w:type="dxa" w:w="410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sz w:val="14"/>
              </w:rPr>
              <w:t>Maps_With_Teeth_Financial_Proposal_v2.docx</w:t>
            </w:r>
          </w:p>
        </w:tc>
        <w:tc>
          <w:tcPr>
            <w:tcW w:type="dxa" w:w="446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4"/>
              </w:rPr>
              <w:t>Canonical $100,000 budget and financial controls.</w:t>
            </w:r>
          </w:p>
        </w:tc>
        <w:tc>
          <w:tcPr>
            <w:tcW w:type="dxa" w:w="20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2F6B57"/>
                <w:sz w:val="13"/>
              </w:rPr>
              <w:t>BUDGET AUTHORITY</w:t>
            </w:r>
          </w:p>
        </w:tc>
      </w:tr>
      <w:tr>
        <w:trPr>
          <w:trHeight w:hRule="atLeast"/>
          <w:cantSplit/>
        </w:trPr>
        <w:tc>
          <w:tcPr>
            <w:tcW w:type="dxa" w:w="410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sz w:val="14"/>
              </w:rPr>
              <w:t>Maps_With_Teeth_Competitive_Precedent_Landscape.docx</w:t>
            </w:r>
          </w:p>
        </w:tc>
        <w:tc>
          <w:tcPr>
            <w:tcW w:type="dxa" w:w="446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4"/>
              </w:rPr>
              <w:t>Competitive positioning and build/borrow/partner strategy.</w:t>
            </w:r>
          </w:p>
        </w:tc>
        <w:tc>
          <w:tcPr>
            <w:tcW w:type="dxa" w:w="20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2F6B57"/>
                <w:sz w:val="13"/>
              </w:rPr>
              <w:t>ACTIVE SOURCE</w:t>
            </w:r>
          </w:p>
        </w:tc>
      </w:tr>
      <w:tr>
        <w:trPr>
          <w:trHeight w:hRule="atLeast"/>
          <w:cantSplit/>
        </w:trPr>
        <w:tc>
          <w:tcPr>
            <w:tcW w:type="dxa" w:w="410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sz w:val="14"/>
              </w:rPr>
              <w:t>Bridge_Partner_Protocol.pdf</w:t>
            </w:r>
          </w:p>
        </w:tc>
        <w:tc>
          <w:tcPr>
            <w:tcW w:type="dxa" w:w="446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4"/>
              </w:rPr>
              <w:t>Partner protocol draft.</w:t>
            </w:r>
          </w:p>
        </w:tc>
        <w:tc>
          <w:tcPr>
            <w:tcW w:type="dxa" w:w="20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7A1E1E"/>
                <w:sz w:val="13"/>
              </w:rPr>
              <w:t>ACTIVE — REVISION REQUIRED</w:t>
            </w:r>
          </w:p>
        </w:tc>
      </w:tr>
      <w:tr>
        <w:trPr>
          <w:trHeight w:hRule="atLeast"/>
          <w:cantSplit/>
        </w:trPr>
        <w:tc>
          <w:tcPr>
            <w:tcW w:type="dxa" w:w="410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sz w:val="14"/>
              </w:rPr>
              <w:t>Maps_With_Teeth_Overview_and_Pitch_v2.pdf</w:t>
            </w:r>
          </w:p>
        </w:tc>
        <w:tc>
          <w:tcPr>
            <w:tcW w:type="dxa" w:w="446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4"/>
              </w:rPr>
              <w:t>Older overview/pitch with conflicting budget allocation.</w:t>
            </w:r>
          </w:p>
        </w:tc>
        <w:tc>
          <w:tcPr>
            <w:tcW w:type="dxa" w:w="20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7A1E1E"/>
                <w:sz w:val="13"/>
              </w:rPr>
              <w:t>SUPERSEDED WHERE CONFLICTING</w:t>
            </w:r>
          </w:p>
        </w:tc>
      </w:tr>
      <w:tr>
        <w:trPr>
          <w:trHeight w:hRule="atLeast"/>
          <w:cantSplit/>
        </w:trPr>
        <w:tc>
          <w:tcPr>
            <w:tcW w:type="dxa" w:w="410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sz w:val="14"/>
              </w:rPr>
              <w:t>Phase 1 / Phase 2A technical audit records</w:t>
            </w:r>
          </w:p>
        </w:tc>
        <w:tc>
          <w:tcPr>
            <w:tcW w:type="dxa" w:w="446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4"/>
              </w:rPr>
              <w:t>Verified matcher/resource/evidence/UI status.</w:t>
            </w:r>
          </w:p>
        </w:tc>
        <w:tc>
          <w:tcPr>
            <w:tcW w:type="dxa" w:w="20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2F6B57"/>
                <w:sz w:val="13"/>
              </w:rPr>
              <w:t>TECHNICAL STATUS SOURCE</w:t>
            </w:r>
          </w:p>
        </w:tc>
      </w:tr>
      <w:tr>
        <w:trPr>
          <w:trHeight w:hRule="atLeast"/>
          <w:cantSplit/>
        </w:trPr>
        <w:tc>
          <w:tcPr>
            <w:tcW w:type="dxa" w:w="410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sz w:val="14"/>
              </w:rPr>
              <w:t>Maps With Teeth Brand Standards v1 / Master Document Template</w:t>
            </w:r>
          </w:p>
        </w:tc>
        <w:tc>
          <w:tcPr>
            <w:tcW w:type="dxa" w:w="446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4"/>
              </w:rPr>
              <w:t>Identity and document visual system.</w:t>
            </w:r>
          </w:p>
        </w:tc>
        <w:tc>
          <w:tcPr>
            <w:tcW w:type="dxa" w:w="2088"/>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2F6B57"/>
                <w:sz w:val="13"/>
              </w:rPr>
              <w:t>BRAND AUTHORITY</w:t>
            </w:r>
          </w:p>
        </w:tc>
      </w:tr>
    </w:tbl>
    <w:p>
      <w:pPr>
        <w:pStyle w:val="Heading1"/>
      </w:pPr>
      <w:r>
        <w:t>13. Decision Log — v1.0</w:t>
      </w:r>
    </w:p>
    <w:tbl>
      <w:tblPr>
        <w:tblW w:type="auto" w:w="0"/>
        <w:jc w:val="center"/>
        <w:tblLayout w:type="fixed"/>
        <w:tblLook w:firstColumn="1" w:firstRow="1" w:lastColumn="0" w:lastRow="0" w:noHBand="0" w:noVBand="1" w:val="04A0"/>
      </w:tblPr>
      <w:tblGrid>
        <w:gridCol w:w="1584"/>
        <w:gridCol w:w="5256"/>
        <w:gridCol w:w="3816"/>
      </w:tblGrid>
      <w:tr>
        <w:trPr>
          <w:trHeight w:hRule="atLeast"/>
          <w:tblHeader w:val="true"/>
          <w:cantSplit/>
        </w:trPr>
        <w:tc>
          <w:tcPr>
            <w:tcW w:type="dxa" w:w="3389"/>
            <w:shd w:fill="1A1A1A"/>
            <w:tcBorders>
              <w:top w:val="single" w:sz="6" w:space="0" w:color="1A1A1A"/>
              <w:left w:val="single" w:sz="6" w:space="0" w:color="1A1A1A"/>
              <w:bottom w:val="single" w:sz="6" w:space="0" w:color="1A1A1A"/>
              <w:right w:val="single" w:sz="6" w:space="0" w:color="1A1A1A"/>
              <w:insideH w:val="single" w:sz="6" w:space="0" w:color="1A1A1A"/>
              <w:insideV w:val="single" w:sz="6" w:space="0" w:color="1A1A1A"/>
            </w:tcBorders>
            <w:tcMar>
              <w:top w:w="90" w:type="dxa"/>
              <w:start w:w="110" w:type="dxa"/>
              <w:bottom w:w="90" w:type="dxa"/>
              <w:end w:w="110" w:type="dxa"/>
            </w:tcMar>
          </w:tcPr>
          <w:p>
            <w:r>
              <w:rPr>
                <w:b/>
                <w:color w:val="FFFFFF"/>
                <w:sz w:val="15"/>
              </w:rPr>
              <w:t>DATE</w:t>
            </w:r>
          </w:p>
        </w:tc>
        <w:tc>
          <w:tcPr>
            <w:tcW w:type="dxa" w:w="3389"/>
            <w:shd w:fill="1A1A1A"/>
            <w:tcBorders>
              <w:top w:val="single" w:sz="6" w:space="0" w:color="1A1A1A"/>
              <w:left w:val="single" w:sz="6" w:space="0" w:color="1A1A1A"/>
              <w:bottom w:val="single" w:sz="6" w:space="0" w:color="1A1A1A"/>
              <w:right w:val="single" w:sz="6" w:space="0" w:color="1A1A1A"/>
              <w:insideH w:val="single" w:sz="6" w:space="0" w:color="1A1A1A"/>
              <w:insideV w:val="single" w:sz="6" w:space="0" w:color="1A1A1A"/>
            </w:tcBorders>
            <w:tcMar>
              <w:top w:w="90" w:type="dxa"/>
              <w:start w:w="110" w:type="dxa"/>
              <w:bottom w:w="90" w:type="dxa"/>
              <w:end w:w="110" w:type="dxa"/>
            </w:tcMar>
          </w:tcPr>
          <w:p>
            <w:r>
              <w:rPr>
                <w:b/>
                <w:color w:val="FFFFFF"/>
                <w:sz w:val="15"/>
              </w:rPr>
              <w:t>DECISION</w:t>
            </w:r>
          </w:p>
        </w:tc>
        <w:tc>
          <w:tcPr>
            <w:tcW w:type="dxa" w:w="3389"/>
            <w:shd w:fill="1A1A1A"/>
            <w:tcBorders>
              <w:top w:val="single" w:sz="6" w:space="0" w:color="1A1A1A"/>
              <w:left w:val="single" w:sz="6" w:space="0" w:color="1A1A1A"/>
              <w:bottom w:val="single" w:sz="6" w:space="0" w:color="1A1A1A"/>
              <w:right w:val="single" w:sz="6" w:space="0" w:color="1A1A1A"/>
              <w:insideH w:val="single" w:sz="6" w:space="0" w:color="1A1A1A"/>
              <w:insideV w:val="single" w:sz="6" w:space="0" w:color="1A1A1A"/>
            </w:tcBorders>
            <w:tcMar>
              <w:top w:w="90" w:type="dxa"/>
              <w:start w:w="110" w:type="dxa"/>
              <w:bottom w:w="90" w:type="dxa"/>
              <w:end w:w="110" w:type="dxa"/>
            </w:tcMar>
          </w:tcPr>
          <w:p>
            <w:r>
              <w:rPr>
                <w:b/>
                <w:color w:val="FFFFFF"/>
                <w:sz w:val="15"/>
              </w:rPr>
              <w:t>NOTE</w:t>
            </w:r>
          </w:p>
        </w:tc>
      </w:tr>
      <w:tr>
        <w:trPr>
          <w:trHeight w:hRule="atLeast"/>
          <w:cantSplit/>
        </w:trPr>
        <w:tc>
          <w:tcPr>
            <w:tcW w:type="dxa" w:w="158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7A1E1E"/>
                <w:sz w:val="14"/>
              </w:rPr>
              <w:t>04 Sep 2026</w:t>
            </w:r>
          </w:p>
        </w:tc>
        <w:tc>
          <w:tcPr>
            <w:tcW w:type="dxa" w:w="525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4"/>
              </w:rPr>
              <w:t>Canonical first raise locked at $100,000 using Financial Proposal v2 line items.</w:t>
            </w:r>
          </w:p>
        </w:tc>
        <w:tc>
          <w:tcPr>
            <w:tcW w:type="dxa" w:w="381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4"/>
              </w:rPr>
              <w:t>Resolves conflicting overview allocation.</w:t>
            </w:r>
          </w:p>
        </w:tc>
      </w:tr>
      <w:tr>
        <w:trPr>
          <w:trHeight w:hRule="atLeast"/>
          <w:cantSplit/>
        </w:trPr>
        <w:tc>
          <w:tcPr>
            <w:tcW w:type="dxa" w:w="158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7A1E1E"/>
                <w:sz w:val="14"/>
              </w:rPr>
              <w:t>04 Sep 2026</w:t>
            </w:r>
          </w:p>
        </w:tc>
        <w:tc>
          <w:tcPr>
            <w:tcW w:type="dxa" w:w="525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4"/>
              </w:rPr>
              <w:t>Founder compensation locked for fundraising materials at $36,000 / six months plus $5,000 employer reserve.</w:t>
            </w:r>
          </w:p>
        </w:tc>
        <w:tc>
          <w:tcPr>
            <w:tcW w:type="dxa" w:w="381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4"/>
              </w:rPr>
              <w:t>Subject to fiscal-sponsor/board approval in practice.</w:t>
            </w:r>
          </w:p>
        </w:tc>
      </w:tr>
      <w:tr>
        <w:trPr>
          <w:trHeight w:hRule="atLeast"/>
          <w:cantSplit/>
        </w:trPr>
        <w:tc>
          <w:tcPr>
            <w:tcW w:type="dxa" w:w="158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7A1E1E"/>
                <w:sz w:val="14"/>
              </w:rPr>
              <w:t>04 Sep 2026</w:t>
            </w:r>
          </w:p>
        </w:tc>
        <w:tc>
          <w:tcPr>
            <w:tcW w:type="dxa" w:w="525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4"/>
              </w:rPr>
              <w:t>Primary capital framing is philanthropic/funder + comprehensive fiscal sponsorship, not ordinary equity investment.</w:t>
            </w:r>
          </w:p>
        </w:tc>
        <w:tc>
          <w:tcPr>
            <w:tcW w:type="dxa" w:w="381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4"/>
              </w:rPr>
              <w:t>Avoids entity/ask mismatch.</w:t>
            </w:r>
          </w:p>
        </w:tc>
      </w:tr>
      <w:tr>
        <w:trPr>
          <w:trHeight w:hRule="atLeast"/>
          <w:cantSplit/>
        </w:trPr>
        <w:tc>
          <w:tcPr>
            <w:tcW w:type="dxa" w:w="158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7A1E1E"/>
                <w:sz w:val="14"/>
              </w:rPr>
              <w:t>04 Sep 2026</w:t>
            </w:r>
          </w:p>
        </w:tc>
        <w:tc>
          <w:tcPr>
            <w:tcW w:type="dxa" w:w="525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4"/>
              </w:rPr>
              <w:t>Core differentiation locked to portable continuity + minimal institutional footprint + routing/merits distinction + deflection analytics.</w:t>
            </w:r>
          </w:p>
        </w:tc>
        <w:tc>
          <w:tcPr>
            <w:tcW w:type="dxa" w:w="381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4"/>
              </w:rPr>
              <w:t>Avoids false “first platform” claims.</w:t>
            </w:r>
          </w:p>
        </w:tc>
      </w:tr>
      <w:tr>
        <w:trPr>
          <w:trHeight w:hRule="atLeast"/>
          <w:cantSplit/>
        </w:trPr>
        <w:tc>
          <w:tcPr>
            <w:tcW w:type="dxa" w:w="158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7A1E1E"/>
                <w:sz w:val="14"/>
              </w:rPr>
              <w:t>04 Sep 2026</w:t>
            </w:r>
          </w:p>
        </w:tc>
        <w:tc>
          <w:tcPr>
            <w:tcW w:type="dxa" w:w="525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4"/>
              </w:rPr>
              <w:t>Current build and future program components must be explicitly separated.</w:t>
            </w:r>
          </w:p>
        </w:tc>
        <w:tc>
          <w:tcPr>
            <w:tcW w:type="dxa" w:w="381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4"/>
              </w:rPr>
              <w:t>Prevents prototype from being presented as live institutional network.</w:t>
            </w:r>
          </w:p>
        </w:tc>
      </w:tr>
      <w:tr>
        <w:trPr>
          <w:trHeight w:hRule="atLeast"/>
          <w:cantSplit/>
        </w:trPr>
        <w:tc>
          <w:tcPr>
            <w:tcW w:type="dxa" w:w="1584"/>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b/>
                <w:color w:val="7A1E1E"/>
                <w:sz w:val="14"/>
              </w:rPr>
              <w:t>04 Sep 2026</w:t>
            </w:r>
          </w:p>
        </w:tc>
        <w:tc>
          <w:tcPr>
            <w:tcW w:type="dxa" w:w="525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4"/>
              </w:rPr>
              <w:t>Older Overview/Pitch v2 budget allocation is superseded.</w:t>
            </w:r>
          </w:p>
        </w:tc>
        <w:tc>
          <w:tcPr>
            <w:tcW w:type="dxa" w:w="3816"/>
            <w:tcBorders>
              <w:top w:val="single" w:sz="6" w:space="0" w:color="D6CEC3"/>
              <w:left w:val="single" w:sz="6" w:space="0" w:color="D6CEC3"/>
              <w:bottom w:val="single" w:sz="6" w:space="0" w:color="D6CEC3"/>
              <w:right w:val="single" w:sz="6" w:space="0" w:color="D6CEC3"/>
              <w:insideH w:val="single" w:sz="6" w:space="0" w:color="D6CEC3"/>
              <w:insideV w:val="single" w:sz="6" w:space="0" w:color="D6CEC3"/>
            </w:tcBorders>
            <w:tcMar>
              <w:top w:w="65" w:type="dxa"/>
              <w:start w:w="80" w:type="dxa"/>
              <w:bottom w:w="65" w:type="dxa"/>
              <w:end w:w="80" w:type="dxa"/>
            </w:tcMar>
          </w:tcPr>
          <w:p>
            <w:r>
              <w:rPr>
                <w:sz w:val="14"/>
              </w:rPr>
              <w:t>Do not reuse.</w:t>
            </w:r>
          </w:p>
        </w:tc>
      </w:tr>
    </w:tbl>
    <w:p>
      <w:pPr>
        <w:spacing w:before="320"/>
        <w:jc w:val="center"/>
      </w:pPr>
      <w:r>
        <w:rPr>
          <w:rFonts w:ascii="Aptos" w:hAnsi="Aptos"/>
          <w:b/>
          <w:i w:val="0"/>
          <w:color w:val="7A1E1E"/>
          <w:sz w:val="16"/>
        </w:rPr>
        <w:t>END OF CANONICAL SOURCE OF TRUTH v1.0</w:t>
      </w:r>
    </w:p>
    <w:p>
      <w:pPr>
        <w:jc w:val="center"/>
      </w:pPr>
      <w:r>
        <w:rPr>
          <w:rFonts w:ascii="Aptos" w:hAnsi="Aptos"/>
          <w:b w:val="0"/>
          <w:i w:val="0"/>
          <w:color w:val="66615C"/>
          <w:sz w:val="16"/>
        </w:rPr>
        <w:t>Revise this document first. Then propagate approved changes downstream.</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15C"/>
        <w:sz w:val="14"/>
      </w:rPr>
      <w:t>Canonical Product • Pilot • Funding Reference  |  04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6615C"/>
        <w:sz w:val="14"/>
      </w:rPr>
      <w:t>MAPS WITH TEETH  /  SOURCE OF TRUTH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7A1E1E"/>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A1A1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A1A1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60"/>
    </w:pPr>
    <w:rPr>
      <w:rFonts w:ascii="Aptos" w:hAnsi="Aptos"/>
      <w:b/>
      <w:color w:val="7A1E1E"/>
      <w:sz w:val="16"/>
    </w:rPr>
  </w:style>
  <w:style w:type="paragraph" w:customStyle="1" w:styleId="SmallCaps">
    <w:name w:val="SmallCaps"/>
    <w:rPr>
      <w:rFonts w:ascii="Aptos" w:hAnsi="Aptos"/>
      <w:b/>
      <w:color w:val="66615C"/>
      <w:sz w:val="15"/>
    </w:rPr>
  </w:style>
  <w:style w:type="paragraph" w:customStyle="1" w:styleId="CalloutTitle">
    <w:name w:val="CalloutTitle"/>
  </w:style>
  <w:style w:type="paragraph" w:customStyle="1" w:styleId="StatusLabel">
    <w:name w:val="StatusLabel"/>
    <w:rPr>
      <w:rFonts w:ascii="Aptos" w:hAnsi="Aptos"/>
      <w: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Maps With Teeth — Source of Truth v1.0</dc:title>
  <dc:subject>Canonical Product, Pilot, Funding, Positioning and Readiness Reference</dc:subject>
  <dc:creator>Maps With Teeth</dc:creator>
  <cp:keywords>Maps With Teeth, source of truth, funding, pilot, product, fiscal sponsor</cp:keywords>
  <dc:description>generated by python-docx</dc:description>
  <cp:lastModifiedBy/>
  <cp:revision>1</cp:revision>
  <dcterms:created xsi:type="dcterms:W3CDTF">2013-12-23T23:15:00Z</dcterms:created>
  <dcterms:modified xsi:type="dcterms:W3CDTF">2013-12-23T23:15:00Z</dcterms:modified>
  <cp:category/>
</cp:coreProperties>
</file>