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D71DB" w14:textId="77777777" w:rsidR="00772B83" w:rsidRPr="00772B83" w:rsidRDefault="00772B83" w:rsidP="00772B83">
      <w:pPr>
        <w:rPr>
          <w:b/>
          <w:bCs/>
          <w:sz w:val="40"/>
          <w:szCs w:val="40"/>
        </w:rPr>
      </w:pPr>
      <w:r w:rsidRPr="00772B83">
        <w:rPr>
          <w:b/>
          <w:bCs/>
          <w:sz w:val="40"/>
          <w:szCs w:val="40"/>
        </w:rPr>
        <w:t>Executive Summary</w:t>
      </w:r>
    </w:p>
    <w:p w14:paraId="4235B0D4" w14:textId="77777777" w:rsidR="00772B83" w:rsidRDefault="00772B83" w:rsidP="00772B83"/>
    <w:p w14:paraId="6AEE39C7" w14:textId="603A2F27" w:rsidR="00772B83" w:rsidRDefault="00772B83" w:rsidP="00772B83">
      <w:r>
        <w:t>Nike experienced steady revenue growth between FY2021 and FY2024 before facing a significant decline in FY2025. Revenue fell from a peak of $51.4 billion in FY2024 to $46.3 billion in FY2025, while profitability also weakened considerably. Gross Margin remained relatively stable over the period; however, Operating Margin declined from 15.6% in FY2021 to 8.0% in FY2025, resulting in lower earnings and weaker returns on assets and equity.</w:t>
      </w:r>
    </w:p>
    <w:p w14:paraId="2BD84010" w14:textId="03E0C034" w:rsidR="00772B83" w:rsidRDefault="00772B83" w:rsidP="00772B83">
      <w:r>
        <w:t>The analysis indicates that FY2025 was a challenging year for Nike, characterized by lower revenue, reduced profitability, and weaker cash generation. Free Cash Flow declined from $6.6 billion in FY2024 to $3.3 billion in FY2025, while cash balances also decreased. Despite these challenges, the company maintained a strong brand position and continued generating positive earnings and cash flow.</w:t>
      </w:r>
    </w:p>
    <w:p w14:paraId="387DEF8A" w14:textId="221E6A4D" w:rsidR="00772B83" w:rsidRDefault="00772B83" w:rsidP="00772B83">
      <w:r>
        <w:t>Based on the forecast assumptions used in this model, Nike is expected to gradually recover over the next three years. Under the base-case scenario, revenue is projected to grow to approximately $55.2 billion by FY2028, while Net Income is expected to increase to approximately $4.4 billion. The forecast assumes moderate revenue growth, stable gross margins, and gradual improvement in operating profitability.</w:t>
      </w:r>
    </w:p>
    <w:p w14:paraId="4FE6F2E0" w14:textId="77777777" w:rsidR="00772B83" w:rsidRDefault="00772B83" w:rsidP="00772B83"/>
    <w:p w14:paraId="344C92AB" w14:textId="77777777" w:rsidR="00772B83" w:rsidRPr="00772B83" w:rsidRDefault="00772B83" w:rsidP="00772B83">
      <w:pPr>
        <w:rPr>
          <w:b/>
          <w:bCs/>
          <w:sz w:val="40"/>
          <w:szCs w:val="40"/>
        </w:rPr>
      </w:pPr>
      <w:r w:rsidRPr="00772B83">
        <w:rPr>
          <w:b/>
          <w:bCs/>
          <w:sz w:val="40"/>
          <w:szCs w:val="40"/>
        </w:rPr>
        <w:t>Historical Performance</w:t>
      </w:r>
    </w:p>
    <w:p w14:paraId="251EE6DC" w14:textId="77777777" w:rsidR="00F151F4" w:rsidRDefault="00F151F4" w:rsidP="00F151F4">
      <w:r>
        <w:t>Revenue grew steadily from FY2021 to FY2024 before declining sharply in FY2025, suggesting demand weakness and/or operational challenges.</w:t>
      </w:r>
    </w:p>
    <w:p w14:paraId="2D8B50A1" w14:textId="77777777" w:rsidR="00F151F4" w:rsidRDefault="00F151F4" w:rsidP="00F151F4">
      <w:r>
        <w:t>Gross Margin remained relatively stable between 42.7% and 46.0%, suggesting Nike maintained reasonable pricing power despite fluctuations in demand and costs.</w:t>
      </w:r>
    </w:p>
    <w:p w14:paraId="54A0FEA3" w14:textId="77777777" w:rsidR="00F151F4" w:rsidRDefault="00F151F4" w:rsidP="00F151F4">
      <w:proofErr w:type="gramStart"/>
      <w:r>
        <w:t>Operating</w:t>
      </w:r>
      <w:proofErr w:type="gramEnd"/>
      <w:r>
        <w:t xml:space="preserve"> Margin saw a staggering dip of FY2021 at 15.58% to FY2025 at 7.99% suggesting rising COGS.</w:t>
      </w:r>
    </w:p>
    <w:p w14:paraId="3F559E5D" w14:textId="77777777" w:rsidR="00F151F4" w:rsidRDefault="00F151F4" w:rsidP="00F151F4">
      <w:r>
        <w:t>Net Margin also saw a staggering dip of FY2021 at 12.86% to FY2025 at 6.95% reflecting the fall of operating margin.</w:t>
      </w:r>
    </w:p>
    <w:p w14:paraId="52A925E2" w14:textId="77777777" w:rsidR="00F151F4" w:rsidRDefault="00F151F4" w:rsidP="00F151F4">
      <w:r>
        <w:t>ROA and ROE both saw a dip in FY2025 reflecting the low net income in the same year.</w:t>
      </w:r>
    </w:p>
    <w:p w14:paraId="3E1F2F9C" w14:textId="77777777" w:rsidR="00F151F4" w:rsidRDefault="00F151F4" w:rsidP="00F151F4">
      <w:r>
        <w:t>Free Cash Flow declined from $6.0B in FY2021 to $3.3B in FY2025, primarily driven by weaker operating cash flow generation.</w:t>
      </w:r>
    </w:p>
    <w:p w14:paraId="2D2641A9" w14:textId="4D724BB6" w:rsidR="00772B83" w:rsidRDefault="00F151F4" w:rsidP="00F151F4">
      <w:r>
        <w:t>After peaking at 110 days in FY2022, Nike improved its CCC to approximately 92 days by FY2025, indicating somewhat better working-capital management.</w:t>
      </w:r>
    </w:p>
    <w:p w14:paraId="282E4389" w14:textId="77777777" w:rsidR="00772B83" w:rsidRDefault="00772B83" w:rsidP="00772B83">
      <w:pPr>
        <w:rPr>
          <w:b/>
          <w:bCs/>
          <w:sz w:val="40"/>
          <w:szCs w:val="40"/>
        </w:rPr>
      </w:pPr>
    </w:p>
    <w:p w14:paraId="19912013" w14:textId="77777777" w:rsidR="00772B83" w:rsidRDefault="00772B83" w:rsidP="00772B83">
      <w:pPr>
        <w:rPr>
          <w:b/>
          <w:bCs/>
          <w:sz w:val="40"/>
          <w:szCs w:val="40"/>
        </w:rPr>
      </w:pPr>
    </w:p>
    <w:p w14:paraId="564F1495" w14:textId="77777777" w:rsidR="00772B83" w:rsidRDefault="00772B83" w:rsidP="00772B83">
      <w:pPr>
        <w:rPr>
          <w:b/>
          <w:bCs/>
          <w:sz w:val="40"/>
          <w:szCs w:val="40"/>
        </w:rPr>
      </w:pPr>
    </w:p>
    <w:p w14:paraId="5229B729" w14:textId="6FF1DA98" w:rsidR="00772B83" w:rsidRPr="00772B83" w:rsidRDefault="00772B83" w:rsidP="00772B83">
      <w:pPr>
        <w:rPr>
          <w:b/>
          <w:bCs/>
          <w:sz w:val="40"/>
          <w:szCs w:val="40"/>
        </w:rPr>
      </w:pPr>
      <w:r w:rsidRPr="00772B83">
        <w:rPr>
          <w:b/>
          <w:bCs/>
          <w:sz w:val="40"/>
          <w:szCs w:val="40"/>
        </w:rPr>
        <w:lastRenderedPageBreak/>
        <w:t>Forecast</w:t>
      </w:r>
    </w:p>
    <w:p w14:paraId="03994A02" w14:textId="643C34CF" w:rsidR="00772B83" w:rsidRDefault="00772B83" w:rsidP="00772B83">
      <w:r>
        <w:t>The forecast model was built using a three-year projection period from FY2026 to FY2028. Revenue growth assumptions were set at 5%, 6%, and 7% for FY2026, FY2027, and FY2028 respectively, reflecting a gradual recovery from the weaker FY2025 performance. Gross Margin was assumed to remain stable at approximately 44%, while Operating Margin was projected to improve to 10% as operational efficiency and profitability recover.</w:t>
      </w:r>
    </w:p>
    <w:p w14:paraId="1293ED83" w14:textId="74C2CAFA" w:rsidR="00772B83" w:rsidRDefault="00772B83" w:rsidP="00772B83">
      <w:r>
        <w:t>Working capital assumptions were based on historical averages. Accounts Receivable Days, Inventory Days, and Accounts Payable Days were forecast using historical trends to maintain consistency with Nike's past operating performance. Capital expenditures were estimated as a percentage of revenue, allowing Free Cash Flow to be projected alongside earnings.</w:t>
      </w:r>
    </w:p>
    <w:p w14:paraId="59BDF387" w14:textId="500B800C" w:rsidR="00772B83" w:rsidRDefault="00772B83" w:rsidP="00772B83">
      <w:r>
        <w:t>Scenario analysis was also conducted to evaluate potential outcomes under different business conditions. Under the Bear Case, FY2028 Net Income reaches approximately $3.3 billion. Under the Base Case, Net Income reaches approximately $4.4 billion, while the Bull Case projects approximately $6.0 billion. These scenarios demonstrate the sensitivity of Nike's future profitability to changes in revenue growth and operating margins.</w:t>
      </w:r>
    </w:p>
    <w:p w14:paraId="5D32105D" w14:textId="77777777" w:rsidR="00772B83" w:rsidRDefault="00772B83" w:rsidP="00772B83"/>
    <w:p w14:paraId="74424F73" w14:textId="77777777" w:rsidR="00772B83" w:rsidRPr="00772B83" w:rsidRDefault="00772B83" w:rsidP="00772B83">
      <w:pPr>
        <w:rPr>
          <w:b/>
          <w:bCs/>
          <w:sz w:val="40"/>
          <w:szCs w:val="40"/>
        </w:rPr>
      </w:pPr>
      <w:r w:rsidRPr="00772B83">
        <w:rPr>
          <w:b/>
          <w:bCs/>
          <w:sz w:val="40"/>
          <w:szCs w:val="40"/>
        </w:rPr>
        <w:t>Risks</w:t>
      </w:r>
    </w:p>
    <w:p w14:paraId="2E7EA957" w14:textId="3C5192E4" w:rsidR="00772B83" w:rsidRPr="00772B83" w:rsidRDefault="00772B83" w:rsidP="00772B83">
      <w:pPr>
        <w:pStyle w:val="ListParagraph"/>
        <w:numPr>
          <w:ilvl w:val="0"/>
          <w:numId w:val="1"/>
        </w:numPr>
        <w:rPr>
          <w:b/>
          <w:bCs/>
        </w:rPr>
      </w:pPr>
      <w:r w:rsidRPr="00772B83">
        <w:rPr>
          <w:b/>
          <w:bCs/>
        </w:rPr>
        <w:t>Continued Revenue Weakness</w:t>
      </w:r>
    </w:p>
    <w:p w14:paraId="030C592B" w14:textId="531F3A04" w:rsidR="00772B83" w:rsidRDefault="00772B83" w:rsidP="00772B83">
      <w:r w:rsidRPr="00772B83">
        <w:t>A company of Nike's size depends on stable top-line growth. A meaningful decline in revenue raises concerns about demand, competitive positioning, and future growth prospects.</w:t>
      </w:r>
    </w:p>
    <w:p w14:paraId="4C3348F8" w14:textId="64204911" w:rsidR="00772B83" w:rsidRPr="00772B83" w:rsidRDefault="00772B83" w:rsidP="00772B83">
      <w:pPr>
        <w:pStyle w:val="ListParagraph"/>
        <w:numPr>
          <w:ilvl w:val="0"/>
          <w:numId w:val="1"/>
        </w:numPr>
        <w:rPr>
          <w:b/>
          <w:bCs/>
        </w:rPr>
      </w:pPr>
      <w:r w:rsidRPr="00772B83">
        <w:rPr>
          <w:b/>
          <w:bCs/>
        </w:rPr>
        <w:t>Margin Compression and Cost Pressure</w:t>
      </w:r>
    </w:p>
    <w:p w14:paraId="094BB2EB" w14:textId="78150728" w:rsidR="00772B83" w:rsidRDefault="00772B83" w:rsidP="00772B83">
      <w:r w:rsidRPr="00772B83">
        <w:t>Revenue declined, but profits fell much faster than revenue, suggesting significant pressure on costs, pricing, or operating efficiency.</w:t>
      </w:r>
    </w:p>
    <w:p w14:paraId="10856383" w14:textId="47EDCDAF" w:rsidR="00772B83" w:rsidRPr="00772B83" w:rsidRDefault="00772B83" w:rsidP="00772B83">
      <w:pPr>
        <w:pStyle w:val="ListParagraph"/>
        <w:numPr>
          <w:ilvl w:val="0"/>
          <w:numId w:val="1"/>
        </w:numPr>
        <w:rPr>
          <w:b/>
          <w:bCs/>
        </w:rPr>
      </w:pPr>
      <w:r w:rsidRPr="00772B83">
        <w:rPr>
          <w:b/>
          <w:bCs/>
        </w:rPr>
        <w:t>Declining Cash Generation</w:t>
      </w:r>
    </w:p>
    <w:p w14:paraId="3A0734BE" w14:textId="59C091D3" w:rsidR="00772B83" w:rsidRDefault="00772B83" w:rsidP="00772B83">
      <w:r w:rsidRPr="00772B83">
        <w:t>Nike is generating less cash despite remaining profitable, reducing financial flexibility for investments, buybacks, and shareholder returns.</w:t>
      </w:r>
    </w:p>
    <w:p w14:paraId="68AC098B" w14:textId="77777777" w:rsidR="00772B83" w:rsidRPr="00772B83" w:rsidRDefault="00772B83" w:rsidP="00772B83"/>
    <w:p w14:paraId="31F298EC" w14:textId="417F2302" w:rsidR="00772B83" w:rsidRPr="00772B83" w:rsidRDefault="00772B83" w:rsidP="00772B83">
      <w:pPr>
        <w:rPr>
          <w:b/>
          <w:bCs/>
          <w:sz w:val="40"/>
          <w:szCs w:val="40"/>
        </w:rPr>
      </w:pPr>
      <w:r w:rsidRPr="00772B83">
        <w:rPr>
          <w:b/>
          <w:bCs/>
          <w:sz w:val="40"/>
          <w:szCs w:val="40"/>
        </w:rPr>
        <w:t>Conclusion</w:t>
      </w:r>
    </w:p>
    <w:p w14:paraId="07035A59" w14:textId="456ED03A" w:rsidR="00772B83" w:rsidRDefault="00772B83" w:rsidP="00772B83">
      <w:r>
        <w:t>Nike's historical performance demonstrates a strong global business that encountered meaningful profitability and revenue challenges in FY2025. While margins, earnings, and cash generation weakened during the period, the company continued to generate positive profits and maintain substantial scale.</w:t>
      </w:r>
    </w:p>
    <w:p w14:paraId="29B828A1" w14:textId="26ADC926" w:rsidR="00F22294" w:rsidRDefault="00772B83" w:rsidP="00772B83">
      <w:r>
        <w:t>The forecast developed in this analysis suggests that a gradual recovery is achievable if revenue growth resumes and operating margins improve over time. Under the base-case scenario, Nike returns to moderate growth and stronger profitability by FY2028. However, management should continue to focus on revenue growth, margin improvement, and cash flow generation to support long-term shareholder value.</w:t>
      </w:r>
    </w:p>
    <w:sectPr w:rsidR="00F222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C75ED"/>
    <w:multiLevelType w:val="hybridMultilevel"/>
    <w:tmpl w:val="4830A7CC"/>
    <w:lvl w:ilvl="0" w:tplc="C756D7CA">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3030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353"/>
    <w:rsid w:val="00550C59"/>
    <w:rsid w:val="00772B83"/>
    <w:rsid w:val="007F140B"/>
    <w:rsid w:val="00F151F4"/>
    <w:rsid w:val="00F22294"/>
    <w:rsid w:val="00FB03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CC94B"/>
  <w15:chartTrackingRefBased/>
  <w15:docId w15:val="{8A0CBA3B-B5FB-4F0F-9708-CA1BE5B2D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3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3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3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3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3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3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3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3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353"/>
    <w:rPr>
      <w:rFonts w:eastAsiaTheme="majorEastAsia" w:cstheme="majorBidi"/>
      <w:color w:val="272727" w:themeColor="text1" w:themeTint="D8"/>
    </w:rPr>
  </w:style>
  <w:style w:type="paragraph" w:styleId="Title">
    <w:name w:val="Title"/>
    <w:basedOn w:val="Normal"/>
    <w:next w:val="Normal"/>
    <w:link w:val="TitleChar"/>
    <w:uiPriority w:val="10"/>
    <w:qFormat/>
    <w:rsid w:val="00FB0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353"/>
    <w:pPr>
      <w:spacing w:before="160"/>
      <w:jc w:val="center"/>
    </w:pPr>
    <w:rPr>
      <w:i/>
      <w:iCs/>
      <w:color w:val="404040" w:themeColor="text1" w:themeTint="BF"/>
    </w:rPr>
  </w:style>
  <w:style w:type="character" w:customStyle="1" w:styleId="QuoteChar">
    <w:name w:val="Quote Char"/>
    <w:basedOn w:val="DefaultParagraphFont"/>
    <w:link w:val="Quote"/>
    <w:uiPriority w:val="29"/>
    <w:rsid w:val="00FB0353"/>
    <w:rPr>
      <w:i/>
      <w:iCs/>
      <w:color w:val="404040" w:themeColor="text1" w:themeTint="BF"/>
    </w:rPr>
  </w:style>
  <w:style w:type="paragraph" w:styleId="ListParagraph">
    <w:name w:val="List Paragraph"/>
    <w:basedOn w:val="Normal"/>
    <w:uiPriority w:val="34"/>
    <w:qFormat/>
    <w:rsid w:val="00FB0353"/>
    <w:pPr>
      <w:ind w:left="720"/>
      <w:contextualSpacing/>
    </w:pPr>
  </w:style>
  <w:style w:type="character" w:styleId="IntenseEmphasis">
    <w:name w:val="Intense Emphasis"/>
    <w:basedOn w:val="DefaultParagraphFont"/>
    <w:uiPriority w:val="21"/>
    <w:qFormat/>
    <w:rsid w:val="00FB0353"/>
    <w:rPr>
      <w:i/>
      <w:iCs/>
      <w:color w:val="0F4761" w:themeColor="accent1" w:themeShade="BF"/>
    </w:rPr>
  </w:style>
  <w:style w:type="paragraph" w:styleId="IntenseQuote">
    <w:name w:val="Intense Quote"/>
    <w:basedOn w:val="Normal"/>
    <w:next w:val="Normal"/>
    <w:link w:val="IntenseQuoteChar"/>
    <w:uiPriority w:val="30"/>
    <w:qFormat/>
    <w:rsid w:val="00FB0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353"/>
    <w:rPr>
      <w:i/>
      <w:iCs/>
      <w:color w:val="0F4761" w:themeColor="accent1" w:themeShade="BF"/>
    </w:rPr>
  </w:style>
  <w:style w:type="character" w:styleId="IntenseReference">
    <w:name w:val="Intense Reference"/>
    <w:basedOn w:val="DefaultParagraphFont"/>
    <w:uiPriority w:val="32"/>
    <w:qFormat/>
    <w:rsid w:val="00FB03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695</Words>
  <Characters>3966</Characters>
  <Application>Microsoft Office Word</Application>
  <DocSecurity>0</DocSecurity>
  <Lines>33</Lines>
  <Paragraphs>9</Paragraphs>
  <ScaleCrop>false</ScaleCrop>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rouhaan khan</dc:creator>
  <cp:keywords/>
  <dc:description/>
  <cp:lastModifiedBy>rouhaan khan</cp:lastModifiedBy>
  <cp:revision>3</cp:revision>
  <dcterms:created xsi:type="dcterms:W3CDTF">2026-09-28T15:31:00Z</dcterms:created>
  <dcterms:modified xsi:type="dcterms:W3CDTF">2026-09-28T15:43:00Z</dcterms:modified>
</cp:coreProperties>
</file>