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A1322F">
      <w:pPr>
        <w:pStyle w:val="6"/>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423AD5E3">
      <w:pPr>
        <w:pStyle w:val="6"/>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1B4DB4FE">
      <w:pPr>
        <w:pStyle w:val="6"/>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center"/>
        <w:textAlignment w:val="baseline"/>
        <w:rPr>
          <w:rFonts w:hint="eastAsia" w:ascii="仿宋" w:hAnsi="仿宋" w:eastAsia="仿宋" w:cs="仿宋"/>
          <w:spacing w:val="3"/>
          <w:sz w:val="71"/>
          <w:szCs w:val="71"/>
          <w:lang w:val="en-US" w:eastAsia="zh-CN"/>
          <w14:textOutline w14:w="13081" w14:cap="sq" w14:cmpd="sng" w14:algn="ctr">
            <w14:solidFill>
              <w14:srgbClr w14:val="000000"/>
            </w14:solidFill>
            <w14:prstDash w14:val="solid"/>
            <w14:bevel/>
          </w14:textOutline>
        </w:rPr>
      </w:pPr>
    </w:p>
    <w:p w14:paraId="7F4DD807">
      <w:pPr>
        <w:pStyle w:val="6"/>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center"/>
        <w:textAlignment w:val="baseline"/>
        <w:rPr>
          <w:rFonts w:hint="eastAsia" w:ascii="仿宋" w:hAnsi="仿宋" w:eastAsia="仿宋" w:cs="仿宋"/>
          <w:spacing w:val="3"/>
          <w:sz w:val="71"/>
          <w:szCs w:val="71"/>
          <w:lang w:val="en-US" w:eastAsia="zh-CN"/>
          <w14:textOutline w14:w="13081" w14:cap="sq" w14:cmpd="sng" w14:algn="ctr">
            <w14:solidFill>
              <w14:srgbClr w14:val="000000"/>
            </w14:solidFill>
            <w14:prstDash w14:val="solid"/>
            <w14:bevel/>
          </w14:textOutline>
        </w:rPr>
      </w:pPr>
    </w:p>
    <w:p w14:paraId="55525814">
      <w:pPr>
        <w:pStyle w:val="6"/>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center"/>
        <w:textAlignment w:val="baseline"/>
        <w:rPr>
          <w:rFonts w:hint="eastAsia" w:ascii="仿宋" w:hAnsi="仿宋" w:eastAsia="仿宋" w:cs="仿宋"/>
          <w:spacing w:val="3"/>
          <w:sz w:val="71"/>
          <w:szCs w:val="71"/>
          <w:lang w:val="en-US" w:eastAsia="zh-CN"/>
          <w14:textOutline w14:w="13081" w14:cap="sq" w14:cmpd="sng" w14:algn="ctr">
            <w14:solidFill>
              <w14:srgbClr w14:val="000000"/>
            </w14:solidFill>
            <w14:prstDash w14:val="solid"/>
            <w14:bevel/>
          </w14:textOutline>
        </w:rPr>
      </w:pPr>
    </w:p>
    <w:p w14:paraId="541E3F82">
      <w:pPr>
        <w:pStyle w:val="6"/>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center"/>
        <w:textAlignment w:val="baseline"/>
        <w:rPr>
          <w:rFonts w:hint="eastAsia" w:ascii="仿宋" w:hAnsi="仿宋" w:eastAsia="仿宋" w:cs="仿宋"/>
          <w:spacing w:val="3"/>
          <w:sz w:val="71"/>
          <w:szCs w:val="71"/>
          <w:lang w:val="en-US" w:eastAsia="zh-CN"/>
          <w14:textOutline w14:w="13081" w14:cap="sq" w14:cmpd="sng" w14:algn="ctr">
            <w14:solidFill>
              <w14:srgbClr w14:val="000000"/>
            </w14:solidFill>
            <w14:prstDash w14:val="solid"/>
            <w14:bevel/>
          </w14:textOutline>
        </w:rPr>
      </w:pPr>
    </w:p>
    <w:p w14:paraId="5ADCF6B6">
      <w:pPr>
        <w:pStyle w:val="6"/>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center"/>
        <w:textAlignment w:val="baseline"/>
        <w:rPr>
          <w:rFonts w:hint="eastAsia" w:ascii="仿宋" w:hAnsi="仿宋" w:eastAsia="仿宋" w:cs="仿宋"/>
          <w:spacing w:val="3"/>
          <w:sz w:val="71"/>
          <w:szCs w:val="71"/>
          <w:lang w:val="en-US" w:eastAsia="zh-CN"/>
          <w14:textOutline w14:w="13081" w14:cap="sq" w14:cmpd="sng" w14:algn="ctr">
            <w14:solidFill>
              <w14:srgbClr w14:val="000000"/>
            </w14:solidFill>
            <w14:prstDash w14:val="solid"/>
            <w14:bevel/>
          </w14:textOutline>
        </w:rPr>
      </w:pPr>
    </w:p>
    <w:p w14:paraId="04951B0F">
      <w:pPr>
        <w:pStyle w:val="6"/>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center"/>
        <w:textAlignment w:val="baseline"/>
        <w:rPr>
          <w:rFonts w:hint="default"/>
          <w:lang w:val="en-US"/>
        </w:rPr>
      </w:pPr>
      <w:r>
        <w:rPr>
          <w:rFonts w:hint="eastAsia" w:ascii="仿宋" w:hAnsi="仿宋" w:eastAsia="仿宋" w:cs="仿宋"/>
          <w:spacing w:val="3"/>
          <w:sz w:val="71"/>
          <w:szCs w:val="71"/>
          <w:lang w:val="en-US" w:eastAsia="zh-CN"/>
          <w14:textOutline w14:w="13081" w14:cap="sq" w14:cmpd="sng" w14:algn="ctr">
            <w14:solidFill>
              <w14:srgbClr w14:val="000000"/>
            </w14:solidFill>
            <w14:prstDash w14:val="solid"/>
            <w14:bevel/>
          </w14:textOutline>
        </w:rPr>
        <w:t>低空经济调研报告</w:t>
      </w:r>
    </w:p>
    <w:p w14:paraId="74898BDA">
      <w:pPr>
        <w:pStyle w:val="6"/>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17891A9A">
      <w:pPr>
        <w:pStyle w:val="6"/>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5548AF1C">
      <w:pPr>
        <w:pStyle w:val="6"/>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3151CF9A">
      <w:pPr>
        <w:pStyle w:val="6"/>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6ADB68F1">
      <w:pPr>
        <w:pStyle w:val="6"/>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41153400">
      <w:pPr>
        <w:pStyle w:val="6"/>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587C4D11">
      <w:pPr>
        <w:pStyle w:val="6"/>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6EAF7C1F">
      <w:pPr>
        <w:pStyle w:val="6"/>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2E5538AE">
      <w:pPr>
        <w:pStyle w:val="6"/>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0E262077">
      <w:pPr>
        <w:pStyle w:val="6"/>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0A96EE02">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2111"/>
        <w:jc w:val="left"/>
        <w:textAlignment w:val="baseline"/>
      </w:pPr>
    </w:p>
    <w:p w14:paraId="65B397BA">
      <w:pPr>
        <w:pStyle w:val="6"/>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0066063F">
      <w:pPr>
        <w:pStyle w:val="6"/>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1C34B3FA">
      <w:pPr>
        <w:pStyle w:val="6"/>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257E4092">
      <w:pPr>
        <w:pStyle w:val="6"/>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3436EFC5">
      <w:pPr>
        <w:pStyle w:val="6"/>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4FD0DF26">
      <w:pPr>
        <w:pStyle w:val="6"/>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58542FC2">
      <w:pPr>
        <w:pStyle w:val="6"/>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0DD26D9B">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rPr>
          <w:rFonts w:ascii="仿宋" w:hAnsi="仿宋" w:eastAsia="仿宋" w:cs="仿宋"/>
          <w:sz w:val="40"/>
          <w:szCs w:val="40"/>
        </w:rPr>
        <w:sectPr>
          <w:pgSz w:w="11906" w:h="16839"/>
          <w:pgMar w:top="1431" w:right="1785" w:bottom="0" w:left="1785" w:header="0" w:footer="0" w:gutter="0"/>
          <w:cols w:space="720" w:num="1"/>
        </w:sectPr>
      </w:pPr>
    </w:p>
    <w:p w14:paraId="6F6A754A">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rPr>
          <w:sz w:val="2"/>
        </w:rPr>
      </w:pPr>
    </w:p>
    <w:tbl>
      <w:tblPr>
        <w:tblStyle w:val="19"/>
        <w:tblW w:w="852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28"/>
        <w:gridCol w:w="1381"/>
        <w:gridCol w:w="3128"/>
        <w:gridCol w:w="1628"/>
        <w:gridCol w:w="1561"/>
      </w:tblGrid>
      <w:tr w14:paraId="5C5393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trPr>
        <w:tc>
          <w:tcPr>
            <w:tcW w:w="828" w:type="dxa"/>
          </w:tcPr>
          <w:p w14:paraId="3E7F5DB4">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ind w:left="188"/>
              <w:jc w:val="left"/>
              <w:textAlignment w:val="baseline"/>
              <w:rPr>
                <w:rFonts w:ascii="仿宋" w:hAnsi="仿宋" w:eastAsia="仿宋" w:cs="仿宋"/>
                <w:sz w:val="24"/>
                <w:szCs w:val="24"/>
              </w:rPr>
            </w:pPr>
            <w:r>
              <w:rPr>
                <w:rFonts w:ascii="仿宋" w:hAnsi="仿宋" w:eastAsia="仿宋" w:cs="仿宋"/>
                <w:spacing w:val="-8"/>
                <w:sz w:val="24"/>
                <w:szCs w:val="24"/>
                <w14:textOutline w14:w="4356" w14:cap="sq" w14:cmpd="sng" w14:algn="ctr">
                  <w14:solidFill>
                    <w14:srgbClr w14:val="000000"/>
                  </w14:solidFill>
                  <w14:prstDash w14:val="solid"/>
                  <w14:bevel/>
                </w14:textOutline>
              </w:rPr>
              <w:t>序号</w:t>
            </w:r>
          </w:p>
        </w:tc>
        <w:tc>
          <w:tcPr>
            <w:tcW w:w="1381" w:type="dxa"/>
          </w:tcPr>
          <w:p w14:paraId="0F15D519">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ind w:left="338"/>
              <w:jc w:val="left"/>
              <w:textAlignment w:val="baseline"/>
              <w:rPr>
                <w:rFonts w:ascii="仿宋" w:hAnsi="仿宋" w:eastAsia="仿宋" w:cs="仿宋"/>
                <w:sz w:val="24"/>
                <w:szCs w:val="24"/>
              </w:rPr>
            </w:pPr>
            <w:r>
              <w:rPr>
                <w:rFonts w:ascii="仿宋" w:hAnsi="仿宋" w:eastAsia="仿宋" w:cs="仿宋"/>
                <w:spacing w:val="-4"/>
                <w:sz w:val="24"/>
                <w:szCs w:val="24"/>
                <w14:textOutline w14:w="4356" w14:cap="sq" w14:cmpd="sng" w14:algn="ctr">
                  <w14:solidFill>
                    <w14:srgbClr w14:val="000000"/>
                  </w14:solidFill>
                  <w14:prstDash w14:val="solid"/>
                  <w14:bevel/>
                </w14:textOutline>
              </w:rPr>
              <w:t>版本号</w:t>
            </w:r>
          </w:p>
        </w:tc>
        <w:tc>
          <w:tcPr>
            <w:tcW w:w="3128" w:type="dxa"/>
          </w:tcPr>
          <w:p w14:paraId="0A709CAE">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ind w:left="1104"/>
              <w:jc w:val="left"/>
              <w:textAlignment w:val="baseline"/>
              <w:rPr>
                <w:rFonts w:ascii="仿宋" w:hAnsi="仿宋" w:eastAsia="仿宋" w:cs="仿宋"/>
                <w:sz w:val="24"/>
                <w:szCs w:val="24"/>
              </w:rPr>
            </w:pPr>
            <w:r>
              <w:rPr>
                <w:rFonts w:ascii="仿宋" w:hAnsi="仿宋" w:eastAsia="仿宋" w:cs="仿宋"/>
                <w:spacing w:val="-6"/>
                <w:sz w:val="24"/>
                <w:szCs w:val="24"/>
                <w14:textOutline w14:w="4356" w14:cap="sq" w14:cmpd="sng" w14:algn="ctr">
                  <w14:solidFill>
                    <w14:srgbClr w14:val="000000"/>
                  </w14:solidFill>
                  <w14:prstDash w14:val="solid"/>
                  <w14:bevel/>
                </w14:textOutline>
              </w:rPr>
              <w:t>变更内容</w:t>
            </w:r>
          </w:p>
        </w:tc>
        <w:tc>
          <w:tcPr>
            <w:tcW w:w="1628" w:type="dxa"/>
          </w:tcPr>
          <w:p w14:paraId="0179D03F">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ind w:left="355"/>
              <w:jc w:val="left"/>
              <w:textAlignment w:val="baseline"/>
              <w:rPr>
                <w:rFonts w:ascii="仿宋" w:hAnsi="仿宋" w:eastAsia="仿宋" w:cs="仿宋"/>
                <w:sz w:val="24"/>
                <w:szCs w:val="24"/>
              </w:rPr>
            </w:pPr>
            <w:r>
              <w:rPr>
                <w:rFonts w:ascii="仿宋" w:hAnsi="仿宋" w:eastAsia="仿宋" w:cs="仿宋"/>
                <w:spacing w:val="-6"/>
                <w:sz w:val="24"/>
                <w:szCs w:val="24"/>
                <w14:textOutline w14:w="4356" w14:cap="sq" w14:cmpd="sng" w14:algn="ctr">
                  <w14:solidFill>
                    <w14:srgbClr w14:val="000000"/>
                  </w14:solidFill>
                  <w14:prstDash w14:val="solid"/>
                  <w14:bevel/>
                </w14:textOutline>
              </w:rPr>
              <w:t>变更日期</w:t>
            </w:r>
          </w:p>
        </w:tc>
        <w:tc>
          <w:tcPr>
            <w:tcW w:w="1561" w:type="dxa"/>
          </w:tcPr>
          <w:p w14:paraId="2CC00C57">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ind w:left="320"/>
              <w:jc w:val="left"/>
              <w:textAlignment w:val="baseline"/>
              <w:rPr>
                <w:rFonts w:ascii="仿宋" w:hAnsi="仿宋" w:eastAsia="仿宋" w:cs="仿宋"/>
                <w:sz w:val="24"/>
                <w:szCs w:val="24"/>
              </w:rPr>
            </w:pPr>
            <w:r>
              <w:rPr>
                <w:rFonts w:ascii="仿宋" w:hAnsi="仿宋" w:eastAsia="仿宋" w:cs="仿宋"/>
                <w:spacing w:val="-6"/>
                <w:sz w:val="24"/>
                <w:szCs w:val="24"/>
                <w14:textOutline w14:w="4356" w14:cap="sq" w14:cmpd="sng" w14:algn="ctr">
                  <w14:solidFill>
                    <w14:srgbClr w14:val="000000"/>
                  </w14:solidFill>
                  <w14:prstDash w14:val="solid"/>
                  <w14:bevel/>
                </w14:textOutline>
              </w:rPr>
              <w:t>变更人员</w:t>
            </w:r>
          </w:p>
        </w:tc>
      </w:tr>
      <w:tr w14:paraId="6EEC86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828" w:type="dxa"/>
          </w:tcPr>
          <w:p w14:paraId="283FBB20">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ind w:left="378"/>
              <w:jc w:val="left"/>
              <w:textAlignment w:val="baseline"/>
              <w:rPr>
                <w:rFonts w:ascii="仿宋" w:hAnsi="仿宋" w:eastAsia="仿宋" w:cs="仿宋"/>
                <w:sz w:val="24"/>
                <w:szCs w:val="24"/>
              </w:rPr>
            </w:pPr>
            <w:r>
              <w:rPr>
                <w:rFonts w:ascii="仿宋" w:hAnsi="仿宋" w:eastAsia="仿宋" w:cs="仿宋"/>
                <w:sz w:val="24"/>
                <w:szCs w:val="24"/>
              </w:rPr>
              <w:t>1</w:t>
            </w:r>
          </w:p>
        </w:tc>
        <w:tc>
          <w:tcPr>
            <w:tcW w:w="1381" w:type="dxa"/>
          </w:tcPr>
          <w:p w14:paraId="0FF5BE4B">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ind w:left="532"/>
              <w:jc w:val="left"/>
              <w:textAlignment w:val="baseline"/>
              <w:rPr>
                <w:rFonts w:ascii="仿宋" w:hAnsi="仿宋" w:eastAsia="仿宋" w:cs="仿宋"/>
                <w:sz w:val="24"/>
                <w:szCs w:val="24"/>
              </w:rPr>
            </w:pPr>
            <w:r>
              <w:rPr>
                <w:rFonts w:ascii="仿宋" w:hAnsi="仿宋" w:eastAsia="仿宋" w:cs="仿宋"/>
                <w:spacing w:val="-9"/>
                <w:sz w:val="24"/>
                <w:szCs w:val="24"/>
              </w:rPr>
              <w:t>1.0</w:t>
            </w:r>
          </w:p>
        </w:tc>
        <w:tc>
          <w:tcPr>
            <w:tcW w:w="3128" w:type="dxa"/>
          </w:tcPr>
          <w:p w14:paraId="7FCAA111">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ind w:left="1337"/>
              <w:jc w:val="left"/>
              <w:textAlignment w:val="baseline"/>
              <w:rPr>
                <w:rFonts w:ascii="仿宋" w:hAnsi="仿宋" w:eastAsia="仿宋" w:cs="仿宋"/>
                <w:sz w:val="24"/>
                <w:szCs w:val="24"/>
              </w:rPr>
            </w:pPr>
            <w:r>
              <w:rPr>
                <w:rFonts w:ascii="仿宋" w:hAnsi="仿宋" w:eastAsia="仿宋" w:cs="仿宋"/>
                <w:spacing w:val="-8"/>
                <w:sz w:val="24"/>
                <w:szCs w:val="24"/>
              </w:rPr>
              <w:t>初版</w:t>
            </w:r>
          </w:p>
        </w:tc>
        <w:tc>
          <w:tcPr>
            <w:tcW w:w="1628" w:type="dxa"/>
          </w:tcPr>
          <w:p w14:paraId="33AAD60A">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ind w:left="222"/>
              <w:jc w:val="left"/>
              <w:textAlignment w:val="baseline"/>
              <w:rPr>
                <w:rFonts w:hint="default" w:ascii="仿宋" w:hAnsi="仿宋" w:eastAsia="仿宋" w:cs="仿宋"/>
                <w:sz w:val="24"/>
                <w:szCs w:val="24"/>
                <w:lang w:val="en-US" w:eastAsia="zh-CN"/>
              </w:rPr>
            </w:pPr>
            <w:r>
              <w:rPr>
                <w:rFonts w:ascii="仿宋" w:hAnsi="仿宋" w:eastAsia="仿宋" w:cs="仿宋"/>
                <w:spacing w:val="-2"/>
                <w:sz w:val="24"/>
                <w:szCs w:val="24"/>
              </w:rPr>
              <w:t>202</w:t>
            </w:r>
            <w:r>
              <w:rPr>
                <w:rFonts w:hint="eastAsia" w:ascii="仿宋" w:hAnsi="仿宋" w:eastAsia="仿宋" w:cs="仿宋"/>
                <w:spacing w:val="-2"/>
                <w:sz w:val="24"/>
                <w:szCs w:val="24"/>
                <w:lang w:val="en-US" w:eastAsia="zh-CN"/>
              </w:rPr>
              <w:t>6</w:t>
            </w:r>
            <w:r>
              <w:rPr>
                <w:rFonts w:ascii="仿宋" w:hAnsi="仿宋" w:eastAsia="仿宋" w:cs="仿宋"/>
                <w:spacing w:val="-2"/>
                <w:sz w:val="24"/>
                <w:szCs w:val="24"/>
              </w:rPr>
              <w:t>.0</w:t>
            </w:r>
            <w:r>
              <w:rPr>
                <w:rFonts w:hint="eastAsia" w:ascii="仿宋" w:hAnsi="仿宋" w:eastAsia="仿宋" w:cs="仿宋"/>
                <w:spacing w:val="-2"/>
                <w:sz w:val="24"/>
                <w:szCs w:val="24"/>
                <w:lang w:val="en-US" w:eastAsia="zh-CN"/>
              </w:rPr>
              <w:t>4</w:t>
            </w:r>
            <w:r>
              <w:rPr>
                <w:rFonts w:ascii="仿宋" w:hAnsi="仿宋" w:eastAsia="仿宋" w:cs="仿宋"/>
                <w:spacing w:val="-2"/>
                <w:sz w:val="24"/>
                <w:szCs w:val="24"/>
              </w:rPr>
              <w:t>.</w:t>
            </w:r>
            <w:r>
              <w:rPr>
                <w:rFonts w:hint="eastAsia" w:ascii="仿宋" w:hAnsi="仿宋" w:eastAsia="仿宋" w:cs="仿宋"/>
                <w:spacing w:val="-2"/>
                <w:sz w:val="24"/>
                <w:szCs w:val="24"/>
                <w:lang w:val="en-US" w:eastAsia="zh-CN"/>
              </w:rPr>
              <w:t>26</w:t>
            </w:r>
          </w:p>
        </w:tc>
        <w:tc>
          <w:tcPr>
            <w:tcW w:w="1561" w:type="dxa"/>
          </w:tcPr>
          <w:p w14:paraId="0065C30E">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焦泳博</w:t>
            </w:r>
          </w:p>
        </w:tc>
      </w:tr>
      <w:tr w14:paraId="161800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828" w:type="dxa"/>
          </w:tcPr>
          <w:p w14:paraId="1BE63110">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ind w:left="363"/>
              <w:jc w:val="left"/>
              <w:textAlignment w:val="baseline"/>
              <w:rPr>
                <w:rFonts w:ascii="仿宋" w:hAnsi="仿宋" w:eastAsia="仿宋" w:cs="仿宋"/>
                <w:sz w:val="24"/>
                <w:szCs w:val="24"/>
              </w:rPr>
            </w:pPr>
            <w:r>
              <w:rPr>
                <w:rFonts w:ascii="仿宋" w:hAnsi="仿宋" w:eastAsia="仿宋" w:cs="仿宋"/>
                <w:sz w:val="24"/>
                <w:szCs w:val="24"/>
              </w:rPr>
              <w:t>2</w:t>
            </w:r>
          </w:p>
        </w:tc>
        <w:tc>
          <w:tcPr>
            <w:tcW w:w="1381" w:type="dxa"/>
          </w:tcPr>
          <w:p w14:paraId="6A0A5F7B">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tc>
        <w:tc>
          <w:tcPr>
            <w:tcW w:w="3128" w:type="dxa"/>
          </w:tcPr>
          <w:p w14:paraId="44358AC5">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tc>
        <w:tc>
          <w:tcPr>
            <w:tcW w:w="1628" w:type="dxa"/>
          </w:tcPr>
          <w:p w14:paraId="556DD6D9">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tc>
        <w:tc>
          <w:tcPr>
            <w:tcW w:w="1561" w:type="dxa"/>
          </w:tcPr>
          <w:p w14:paraId="2F3D9436">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tc>
      </w:tr>
      <w:tr w14:paraId="65B133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828" w:type="dxa"/>
          </w:tcPr>
          <w:p w14:paraId="1BCCD64A">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ind w:left="365"/>
              <w:jc w:val="left"/>
              <w:textAlignment w:val="baseline"/>
              <w:rPr>
                <w:rFonts w:ascii="仿宋" w:hAnsi="仿宋" w:eastAsia="仿宋" w:cs="仿宋"/>
                <w:sz w:val="24"/>
                <w:szCs w:val="24"/>
              </w:rPr>
            </w:pPr>
            <w:r>
              <w:rPr>
                <w:rFonts w:ascii="仿宋" w:hAnsi="仿宋" w:eastAsia="仿宋" w:cs="仿宋"/>
                <w:sz w:val="24"/>
                <w:szCs w:val="24"/>
              </w:rPr>
              <w:t>3</w:t>
            </w:r>
          </w:p>
        </w:tc>
        <w:tc>
          <w:tcPr>
            <w:tcW w:w="1381" w:type="dxa"/>
          </w:tcPr>
          <w:p w14:paraId="247267B2">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tc>
        <w:tc>
          <w:tcPr>
            <w:tcW w:w="3128" w:type="dxa"/>
          </w:tcPr>
          <w:p w14:paraId="3519413C">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tc>
        <w:tc>
          <w:tcPr>
            <w:tcW w:w="1628" w:type="dxa"/>
          </w:tcPr>
          <w:p w14:paraId="669C383F">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tc>
        <w:tc>
          <w:tcPr>
            <w:tcW w:w="1561" w:type="dxa"/>
          </w:tcPr>
          <w:p w14:paraId="31B79E81">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tc>
      </w:tr>
      <w:tr w14:paraId="33EE26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828" w:type="dxa"/>
          </w:tcPr>
          <w:p w14:paraId="1D2B00B9">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ind w:left="360"/>
              <w:jc w:val="left"/>
              <w:textAlignment w:val="baseline"/>
              <w:rPr>
                <w:rFonts w:ascii="仿宋" w:hAnsi="仿宋" w:eastAsia="仿宋" w:cs="仿宋"/>
                <w:sz w:val="24"/>
                <w:szCs w:val="24"/>
              </w:rPr>
            </w:pPr>
            <w:r>
              <w:rPr>
                <w:rFonts w:ascii="仿宋" w:hAnsi="仿宋" w:eastAsia="仿宋" w:cs="仿宋"/>
                <w:sz w:val="24"/>
                <w:szCs w:val="24"/>
              </w:rPr>
              <w:t>4</w:t>
            </w:r>
          </w:p>
        </w:tc>
        <w:tc>
          <w:tcPr>
            <w:tcW w:w="1381" w:type="dxa"/>
          </w:tcPr>
          <w:p w14:paraId="6264C507">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tc>
        <w:tc>
          <w:tcPr>
            <w:tcW w:w="3128" w:type="dxa"/>
          </w:tcPr>
          <w:p w14:paraId="4A25AB8E">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tc>
        <w:tc>
          <w:tcPr>
            <w:tcW w:w="1628" w:type="dxa"/>
          </w:tcPr>
          <w:p w14:paraId="178381A7">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tc>
        <w:tc>
          <w:tcPr>
            <w:tcW w:w="1561" w:type="dxa"/>
          </w:tcPr>
          <w:p w14:paraId="1049A151">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tc>
      </w:tr>
    </w:tbl>
    <w:p w14:paraId="70CCBD31">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2B7FAD1B">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63318BC5">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0125717B">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6E6B9777">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5DC525D5">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56EAA75A">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7D6E2E93">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4335F740">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1D518881">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79F44BD2">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738DB5F4">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01D77758">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2F9C7B4C">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0B3017B5">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2E5EA35B">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70C62AF0">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292E4542">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510F48F6">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2A8EDD88">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051734D6">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7F567697">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5216AE4B">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47E60EE7">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674C12BC">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531E96B5">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054AED6C">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14ED2B4A">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63F405A6">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sdt>
      <w:sdtPr>
        <w:rPr>
          <w:rFonts w:ascii="宋体" w:hAnsi="宋体" w:eastAsia="宋体" w:cs="Arial"/>
          <w:snapToGrid w:val="0"/>
          <w:color w:val="000000"/>
          <w:sz w:val="21"/>
          <w:szCs w:val="21"/>
          <w:lang w:val="en-US" w:eastAsia="en-US" w:bidi="ar-SA"/>
        </w:rPr>
        <w:id w:val="147479471"/>
        <w15:color w:val="DBDBDB"/>
        <w:docPartObj>
          <w:docPartGallery w:val="Table of Contents"/>
          <w:docPartUnique/>
        </w:docPartObj>
      </w:sdtPr>
      <w:sdtEndPr>
        <w:rPr>
          <w:rFonts w:ascii="Arial" w:hAnsi="Arial" w:cs="Arial" w:eastAsiaTheme="minorEastAsia"/>
          <w:snapToGrid w:val="0"/>
          <w:color w:val="000000"/>
          <w:sz w:val="21"/>
          <w:szCs w:val="21"/>
          <w:lang w:val="en-US" w:eastAsia="en-US" w:bidi="ar-SA"/>
        </w:rPr>
      </w:sdtEndPr>
      <w:sdtContent>
        <w:p w14:paraId="6760DD73">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0F2AACD">
          <w:pPr>
            <w:pStyle w:val="10"/>
            <w:tabs>
              <w:tab w:val="right" w:leader="dot" w:pos="8306"/>
            </w:tabs>
          </w:pPr>
          <w:r>
            <w:rPr>
              <w:rFonts w:ascii="Arial" w:hAnsi="Arial" w:cs="Arial" w:eastAsiaTheme="minorEastAsia"/>
              <w:snapToGrid w:val="0"/>
              <w:color w:val="000000"/>
              <w:sz w:val="21"/>
              <w:szCs w:val="21"/>
              <w:lang w:val="en-US" w:eastAsia="en-US" w:bidi="ar-SA"/>
            </w:rPr>
            <w:fldChar w:fldCharType="begin"/>
          </w:r>
          <w:r>
            <w:rPr>
              <w:rFonts w:ascii="Arial" w:hAnsi="Arial" w:cs="Arial" w:eastAsiaTheme="minorEastAsia"/>
              <w:snapToGrid w:val="0"/>
              <w:color w:val="000000"/>
              <w:sz w:val="21"/>
              <w:szCs w:val="21"/>
              <w:lang w:val="en-US" w:eastAsia="en-US" w:bidi="ar-SA"/>
            </w:rPr>
            <w:instrText xml:space="preserve">TOC \o "1-2" \h \u </w:instrText>
          </w:r>
          <w:r>
            <w:rPr>
              <w:rFonts w:ascii="Arial" w:hAnsi="Arial" w:cs="Arial" w:eastAsiaTheme="minorEastAsia"/>
              <w:snapToGrid w:val="0"/>
              <w:color w:val="000000"/>
              <w:sz w:val="21"/>
              <w:szCs w:val="21"/>
              <w:lang w:val="en-US" w:eastAsia="en-US" w:bidi="ar-SA"/>
            </w:rPr>
            <w:fldChar w:fldCharType="separate"/>
          </w:r>
          <w:r>
            <w:rPr>
              <w:rFonts w:ascii="Arial" w:hAnsi="Arial" w:cs="Arial" w:eastAsiaTheme="minorEastAsia"/>
              <w:snapToGrid w:val="0"/>
              <w:color w:val="000000"/>
              <w:szCs w:val="21"/>
              <w:lang w:val="en-US" w:eastAsia="en-US" w:bidi="ar-SA"/>
            </w:rPr>
            <w:fldChar w:fldCharType="begin"/>
          </w:r>
          <w:r>
            <w:rPr>
              <w:rFonts w:ascii="Arial" w:hAnsi="Arial" w:cs="Arial" w:eastAsiaTheme="minorEastAsia"/>
              <w:snapToGrid w:val="0"/>
              <w:szCs w:val="21"/>
              <w:lang w:val="en-US" w:eastAsia="en-US" w:bidi="ar-SA"/>
            </w:rPr>
            <w:instrText xml:space="preserve"> HYPERLINK \l _Toc24256 </w:instrText>
          </w:r>
          <w:r>
            <w:rPr>
              <w:rFonts w:ascii="Arial" w:hAnsi="Arial" w:cs="Arial" w:eastAsiaTheme="minorEastAsia"/>
              <w:snapToGrid w:val="0"/>
              <w:szCs w:val="21"/>
              <w:lang w:val="en-US" w:eastAsia="en-US" w:bidi="ar-SA"/>
            </w:rPr>
            <w:fldChar w:fldCharType="separate"/>
          </w:r>
          <w:r>
            <w:rPr>
              <w:rFonts w:hint="default" w:asciiTheme="majorEastAsia" w:hAnsiTheme="majorEastAsia" w:eastAsiaTheme="majorEastAsia" w:cstheme="majorEastAsia"/>
              <w:bCs/>
              <w:szCs w:val="28"/>
              <w:lang w:val="en-US" w:eastAsia="zh-CN"/>
            </w:rPr>
            <w:t xml:space="preserve">1. </w:t>
          </w:r>
          <w:r>
            <w:rPr>
              <w:rFonts w:hint="eastAsia" w:asciiTheme="majorEastAsia" w:hAnsiTheme="majorEastAsia" w:eastAsiaTheme="majorEastAsia" w:cstheme="majorEastAsia"/>
              <w:bCs/>
              <w:szCs w:val="28"/>
              <w:lang w:val="en-US" w:eastAsia="zh-CN"/>
            </w:rPr>
            <w:t>编写目的</w:t>
          </w:r>
          <w:r>
            <w:tab/>
          </w:r>
          <w:r>
            <w:fldChar w:fldCharType="begin"/>
          </w:r>
          <w:r>
            <w:instrText xml:space="preserve"> PAGEREF _Toc24256 \h </w:instrText>
          </w:r>
          <w:r>
            <w:fldChar w:fldCharType="separate"/>
          </w:r>
          <w:r>
            <w:t>4</w:t>
          </w:r>
          <w:r>
            <w:fldChar w:fldCharType="end"/>
          </w:r>
          <w:r>
            <w:rPr>
              <w:rFonts w:ascii="Arial" w:hAnsi="Arial" w:cs="Arial" w:eastAsiaTheme="minorEastAsia"/>
              <w:snapToGrid w:val="0"/>
              <w:color w:val="000000"/>
              <w:szCs w:val="21"/>
              <w:lang w:val="en-US" w:eastAsia="en-US" w:bidi="ar-SA"/>
            </w:rPr>
            <w:fldChar w:fldCharType="end"/>
          </w:r>
        </w:p>
        <w:p w14:paraId="2FCF0989">
          <w:pPr>
            <w:pStyle w:val="10"/>
            <w:tabs>
              <w:tab w:val="right" w:leader="dot" w:pos="8306"/>
            </w:tabs>
          </w:pPr>
          <w:r>
            <w:rPr>
              <w:rFonts w:ascii="Arial" w:hAnsi="Arial" w:cs="Arial" w:eastAsiaTheme="minorEastAsia"/>
              <w:snapToGrid w:val="0"/>
              <w:color w:val="000000"/>
              <w:szCs w:val="21"/>
              <w:lang w:val="en-US" w:eastAsia="en-US" w:bidi="ar-SA"/>
            </w:rPr>
            <w:fldChar w:fldCharType="begin"/>
          </w:r>
          <w:r>
            <w:rPr>
              <w:rFonts w:ascii="Arial" w:hAnsi="Arial" w:cs="Arial" w:eastAsiaTheme="minorEastAsia"/>
              <w:snapToGrid w:val="0"/>
              <w:szCs w:val="21"/>
              <w:lang w:val="en-US" w:eastAsia="en-US" w:bidi="ar-SA"/>
            </w:rPr>
            <w:instrText xml:space="preserve"> HYPERLINK \l _Toc30709 </w:instrText>
          </w:r>
          <w:r>
            <w:rPr>
              <w:rFonts w:ascii="Arial" w:hAnsi="Arial" w:cs="Arial" w:eastAsiaTheme="minorEastAsia"/>
              <w:snapToGrid w:val="0"/>
              <w:szCs w:val="21"/>
              <w:lang w:val="en-US" w:eastAsia="en-US" w:bidi="ar-SA"/>
            </w:rPr>
            <w:fldChar w:fldCharType="separate"/>
          </w:r>
          <w:r>
            <w:rPr>
              <w:rFonts w:hint="default" w:asciiTheme="majorEastAsia" w:hAnsiTheme="majorEastAsia" w:eastAsiaTheme="majorEastAsia" w:cstheme="majorEastAsia"/>
              <w:bCs/>
              <w:szCs w:val="28"/>
              <w:lang w:val="en-US" w:eastAsia="zh-CN"/>
            </w:rPr>
            <w:t xml:space="preserve">2. </w:t>
          </w:r>
          <w:r>
            <w:rPr>
              <w:rFonts w:hint="eastAsia"/>
              <w:bCs/>
              <w:szCs w:val="28"/>
              <w:lang w:val="en-US" w:eastAsia="zh-CN"/>
            </w:rPr>
            <w:t>低空经济概述</w:t>
          </w:r>
          <w:r>
            <w:tab/>
          </w:r>
          <w:r>
            <w:fldChar w:fldCharType="begin"/>
          </w:r>
          <w:r>
            <w:instrText xml:space="preserve"> PAGEREF _Toc30709 \h </w:instrText>
          </w:r>
          <w:r>
            <w:fldChar w:fldCharType="separate"/>
          </w:r>
          <w:r>
            <w:t>4</w:t>
          </w:r>
          <w:r>
            <w:fldChar w:fldCharType="end"/>
          </w:r>
          <w:r>
            <w:rPr>
              <w:rFonts w:ascii="Arial" w:hAnsi="Arial" w:cs="Arial" w:eastAsiaTheme="minorEastAsia"/>
              <w:snapToGrid w:val="0"/>
              <w:color w:val="000000"/>
              <w:szCs w:val="21"/>
              <w:lang w:val="en-US" w:eastAsia="en-US" w:bidi="ar-SA"/>
            </w:rPr>
            <w:fldChar w:fldCharType="end"/>
          </w:r>
        </w:p>
        <w:p w14:paraId="20129193">
          <w:pPr>
            <w:pStyle w:val="11"/>
            <w:tabs>
              <w:tab w:val="right" w:leader="dot" w:pos="8306"/>
            </w:tabs>
          </w:pPr>
          <w:r>
            <w:rPr>
              <w:rFonts w:ascii="Arial" w:hAnsi="Arial" w:cs="Arial" w:eastAsiaTheme="minorEastAsia"/>
              <w:snapToGrid w:val="0"/>
              <w:color w:val="000000"/>
              <w:szCs w:val="21"/>
              <w:lang w:val="en-US" w:eastAsia="en-US" w:bidi="ar-SA"/>
            </w:rPr>
            <w:fldChar w:fldCharType="begin"/>
          </w:r>
          <w:r>
            <w:rPr>
              <w:rFonts w:ascii="Arial" w:hAnsi="Arial" w:cs="Arial" w:eastAsiaTheme="minorEastAsia"/>
              <w:snapToGrid w:val="0"/>
              <w:szCs w:val="21"/>
              <w:lang w:val="en-US" w:eastAsia="en-US" w:bidi="ar-SA"/>
            </w:rPr>
            <w:instrText xml:space="preserve"> HYPERLINK \l _Toc13669 </w:instrText>
          </w:r>
          <w:r>
            <w:rPr>
              <w:rFonts w:ascii="Arial" w:hAnsi="Arial" w:cs="Arial" w:eastAsiaTheme="minorEastAsia"/>
              <w:snapToGrid w:val="0"/>
              <w:szCs w:val="21"/>
              <w:lang w:val="en-US" w:eastAsia="en-US" w:bidi="ar-SA"/>
            </w:rPr>
            <w:fldChar w:fldCharType="separate"/>
          </w:r>
          <w:r>
            <w:rPr>
              <w:rFonts w:hint="default" w:asciiTheme="majorEastAsia" w:hAnsiTheme="majorEastAsia" w:eastAsiaTheme="majorEastAsia" w:cstheme="majorEastAsia"/>
              <w:bCs/>
              <w:szCs w:val="24"/>
              <w:lang w:val="en-US" w:eastAsia="zh-CN"/>
            </w:rPr>
            <w:t xml:space="preserve">2.1 </w:t>
          </w:r>
          <w:r>
            <w:rPr>
              <w:rFonts w:hint="eastAsia"/>
              <w:bCs/>
              <w:szCs w:val="24"/>
              <w:lang w:val="en-US" w:eastAsia="zh-CN"/>
            </w:rPr>
            <w:t>核心概念</w:t>
          </w:r>
          <w:r>
            <w:tab/>
          </w:r>
          <w:r>
            <w:fldChar w:fldCharType="begin"/>
          </w:r>
          <w:r>
            <w:instrText xml:space="preserve"> PAGEREF _Toc13669 \h </w:instrText>
          </w:r>
          <w:r>
            <w:fldChar w:fldCharType="separate"/>
          </w:r>
          <w:r>
            <w:t>4</w:t>
          </w:r>
          <w:r>
            <w:fldChar w:fldCharType="end"/>
          </w:r>
          <w:r>
            <w:rPr>
              <w:rFonts w:ascii="Arial" w:hAnsi="Arial" w:cs="Arial" w:eastAsiaTheme="minorEastAsia"/>
              <w:snapToGrid w:val="0"/>
              <w:color w:val="000000"/>
              <w:szCs w:val="21"/>
              <w:lang w:val="en-US" w:eastAsia="en-US" w:bidi="ar-SA"/>
            </w:rPr>
            <w:fldChar w:fldCharType="end"/>
          </w:r>
        </w:p>
        <w:p w14:paraId="670BEAE0">
          <w:pPr>
            <w:pStyle w:val="11"/>
            <w:tabs>
              <w:tab w:val="right" w:leader="dot" w:pos="8306"/>
            </w:tabs>
          </w:pPr>
          <w:r>
            <w:rPr>
              <w:rFonts w:ascii="Arial" w:hAnsi="Arial" w:cs="Arial" w:eastAsiaTheme="minorEastAsia"/>
              <w:snapToGrid w:val="0"/>
              <w:color w:val="000000"/>
              <w:szCs w:val="21"/>
              <w:lang w:val="en-US" w:eastAsia="en-US" w:bidi="ar-SA"/>
            </w:rPr>
            <w:fldChar w:fldCharType="begin"/>
          </w:r>
          <w:r>
            <w:rPr>
              <w:rFonts w:ascii="Arial" w:hAnsi="Arial" w:cs="Arial" w:eastAsiaTheme="minorEastAsia"/>
              <w:snapToGrid w:val="0"/>
              <w:szCs w:val="21"/>
              <w:lang w:val="en-US" w:eastAsia="en-US" w:bidi="ar-SA"/>
            </w:rPr>
            <w:instrText xml:space="preserve"> HYPERLINK \l _Toc24726 </w:instrText>
          </w:r>
          <w:r>
            <w:rPr>
              <w:rFonts w:ascii="Arial" w:hAnsi="Arial" w:cs="Arial" w:eastAsiaTheme="minorEastAsia"/>
              <w:snapToGrid w:val="0"/>
              <w:szCs w:val="21"/>
              <w:lang w:val="en-US" w:eastAsia="en-US" w:bidi="ar-SA"/>
            </w:rPr>
            <w:fldChar w:fldCharType="separate"/>
          </w:r>
          <w:r>
            <w:rPr>
              <w:rFonts w:hint="default" w:asciiTheme="majorEastAsia" w:hAnsiTheme="majorEastAsia" w:eastAsiaTheme="majorEastAsia" w:cstheme="majorEastAsia"/>
              <w:bCs/>
              <w:szCs w:val="24"/>
              <w:lang w:val="en-US" w:eastAsia="zh-CN"/>
            </w:rPr>
            <w:t xml:space="preserve">2.2 </w:t>
          </w:r>
          <w:r>
            <w:rPr>
              <w:rFonts w:hint="eastAsia"/>
              <w:bCs/>
              <w:szCs w:val="24"/>
              <w:lang w:val="en-US" w:eastAsia="zh-CN"/>
            </w:rPr>
            <w:t>发展意义</w:t>
          </w:r>
          <w:r>
            <w:tab/>
          </w:r>
          <w:r>
            <w:fldChar w:fldCharType="begin"/>
          </w:r>
          <w:r>
            <w:instrText xml:space="preserve"> PAGEREF _Toc24726 \h </w:instrText>
          </w:r>
          <w:r>
            <w:fldChar w:fldCharType="separate"/>
          </w:r>
          <w:r>
            <w:t>5</w:t>
          </w:r>
          <w:r>
            <w:fldChar w:fldCharType="end"/>
          </w:r>
          <w:r>
            <w:rPr>
              <w:rFonts w:ascii="Arial" w:hAnsi="Arial" w:cs="Arial" w:eastAsiaTheme="minorEastAsia"/>
              <w:snapToGrid w:val="0"/>
              <w:color w:val="000000"/>
              <w:szCs w:val="21"/>
              <w:lang w:val="en-US" w:eastAsia="en-US" w:bidi="ar-SA"/>
            </w:rPr>
            <w:fldChar w:fldCharType="end"/>
          </w:r>
        </w:p>
        <w:p w14:paraId="57871C11">
          <w:pPr>
            <w:pStyle w:val="10"/>
            <w:tabs>
              <w:tab w:val="right" w:leader="dot" w:pos="8306"/>
            </w:tabs>
          </w:pPr>
          <w:r>
            <w:rPr>
              <w:rFonts w:ascii="Arial" w:hAnsi="Arial" w:cs="Arial" w:eastAsiaTheme="minorEastAsia"/>
              <w:snapToGrid w:val="0"/>
              <w:color w:val="000000"/>
              <w:szCs w:val="21"/>
              <w:lang w:val="en-US" w:eastAsia="en-US" w:bidi="ar-SA"/>
            </w:rPr>
            <w:fldChar w:fldCharType="begin"/>
          </w:r>
          <w:r>
            <w:rPr>
              <w:rFonts w:ascii="Arial" w:hAnsi="Arial" w:cs="Arial" w:eastAsiaTheme="minorEastAsia"/>
              <w:snapToGrid w:val="0"/>
              <w:szCs w:val="21"/>
              <w:lang w:val="en-US" w:eastAsia="en-US" w:bidi="ar-SA"/>
            </w:rPr>
            <w:instrText xml:space="preserve"> HYPERLINK \l _Toc30837 </w:instrText>
          </w:r>
          <w:r>
            <w:rPr>
              <w:rFonts w:ascii="Arial" w:hAnsi="Arial" w:cs="Arial" w:eastAsiaTheme="minorEastAsia"/>
              <w:snapToGrid w:val="0"/>
              <w:szCs w:val="21"/>
              <w:lang w:val="en-US" w:eastAsia="en-US" w:bidi="ar-SA"/>
            </w:rPr>
            <w:fldChar w:fldCharType="separate"/>
          </w:r>
          <w:r>
            <w:rPr>
              <w:rFonts w:hint="default" w:asciiTheme="majorEastAsia" w:hAnsiTheme="majorEastAsia" w:eastAsiaTheme="majorEastAsia" w:cstheme="majorEastAsia"/>
              <w:bCs/>
              <w:szCs w:val="28"/>
              <w:lang w:val="en-US" w:eastAsia="zh-CN"/>
            </w:rPr>
            <w:t xml:space="preserve">3. </w:t>
          </w:r>
          <w:r>
            <w:rPr>
              <w:rFonts w:hint="eastAsia"/>
              <w:bCs/>
              <w:szCs w:val="28"/>
              <w:lang w:val="en-US" w:eastAsia="zh-CN"/>
            </w:rPr>
            <w:t>低空经济标准体系</w:t>
          </w:r>
          <w:r>
            <w:tab/>
          </w:r>
          <w:r>
            <w:fldChar w:fldCharType="begin"/>
          </w:r>
          <w:r>
            <w:instrText xml:space="preserve"> PAGEREF _Toc30837 \h </w:instrText>
          </w:r>
          <w:r>
            <w:fldChar w:fldCharType="separate"/>
          </w:r>
          <w:r>
            <w:t>6</w:t>
          </w:r>
          <w:r>
            <w:fldChar w:fldCharType="end"/>
          </w:r>
          <w:r>
            <w:rPr>
              <w:rFonts w:ascii="Arial" w:hAnsi="Arial" w:cs="Arial" w:eastAsiaTheme="minorEastAsia"/>
              <w:snapToGrid w:val="0"/>
              <w:color w:val="000000"/>
              <w:szCs w:val="21"/>
              <w:lang w:val="en-US" w:eastAsia="en-US" w:bidi="ar-SA"/>
            </w:rPr>
            <w:fldChar w:fldCharType="end"/>
          </w:r>
        </w:p>
        <w:p w14:paraId="7206BEE5">
          <w:pPr>
            <w:pStyle w:val="11"/>
            <w:tabs>
              <w:tab w:val="right" w:leader="dot" w:pos="8306"/>
            </w:tabs>
          </w:pPr>
          <w:r>
            <w:rPr>
              <w:rFonts w:ascii="Arial" w:hAnsi="Arial" w:cs="Arial" w:eastAsiaTheme="minorEastAsia"/>
              <w:snapToGrid w:val="0"/>
              <w:color w:val="000000"/>
              <w:szCs w:val="21"/>
              <w:lang w:val="en-US" w:eastAsia="en-US" w:bidi="ar-SA"/>
            </w:rPr>
            <w:fldChar w:fldCharType="begin"/>
          </w:r>
          <w:r>
            <w:rPr>
              <w:rFonts w:ascii="Arial" w:hAnsi="Arial" w:cs="Arial" w:eastAsiaTheme="minorEastAsia"/>
              <w:snapToGrid w:val="0"/>
              <w:szCs w:val="21"/>
              <w:lang w:val="en-US" w:eastAsia="en-US" w:bidi="ar-SA"/>
            </w:rPr>
            <w:instrText xml:space="preserve"> HYPERLINK \l _Toc22714 </w:instrText>
          </w:r>
          <w:r>
            <w:rPr>
              <w:rFonts w:ascii="Arial" w:hAnsi="Arial" w:cs="Arial" w:eastAsiaTheme="minorEastAsia"/>
              <w:snapToGrid w:val="0"/>
              <w:szCs w:val="21"/>
              <w:lang w:val="en-US" w:eastAsia="en-US" w:bidi="ar-SA"/>
            </w:rPr>
            <w:fldChar w:fldCharType="separate"/>
          </w:r>
          <w:r>
            <w:rPr>
              <w:rFonts w:hint="default" w:asciiTheme="majorEastAsia" w:hAnsiTheme="majorEastAsia" w:eastAsiaTheme="majorEastAsia" w:cstheme="majorEastAsia"/>
              <w:bCs/>
              <w:szCs w:val="24"/>
              <w:lang w:val="en-US" w:eastAsia="zh-CN"/>
            </w:rPr>
            <w:t xml:space="preserve">3.1 </w:t>
          </w:r>
          <w:r>
            <w:rPr>
              <w:rFonts w:hint="eastAsia"/>
              <w:bCs/>
              <w:szCs w:val="24"/>
              <w:lang w:val="en-US" w:eastAsia="zh-CN"/>
            </w:rPr>
            <w:t>核心标准框架</w:t>
          </w:r>
          <w:r>
            <w:tab/>
          </w:r>
          <w:r>
            <w:fldChar w:fldCharType="begin"/>
          </w:r>
          <w:r>
            <w:instrText xml:space="preserve"> PAGEREF _Toc22714 \h </w:instrText>
          </w:r>
          <w:r>
            <w:fldChar w:fldCharType="separate"/>
          </w:r>
          <w:r>
            <w:t>7</w:t>
          </w:r>
          <w:r>
            <w:fldChar w:fldCharType="end"/>
          </w:r>
          <w:r>
            <w:rPr>
              <w:rFonts w:ascii="Arial" w:hAnsi="Arial" w:cs="Arial" w:eastAsiaTheme="minorEastAsia"/>
              <w:snapToGrid w:val="0"/>
              <w:color w:val="000000"/>
              <w:szCs w:val="21"/>
              <w:lang w:val="en-US" w:eastAsia="en-US" w:bidi="ar-SA"/>
            </w:rPr>
            <w:fldChar w:fldCharType="end"/>
          </w:r>
        </w:p>
        <w:p w14:paraId="5FA6F171">
          <w:pPr>
            <w:pStyle w:val="11"/>
            <w:tabs>
              <w:tab w:val="right" w:leader="dot" w:pos="8306"/>
            </w:tabs>
          </w:pPr>
          <w:r>
            <w:rPr>
              <w:rFonts w:ascii="Arial" w:hAnsi="Arial" w:cs="Arial" w:eastAsiaTheme="minorEastAsia"/>
              <w:snapToGrid w:val="0"/>
              <w:color w:val="000000"/>
              <w:szCs w:val="21"/>
              <w:lang w:val="en-US" w:eastAsia="en-US" w:bidi="ar-SA"/>
            </w:rPr>
            <w:fldChar w:fldCharType="begin"/>
          </w:r>
          <w:r>
            <w:rPr>
              <w:rFonts w:ascii="Arial" w:hAnsi="Arial" w:cs="Arial" w:eastAsiaTheme="minorEastAsia"/>
              <w:snapToGrid w:val="0"/>
              <w:szCs w:val="21"/>
              <w:lang w:val="en-US" w:eastAsia="en-US" w:bidi="ar-SA"/>
            </w:rPr>
            <w:instrText xml:space="preserve"> HYPERLINK \l _Toc9140 </w:instrText>
          </w:r>
          <w:r>
            <w:rPr>
              <w:rFonts w:ascii="Arial" w:hAnsi="Arial" w:cs="Arial" w:eastAsiaTheme="minorEastAsia"/>
              <w:snapToGrid w:val="0"/>
              <w:szCs w:val="21"/>
              <w:lang w:val="en-US" w:eastAsia="en-US" w:bidi="ar-SA"/>
            </w:rPr>
            <w:fldChar w:fldCharType="separate"/>
          </w:r>
          <w:r>
            <w:rPr>
              <w:rFonts w:hint="default" w:asciiTheme="majorEastAsia" w:hAnsiTheme="majorEastAsia" w:eastAsiaTheme="majorEastAsia" w:cstheme="majorEastAsia"/>
              <w:bCs/>
              <w:szCs w:val="24"/>
              <w:lang w:val="en-US" w:eastAsia="zh-CN"/>
            </w:rPr>
            <w:t xml:space="preserve">3.2 </w:t>
          </w:r>
          <w:r>
            <w:rPr>
              <w:rFonts w:hint="eastAsia"/>
              <w:bCs/>
              <w:szCs w:val="24"/>
              <w:lang w:val="en-US" w:eastAsia="zh-CN"/>
            </w:rPr>
            <w:t>五大核心标准领域详解</w:t>
          </w:r>
          <w:r>
            <w:tab/>
          </w:r>
          <w:r>
            <w:fldChar w:fldCharType="begin"/>
          </w:r>
          <w:r>
            <w:instrText xml:space="preserve"> PAGEREF _Toc9140 \h </w:instrText>
          </w:r>
          <w:r>
            <w:fldChar w:fldCharType="separate"/>
          </w:r>
          <w:r>
            <w:t>7</w:t>
          </w:r>
          <w:r>
            <w:fldChar w:fldCharType="end"/>
          </w:r>
          <w:r>
            <w:rPr>
              <w:rFonts w:ascii="Arial" w:hAnsi="Arial" w:cs="Arial" w:eastAsiaTheme="minorEastAsia"/>
              <w:snapToGrid w:val="0"/>
              <w:color w:val="000000"/>
              <w:szCs w:val="21"/>
              <w:lang w:val="en-US" w:eastAsia="en-US" w:bidi="ar-SA"/>
            </w:rPr>
            <w:fldChar w:fldCharType="end"/>
          </w:r>
        </w:p>
        <w:p w14:paraId="47DB4E78">
          <w:pPr>
            <w:pStyle w:val="11"/>
            <w:tabs>
              <w:tab w:val="right" w:leader="dot" w:pos="8306"/>
            </w:tabs>
          </w:pPr>
          <w:r>
            <w:rPr>
              <w:rFonts w:ascii="Arial" w:hAnsi="Arial" w:cs="Arial" w:eastAsiaTheme="minorEastAsia"/>
              <w:snapToGrid w:val="0"/>
              <w:color w:val="000000"/>
              <w:szCs w:val="21"/>
              <w:lang w:val="en-US" w:eastAsia="en-US" w:bidi="ar-SA"/>
            </w:rPr>
            <w:fldChar w:fldCharType="begin"/>
          </w:r>
          <w:r>
            <w:rPr>
              <w:rFonts w:ascii="Arial" w:hAnsi="Arial" w:cs="Arial" w:eastAsiaTheme="minorEastAsia"/>
              <w:snapToGrid w:val="0"/>
              <w:szCs w:val="21"/>
              <w:lang w:val="en-US" w:eastAsia="en-US" w:bidi="ar-SA"/>
            </w:rPr>
            <w:instrText xml:space="preserve"> HYPERLINK \l _Toc5400 </w:instrText>
          </w:r>
          <w:r>
            <w:rPr>
              <w:rFonts w:ascii="Arial" w:hAnsi="Arial" w:cs="Arial" w:eastAsiaTheme="minorEastAsia"/>
              <w:snapToGrid w:val="0"/>
              <w:szCs w:val="21"/>
              <w:lang w:val="en-US" w:eastAsia="en-US" w:bidi="ar-SA"/>
            </w:rPr>
            <w:fldChar w:fldCharType="separate"/>
          </w:r>
          <w:r>
            <w:rPr>
              <w:rFonts w:hint="default" w:asciiTheme="majorEastAsia" w:hAnsiTheme="majorEastAsia" w:eastAsiaTheme="majorEastAsia" w:cstheme="majorEastAsia"/>
              <w:bCs/>
              <w:szCs w:val="24"/>
              <w:lang w:val="en-US" w:eastAsia="zh-CN"/>
            </w:rPr>
            <w:t xml:space="preserve">3.3 </w:t>
          </w:r>
          <w:r>
            <w:rPr>
              <w:rFonts w:hint="eastAsia"/>
              <w:bCs/>
              <w:szCs w:val="24"/>
              <w:lang w:val="en-US" w:eastAsia="zh-CN"/>
            </w:rPr>
            <w:t>标准建设目标</w:t>
          </w:r>
          <w:r>
            <w:tab/>
          </w:r>
          <w:r>
            <w:fldChar w:fldCharType="begin"/>
          </w:r>
          <w:r>
            <w:instrText xml:space="preserve"> PAGEREF _Toc5400 \h </w:instrText>
          </w:r>
          <w:r>
            <w:fldChar w:fldCharType="separate"/>
          </w:r>
          <w:r>
            <w:t>13</w:t>
          </w:r>
          <w:r>
            <w:fldChar w:fldCharType="end"/>
          </w:r>
          <w:r>
            <w:rPr>
              <w:rFonts w:ascii="Arial" w:hAnsi="Arial" w:cs="Arial" w:eastAsiaTheme="minorEastAsia"/>
              <w:snapToGrid w:val="0"/>
              <w:color w:val="000000"/>
              <w:szCs w:val="21"/>
              <w:lang w:val="en-US" w:eastAsia="en-US" w:bidi="ar-SA"/>
            </w:rPr>
            <w:fldChar w:fldCharType="end"/>
          </w:r>
        </w:p>
        <w:p w14:paraId="3A6BFA01">
          <w:pPr>
            <w:pStyle w:val="10"/>
            <w:tabs>
              <w:tab w:val="right" w:leader="dot" w:pos="8306"/>
            </w:tabs>
          </w:pPr>
          <w:r>
            <w:rPr>
              <w:rFonts w:ascii="Arial" w:hAnsi="Arial" w:cs="Arial" w:eastAsiaTheme="minorEastAsia"/>
              <w:snapToGrid w:val="0"/>
              <w:color w:val="000000"/>
              <w:szCs w:val="21"/>
              <w:lang w:val="en-US" w:eastAsia="en-US" w:bidi="ar-SA"/>
            </w:rPr>
            <w:fldChar w:fldCharType="begin"/>
          </w:r>
          <w:r>
            <w:rPr>
              <w:rFonts w:ascii="Arial" w:hAnsi="Arial" w:cs="Arial" w:eastAsiaTheme="minorEastAsia"/>
              <w:snapToGrid w:val="0"/>
              <w:szCs w:val="21"/>
              <w:lang w:val="en-US" w:eastAsia="en-US" w:bidi="ar-SA"/>
            </w:rPr>
            <w:instrText xml:space="preserve"> HYPERLINK \l _Toc18658 </w:instrText>
          </w:r>
          <w:r>
            <w:rPr>
              <w:rFonts w:ascii="Arial" w:hAnsi="Arial" w:cs="Arial" w:eastAsiaTheme="minorEastAsia"/>
              <w:snapToGrid w:val="0"/>
              <w:szCs w:val="21"/>
              <w:lang w:val="en-US" w:eastAsia="en-US" w:bidi="ar-SA"/>
            </w:rPr>
            <w:fldChar w:fldCharType="separate"/>
          </w:r>
          <w:r>
            <w:rPr>
              <w:rFonts w:hint="default" w:asciiTheme="majorEastAsia" w:hAnsiTheme="majorEastAsia" w:eastAsiaTheme="majorEastAsia" w:cstheme="majorEastAsia"/>
              <w:bCs/>
              <w:szCs w:val="28"/>
              <w:lang w:val="en-US" w:eastAsia="zh-CN"/>
            </w:rPr>
            <w:t xml:space="preserve">4. </w:t>
          </w:r>
          <w:r>
            <w:rPr>
              <w:rFonts w:hint="eastAsia"/>
              <w:bCs/>
              <w:szCs w:val="28"/>
              <w:lang w:val="en-US" w:eastAsia="zh-CN"/>
            </w:rPr>
            <w:t>低空经济场景</w:t>
          </w:r>
          <w:r>
            <w:tab/>
          </w:r>
          <w:r>
            <w:fldChar w:fldCharType="begin"/>
          </w:r>
          <w:r>
            <w:instrText xml:space="preserve"> PAGEREF _Toc18658 \h </w:instrText>
          </w:r>
          <w:r>
            <w:fldChar w:fldCharType="separate"/>
          </w:r>
          <w:r>
            <w:t>13</w:t>
          </w:r>
          <w:r>
            <w:fldChar w:fldCharType="end"/>
          </w:r>
          <w:r>
            <w:rPr>
              <w:rFonts w:ascii="Arial" w:hAnsi="Arial" w:cs="Arial" w:eastAsiaTheme="minorEastAsia"/>
              <w:snapToGrid w:val="0"/>
              <w:color w:val="000000"/>
              <w:szCs w:val="21"/>
              <w:lang w:val="en-US" w:eastAsia="en-US" w:bidi="ar-SA"/>
            </w:rPr>
            <w:fldChar w:fldCharType="end"/>
          </w:r>
        </w:p>
        <w:p w14:paraId="66E74C0A">
          <w:pPr>
            <w:pStyle w:val="11"/>
            <w:tabs>
              <w:tab w:val="right" w:leader="dot" w:pos="8306"/>
            </w:tabs>
          </w:pPr>
          <w:r>
            <w:rPr>
              <w:rFonts w:ascii="Arial" w:hAnsi="Arial" w:cs="Arial" w:eastAsiaTheme="minorEastAsia"/>
              <w:snapToGrid w:val="0"/>
              <w:color w:val="000000"/>
              <w:szCs w:val="21"/>
              <w:lang w:val="en-US" w:eastAsia="en-US" w:bidi="ar-SA"/>
            </w:rPr>
            <w:fldChar w:fldCharType="begin"/>
          </w:r>
          <w:r>
            <w:rPr>
              <w:rFonts w:ascii="Arial" w:hAnsi="Arial" w:cs="Arial" w:eastAsiaTheme="minorEastAsia"/>
              <w:snapToGrid w:val="0"/>
              <w:szCs w:val="21"/>
              <w:lang w:val="en-US" w:eastAsia="en-US" w:bidi="ar-SA"/>
            </w:rPr>
            <w:instrText xml:space="preserve"> HYPERLINK \l _Toc22737 </w:instrText>
          </w:r>
          <w:r>
            <w:rPr>
              <w:rFonts w:ascii="Arial" w:hAnsi="Arial" w:cs="Arial" w:eastAsiaTheme="minorEastAsia"/>
              <w:snapToGrid w:val="0"/>
              <w:szCs w:val="21"/>
              <w:lang w:val="en-US" w:eastAsia="en-US" w:bidi="ar-SA"/>
            </w:rPr>
            <w:fldChar w:fldCharType="separate"/>
          </w:r>
          <w:r>
            <w:rPr>
              <w:rFonts w:hint="default" w:asciiTheme="majorEastAsia" w:hAnsiTheme="majorEastAsia" w:eastAsiaTheme="majorEastAsia" w:cstheme="majorEastAsia"/>
              <w:bCs/>
              <w:szCs w:val="24"/>
              <w:lang w:val="en-US" w:eastAsia="zh-CN"/>
            </w:rPr>
            <w:t xml:space="preserve">4.1 </w:t>
          </w:r>
          <w:r>
            <w:rPr>
              <w:rFonts w:hint="eastAsia"/>
              <w:bCs/>
              <w:szCs w:val="24"/>
              <w:lang w:val="en-US" w:eastAsia="zh-CN"/>
            </w:rPr>
            <w:t>场景核心要素</w:t>
          </w:r>
          <w:r>
            <w:tab/>
          </w:r>
          <w:r>
            <w:fldChar w:fldCharType="begin"/>
          </w:r>
          <w:r>
            <w:instrText xml:space="preserve"> PAGEREF _Toc22737 \h </w:instrText>
          </w:r>
          <w:r>
            <w:fldChar w:fldCharType="separate"/>
          </w:r>
          <w:r>
            <w:t>13</w:t>
          </w:r>
          <w:r>
            <w:fldChar w:fldCharType="end"/>
          </w:r>
          <w:r>
            <w:rPr>
              <w:rFonts w:ascii="Arial" w:hAnsi="Arial" w:cs="Arial" w:eastAsiaTheme="minorEastAsia"/>
              <w:snapToGrid w:val="0"/>
              <w:color w:val="000000"/>
              <w:szCs w:val="21"/>
              <w:lang w:val="en-US" w:eastAsia="en-US" w:bidi="ar-SA"/>
            </w:rPr>
            <w:fldChar w:fldCharType="end"/>
          </w:r>
        </w:p>
        <w:p w14:paraId="6E1C7501">
          <w:pPr>
            <w:pStyle w:val="11"/>
            <w:tabs>
              <w:tab w:val="right" w:leader="dot" w:pos="8306"/>
            </w:tabs>
          </w:pPr>
          <w:r>
            <w:rPr>
              <w:rFonts w:ascii="Arial" w:hAnsi="Arial" w:cs="Arial" w:eastAsiaTheme="minorEastAsia"/>
              <w:snapToGrid w:val="0"/>
              <w:color w:val="000000"/>
              <w:szCs w:val="21"/>
              <w:lang w:val="en-US" w:eastAsia="en-US" w:bidi="ar-SA"/>
            </w:rPr>
            <w:fldChar w:fldCharType="begin"/>
          </w:r>
          <w:r>
            <w:rPr>
              <w:rFonts w:ascii="Arial" w:hAnsi="Arial" w:cs="Arial" w:eastAsiaTheme="minorEastAsia"/>
              <w:snapToGrid w:val="0"/>
              <w:szCs w:val="21"/>
              <w:lang w:val="en-US" w:eastAsia="en-US" w:bidi="ar-SA"/>
            </w:rPr>
            <w:instrText xml:space="preserve"> HYPERLINK \l _Toc7571 </w:instrText>
          </w:r>
          <w:r>
            <w:rPr>
              <w:rFonts w:ascii="Arial" w:hAnsi="Arial" w:cs="Arial" w:eastAsiaTheme="minorEastAsia"/>
              <w:snapToGrid w:val="0"/>
              <w:szCs w:val="21"/>
              <w:lang w:val="en-US" w:eastAsia="en-US" w:bidi="ar-SA"/>
            </w:rPr>
            <w:fldChar w:fldCharType="separate"/>
          </w:r>
          <w:r>
            <w:rPr>
              <w:rFonts w:hint="default" w:asciiTheme="majorEastAsia" w:hAnsiTheme="majorEastAsia" w:eastAsiaTheme="majorEastAsia" w:cstheme="majorEastAsia"/>
              <w:bCs/>
              <w:szCs w:val="24"/>
              <w:lang w:val="en-US" w:eastAsia="zh-CN"/>
            </w:rPr>
            <w:t xml:space="preserve">4.2 </w:t>
          </w:r>
          <w:r>
            <w:rPr>
              <w:rFonts w:hint="eastAsia"/>
              <w:bCs/>
              <w:szCs w:val="24"/>
              <w:lang w:val="en-US" w:eastAsia="zh-CN"/>
            </w:rPr>
            <w:t>低空经济场景价值矩阵构建</w:t>
          </w:r>
          <w:r>
            <w:tab/>
          </w:r>
          <w:r>
            <w:fldChar w:fldCharType="begin"/>
          </w:r>
          <w:r>
            <w:instrText xml:space="preserve"> PAGEREF _Toc7571 \h </w:instrText>
          </w:r>
          <w:r>
            <w:fldChar w:fldCharType="separate"/>
          </w:r>
          <w:r>
            <w:t>18</w:t>
          </w:r>
          <w:r>
            <w:fldChar w:fldCharType="end"/>
          </w:r>
          <w:r>
            <w:rPr>
              <w:rFonts w:ascii="Arial" w:hAnsi="Arial" w:cs="Arial" w:eastAsiaTheme="minorEastAsia"/>
              <w:snapToGrid w:val="0"/>
              <w:color w:val="000000"/>
              <w:szCs w:val="21"/>
              <w:lang w:val="en-US" w:eastAsia="en-US" w:bidi="ar-SA"/>
            </w:rPr>
            <w:fldChar w:fldCharType="end"/>
          </w:r>
        </w:p>
        <w:p w14:paraId="79B064EE">
          <w:pPr>
            <w:pStyle w:val="10"/>
            <w:tabs>
              <w:tab w:val="right" w:leader="dot" w:pos="8306"/>
            </w:tabs>
          </w:pPr>
          <w:r>
            <w:rPr>
              <w:rFonts w:ascii="Arial" w:hAnsi="Arial" w:cs="Arial" w:eastAsiaTheme="minorEastAsia"/>
              <w:snapToGrid w:val="0"/>
              <w:color w:val="000000"/>
              <w:szCs w:val="21"/>
              <w:lang w:val="en-US" w:eastAsia="en-US" w:bidi="ar-SA"/>
            </w:rPr>
            <w:fldChar w:fldCharType="begin"/>
          </w:r>
          <w:r>
            <w:rPr>
              <w:rFonts w:ascii="Arial" w:hAnsi="Arial" w:cs="Arial" w:eastAsiaTheme="minorEastAsia"/>
              <w:snapToGrid w:val="0"/>
              <w:szCs w:val="21"/>
              <w:lang w:val="en-US" w:eastAsia="en-US" w:bidi="ar-SA"/>
            </w:rPr>
            <w:instrText xml:space="preserve"> HYPERLINK \l _Toc20047 </w:instrText>
          </w:r>
          <w:r>
            <w:rPr>
              <w:rFonts w:ascii="Arial" w:hAnsi="Arial" w:cs="Arial" w:eastAsiaTheme="minorEastAsia"/>
              <w:snapToGrid w:val="0"/>
              <w:szCs w:val="21"/>
              <w:lang w:val="en-US" w:eastAsia="en-US" w:bidi="ar-SA"/>
            </w:rPr>
            <w:fldChar w:fldCharType="separate"/>
          </w:r>
          <w:r>
            <w:rPr>
              <w:rFonts w:hint="default" w:asciiTheme="majorEastAsia" w:hAnsiTheme="majorEastAsia" w:eastAsiaTheme="majorEastAsia" w:cstheme="majorEastAsia"/>
              <w:bCs/>
              <w:szCs w:val="28"/>
              <w:lang w:val="en-US" w:eastAsia="zh-CN"/>
            </w:rPr>
            <w:t xml:space="preserve">5. </w:t>
          </w:r>
          <w:r>
            <w:rPr>
              <w:rFonts w:hint="eastAsia"/>
              <w:bCs/>
              <w:szCs w:val="28"/>
              <w:lang w:val="en-US" w:eastAsia="zh-CN"/>
            </w:rPr>
            <w:t>低空经济产业链分析</w:t>
          </w:r>
          <w:r>
            <w:tab/>
          </w:r>
          <w:r>
            <w:fldChar w:fldCharType="begin"/>
          </w:r>
          <w:r>
            <w:instrText xml:space="preserve"> PAGEREF _Toc20047 \h </w:instrText>
          </w:r>
          <w:r>
            <w:fldChar w:fldCharType="separate"/>
          </w:r>
          <w:r>
            <w:t>25</w:t>
          </w:r>
          <w:r>
            <w:fldChar w:fldCharType="end"/>
          </w:r>
          <w:r>
            <w:rPr>
              <w:rFonts w:ascii="Arial" w:hAnsi="Arial" w:cs="Arial" w:eastAsiaTheme="minorEastAsia"/>
              <w:snapToGrid w:val="0"/>
              <w:color w:val="000000"/>
              <w:szCs w:val="21"/>
              <w:lang w:val="en-US" w:eastAsia="en-US" w:bidi="ar-SA"/>
            </w:rPr>
            <w:fldChar w:fldCharType="end"/>
          </w:r>
        </w:p>
        <w:p w14:paraId="5FE0E338">
          <w:pPr>
            <w:pStyle w:val="11"/>
            <w:tabs>
              <w:tab w:val="right" w:leader="dot" w:pos="8306"/>
            </w:tabs>
          </w:pPr>
          <w:r>
            <w:rPr>
              <w:rFonts w:ascii="Arial" w:hAnsi="Arial" w:cs="Arial" w:eastAsiaTheme="minorEastAsia"/>
              <w:snapToGrid w:val="0"/>
              <w:color w:val="000000"/>
              <w:szCs w:val="21"/>
              <w:lang w:val="en-US" w:eastAsia="en-US" w:bidi="ar-SA"/>
            </w:rPr>
            <w:fldChar w:fldCharType="begin"/>
          </w:r>
          <w:r>
            <w:rPr>
              <w:rFonts w:ascii="Arial" w:hAnsi="Arial" w:cs="Arial" w:eastAsiaTheme="minorEastAsia"/>
              <w:snapToGrid w:val="0"/>
              <w:szCs w:val="21"/>
              <w:lang w:val="en-US" w:eastAsia="en-US" w:bidi="ar-SA"/>
            </w:rPr>
            <w:instrText xml:space="preserve"> HYPERLINK \l _Toc26886 </w:instrText>
          </w:r>
          <w:r>
            <w:rPr>
              <w:rFonts w:ascii="Arial" w:hAnsi="Arial" w:cs="Arial" w:eastAsiaTheme="minorEastAsia"/>
              <w:snapToGrid w:val="0"/>
              <w:szCs w:val="21"/>
              <w:lang w:val="en-US" w:eastAsia="en-US" w:bidi="ar-SA"/>
            </w:rPr>
            <w:fldChar w:fldCharType="separate"/>
          </w:r>
          <w:r>
            <w:rPr>
              <w:rFonts w:hint="default" w:asciiTheme="majorEastAsia" w:hAnsiTheme="majorEastAsia" w:eastAsiaTheme="majorEastAsia" w:cstheme="majorEastAsia"/>
              <w:bCs/>
              <w:szCs w:val="24"/>
              <w:lang w:val="en-US" w:eastAsia="zh-CN"/>
            </w:rPr>
            <w:t xml:space="preserve">5.1 </w:t>
          </w:r>
          <w:r>
            <w:rPr>
              <w:rFonts w:hint="eastAsia"/>
              <w:bCs/>
              <w:szCs w:val="24"/>
              <w:lang w:val="en-US" w:eastAsia="zh-CN"/>
            </w:rPr>
            <w:t>产业链总览</w:t>
          </w:r>
          <w:r>
            <w:tab/>
          </w:r>
          <w:r>
            <w:fldChar w:fldCharType="begin"/>
          </w:r>
          <w:r>
            <w:instrText xml:space="preserve"> PAGEREF _Toc26886 \h </w:instrText>
          </w:r>
          <w:r>
            <w:fldChar w:fldCharType="separate"/>
          </w:r>
          <w:r>
            <w:t>25</w:t>
          </w:r>
          <w:r>
            <w:fldChar w:fldCharType="end"/>
          </w:r>
          <w:r>
            <w:rPr>
              <w:rFonts w:ascii="Arial" w:hAnsi="Arial" w:cs="Arial" w:eastAsiaTheme="minorEastAsia"/>
              <w:snapToGrid w:val="0"/>
              <w:color w:val="000000"/>
              <w:szCs w:val="21"/>
              <w:lang w:val="en-US" w:eastAsia="en-US" w:bidi="ar-SA"/>
            </w:rPr>
            <w:fldChar w:fldCharType="end"/>
          </w:r>
        </w:p>
        <w:p w14:paraId="6AE18F75">
          <w:pPr>
            <w:pStyle w:val="11"/>
            <w:tabs>
              <w:tab w:val="right" w:leader="dot" w:pos="8306"/>
            </w:tabs>
          </w:pPr>
          <w:r>
            <w:rPr>
              <w:rFonts w:ascii="Arial" w:hAnsi="Arial" w:cs="Arial" w:eastAsiaTheme="minorEastAsia"/>
              <w:snapToGrid w:val="0"/>
              <w:color w:val="000000"/>
              <w:szCs w:val="21"/>
              <w:lang w:val="en-US" w:eastAsia="en-US" w:bidi="ar-SA"/>
            </w:rPr>
            <w:fldChar w:fldCharType="begin"/>
          </w:r>
          <w:r>
            <w:rPr>
              <w:rFonts w:ascii="Arial" w:hAnsi="Arial" w:cs="Arial" w:eastAsiaTheme="minorEastAsia"/>
              <w:snapToGrid w:val="0"/>
              <w:szCs w:val="21"/>
              <w:lang w:val="en-US" w:eastAsia="en-US" w:bidi="ar-SA"/>
            </w:rPr>
            <w:instrText xml:space="preserve"> HYPERLINK \l _Toc21583 </w:instrText>
          </w:r>
          <w:r>
            <w:rPr>
              <w:rFonts w:ascii="Arial" w:hAnsi="Arial" w:cs="Arial" w:eastAsiaTheme="minorEastAsia"/>
              <w:snapToGrid w:val="0"/>
              <w:szCs w:val="21"/>
              <w:lang w:val="en-US" w:eastAsia="en-US" w:bidi="ar-SA"/>
            </w:rPr>
            <w:fldChar w:fldCharType="separate"/>
          </w:r>
          <w:r>
            <w:rPr>
              <w:rFonts w:hint="default" w:asciiTheme="majorEastAsia" w:hAnsiTheme="majorEastAsia" w:eastAsiaTheme="majorEastAsia" w:cstheme="majorEastAsia"/>
              <w:bCs/>
              <w:szCs w:val="24"/>
              <w:lang w:val="en-US" w:eastAsia="zh-CN"/>
            </w:rPr>
            <w:t xml:space="preserve">5.2 </w:t>
          </w:r>
          <w:r>
            <w:rPr>
              <w:rFonts w:hint="eastAsia"/>
              <w:bCs/>
              <w:szCs w:val="24"/>
              <w:lang w:val="en-US" w:eastAsia="zh-CN"/>
            </w:rPr>
            <w:t>产业链上游：核心要素与基石</w:t>
          </w:r>
          <w:r>
            <w:tab/>
          </w:r>
          <w:r>
            <w:fldChar w:fldCharType="begin"/>
          </w:r>
          <w:r>
            <w:instrText xml:space="preserve"> PAGEREF _Toc21583 \h </w:instrText>
          </w:r>
          <w:r>
            <w:fldChar w:fldCharType="separate"/>
          </w:r>
          <w:r>
            <w:t>25</w:t>
          </w:r>
          <w:r>
            <w:fldChar w:fldCharType="end"/>
          </w:r>
          <w:r>
            <w:rPr>
              <w:rFonts w:ascii="Arial" w:hAnsi="Arial" w:cs="Arial" w:eastAsiaTheme="minorEastAsia"/>
              <w:snapToGrid w:val="0"/>
              <w:color w:val="000000"/>
              <w:szCs w:val="21"/>
              <w:lang w:val="en-US" w:eastAsia="en-US" w:bidi="ar-SA"/>
            </w:rPr>
            <w:fldChar w:fldCharType="end"/>
          </w:r>
        </w:p>
        <w:p w14:paraId="32EE8350">
          <w:pPr>
            <w:pStyle w:val="11"/>
            <w:tabs>
              <w:tab w:val="right" w:leader="dot" w:pos="8306"/>
            </w:tabs>
          </w:pPr>
          <w:r>
            <w:rPr>
              <w:rFonts w:ascii="Arial" w:hAnsi="Arial" w:cs="Arial" w:eastAsiaTheme="minorEastAsia"/>
              <w:snapToGrid w:val="0"/>
              <w:color w:val="000000"/>
              <w:szCs w:val="21"/>
              <w:lang w:val="en-US" w:eastAsia="en-US" w:bidi="ar-SA"/>
            </w:rPr>
            <w:fldChar w:fldCharType="begin"/>
          </w:r>
          <w:r>
            <w:rPr>
              <w:rFonts w:ascii="Arial" w:hAnsi="Arial" w:cs="Arial" w:eastAsiaTheme="minorEastAsia"/>
              <w:snapToGrid w:val="0"/>
              <w:szCs w:val="21"/>
              <w:lang w:val="en-US" w:eastAsia="en-US" w:bidi="ar-SA"/>
            </w:rPr>
            <w:instrText xml:space="preserve"> HYPERLINK \l _Toc22933 </w:instrText>
          </w:r>
          <w:r>
            <w:rPr>
              <w:rFonts w:ascii="Arial" w:hAnsi="Arial" w:cs="Arial" w:eastAsiaTheme="minorEastAsia"/>
              <w:snapToGrid w:val="0"/>
              <w:szCs w:val="21"/>
              <w:lang w:val="en-US" w:eastAsia="en-US" w:bidi="ar-SA"/>
            </w:rPr>
            <w:fldChar w:fldCharType="separate"/>
          </w:r>
          <w:r>
            <w:rPr>
              <w:rFonts w:hint="default" w:asciiTheme="majorEastAsia" w:hAnsiTheme="majorEastAsia" w:eastAsiaTheme="majorEastAsia" w:cstheme="majorEastAsia"/>
              <w:bCs/>
              <w:szCs w:val="24"/>
              <w:lang w:val="en-US" w:eastAsia="zh-CN"/>
            </w:rPr>
            <w:t xml:space="preserve">5.3 </w:t>
          </w:r>
          <w:r>
            <w:rPr>
              <w:rFonts w:hint="eastAsia"/>
              <w:bCs/>
              <w:szCs w:val="24"/>
              <w:lang w:val="en-US" w:eastAsia="zh-CN"/>
            </w:rPr>
            <w:t>产业链中游：装备制造与基础设施</w:t>
          </w:r>
          <w:r>
            <w:tab/>
          </w:r>
          <w:r>
            <w:fldChar w:fldCharType="begin"/>
          </w:r>
          <w:r>
            <w:instrText xml:space="preserve"> PAGEREF _Toc22933 \h </w:instrText>
          </w:r>
          <w:r>
            <w:fldChar w:fldCharType="separate"/>
          </w:r>
          <w:r>
            <w:t>28</w:t>
          </w:r>
          <w:r>
            <w:fldChar w:fldCharType="end"/>
          </w:r>
          <w:r>
            <w:rPr>
              <w:rFonts w:ascii="Arial" w:hAnsi="Arial" w:cs="Arial" w:eastAsiaTheme="minorEastAsia"/>
              <w:snapToGrid w:val="0"/>
              <w:color w:val="000000"/>
              <w:szCs w:val="21"/>
              <w:lang w:val="en-US" w:eastAsia="en-US" w:bidi="ar-SA"/>
            </w:rPr>
            <w:fldChar w:fldCharType="end"/>
          </w:r>
        </w:p>
        <w:p w14:paraId="4B427719">
          <w:pPr>
            <w:pStyle w:val="11"/>
            <w:tabs>
              <w:tab w:val="right" w:leader="dot" w:pos="8306"/>
            </w:tabs>
          </w:pPr>
          <w:r>
            <w:rPr>
              <w:rFonts w:ascii="Arial" w:hAnsi="Arial" w:cs="Arial" w:eastAsiaTheme="minorEastAsia"/>
              <w:snapToGrid w:val="0"/>
              <w:color w:val="000000"/>
              <w:szCs w:val="21"/>
              <w:lang w:val="en-US" w:eastAsia="en-US" w:bidi="ar-SA"/>
            </w:rPr>
            <w:fldChar w:fldCharType="begin"/>
          </w:r>
          <w:r>
            <w:rPr>
              <w:rFonts w:ascii="Arial" w:hAnsi="Arial" w:cs="Arial" w:eastAsiaTheme="minorEastAsia"/>
              <w:snapToGrid w:val="0"/>
              <w:szCs w:val="21"/>
              <w:lang w:val="en-US" w:eastAsia="en-US" w:bidi="ar-SA"/>
            </w:rPr>
            <w:instrText xml:space="preserve"> HYPERLINK \l _Toc18448 </w:instrText>
          </w:r>
          <w:r>
            <w:rPr>
              <w:rFonts w:ascii="Arial" w:hAnsi="Arial" w:cs="Arial" w:eastAsiaTheme="minorEastAsia"/>
              <w:snapToGrid w:val="0"/>
              <w:szCs w:val="21"/>
              <w:lang w:val="en-US" w:eastAsia="en-US" w:bidi="ar-SA"/>
            </w:rPr>
            <w:fldChar w:fldCharType="separate"/>
          </w:r>
          <w:r>
            <w:rPr>
              <w:rFonts w:hint="default" w:asciiTheme="majorEastAsia" w:hAnsiTheme="majorEastAsia" w:eastAsiaTheme="majorEastAsia" w:cstheme="majorEastAsia"/>
              <w:bCs/>
              <w:szCs w:val="24"/>
              <w:lang w:val="en-US" w:eastAsia="zh-CN"/>
            </w:rPr>
            <w:t xml:space="preserve">5.4 </w:t>
          </w:r>
          <w:r>
            <w:rPr>
              <w:rFonts w:hint="eastAsia"/>
              <w:bCs/>
              <w:szCs w:val="24"/>
              <w:lang w:val="en-US" w:eastAsia="zh-CN"/>
            </w:rPr>
            <w:t>产业链下游：场景落地与价值实现</w:t>
          </w:r>
          <w:r>
            <w:tab/>
          </w:r>
          <w:r>
            <w:fldChar w:fldCharType="begin"/>
          </w:r>
          <w:r>
            <w:instrText xml:space="preserve"> PAGEREF _Toc18448 \h </w:instrText>
          </w:r>
          <w:r>
            <w:fldChar w:fldCharType="separate"/>
          </w:r>
          <w:r>
            <w:t>32</w:t>
          </w:r>
          <w:r>
            <w:fldChar w:fldCharType="end"/>
          </w:r>
          <w:r>
            <w:rPr>
              <w:rFonts w:ascii="Arial" w:hAnsi="Arial" w:cs="Arial" w:eastAsiaTheme="minorEastAsia"/>
              <w:snapToGrid w:val="0"/>
              <w:color w:val="000000"/>
              <w:szCs w:val="21"/>
              <w:lang w:val="en-US" w:eastAsia="en-US" w:bidi="ar-SA"/>
            </w:rPr>
            <w:fldChar w:fldCharType="end"/>
          </w:r>
        </w:p>
        <w:p w14:paraId="5B4B6593">
          <w:pPr>
            <w:pStyle w:val="10"/>
            <w:tabs>
              <w:tab w:val="right" w:leader="dot" w:pos="8306"/>
            </w:tabs>
          </w:pPr>
          <w:r>
            <w:rPr>
              <w:rFonts w:ascii="Arial" w:hAnsi="Arial" w:cs="Arial" w:eastAsiaTheme="minorEastAsia"/>
              <w:snapToGrid w:val="0"/>
              <w:color w:val="000000"/>
              <w:szCs w:val="21"/>
              <w:lang w:val="en-US" w:eastAsia="en-US" w:bidi="ar-SA"/>
            </w:rPr>
            <w:fldChar w:fldCharType="begin"/>
          </w:r>
          <w:r>
            <w:rPr>
              <w:rFonts w:ascii="Arial" w:hAnsi="Arial" w:cs="Arial" w:eastAsiaTheme="minorEastAsia"/>
              <w:snapToGrid w:val="0"/>
              <w:szCs w:val="21"/>
              <w:lang w:val="en-US" w:eastAsia="en-US" w:bidi="ar-SA"/>
            </w:rPr>
            <w:instrText xml:space="preserve"> HYPERLINK \l _Toc18090 </w:instrText>
          </w:r>
          <w:r>
            <w:rPr>
              <w:rFonts w:ascii="Arial" w:hAnsi="Arial" w:cs="Arial" w:eastAsiaTheme="minorEastAsia"/>
              <w:snapToGrid w:val="0"/>
              <w:szCs w:val="21"/>
              <w:lang w:val="en-US" w:eastAsia="en-US" w:bidi="ar-SA"/>
            </w:rPr>
            <w:fldChar w:fldCharType="separate"/>
          </w:r>
          <w:r>
            <w:rPr>
              <w:rFonts w:hint="default" w:asciiTheme="majorEastAsia" w:hAnsiTheme="majorEastAsia" w:eastAsiaTheme="majorEastAsia" w:cstheme="majorEastAsia"/>
              <w:bCs/>
              <w:szCs w:val="28"/>
              <w:lang w:val="en-US" w:eastAsia="zh-CN"/>
            </w:rPr>
            <w:t xml:space="preserve">6. </w:t>
          </w:r>
          <w:r>
            <w:rPr>
              <w:rFonts w:hint="eastAsia"/>
              <w:bCs/>
              <w:szCs w:val="28"/>
              <w:lang w:val="en-US" w:eastAsia="zh-CN"/>
            </w:rPr>
            <w:t>低空经济市场概况</w:t>
          </w:r>
          <w:r>
            <w:tab/>
          </w:r>
          <w:r>
            <w:fldChar w:fldCharType="begin"/>
          </w:r>
          <w:r>
            <w:instrText xml:space="preserve"> PAGEREF _Toc18090 \h </w:instrText>
          </w:r>
          <w:r>
            <w:fldChar w:fldCharType="separate"/>
          </w:r>
          <w:r>
            <w:t>43</w:t>
          </w:r>
          <w:r>
            <w:fldChar w:fldCharType="end"/>
          </w:r>
          <w:r>
            <w:rPr>
              <w:rFonts w:ascii="Arial" w:hAnsi="Arial" w:cs="Arial" w:eastAsiaTheme="minorEastAsia"/>
              <w:snapToGrid w:val="0"/>
              <w:color w:val="000000"/>
              <w:szCs w:val="21"/>
              <w:lang w:val="en-US" w:eastAsia="en-US" w:bidi="ar-SA"/>
            </w:rPr>
            <w:fldChar w:fldCharType="end"/>
          </w:r>
        </w:p>
        <w:p w14:paraId="642CC892">
          <w:pPr>
            <w:pStyle w:val="11"/>
            <w:tabs>
              <w:tab w:val="right" w:leader="dot" w:pos="8306"/>
            </w:tabs>
          </w:pPr>
          <w:r>
            <w:rPr>
              <w:rFonts w:ascii="Arial" w:hAnsi="Arial" w:cs="Arial" w:eastAsiaTheme="minorEastAsia"/>
              <w:snapToGrid w:val="0"/>
              <w:color w:val="000000"/>
              <w:szCs w:val="21"/>
              <w:lang w:val="en-US" w:eastAsia="en-US" w:bidi="ar-SA"/>
            </w:rPr>
            <w:fldChar w:fldCharType="begin"/>
          </w:r>
          <w:r>
            <w:rPr>
              <w:rFonts w:ascii="Arial" w:hAnsi="Arial" w:cs="Arial" w:eastAsiaTheme="minorEastAsia"/>
              <w:snapToGrid w:val="0"/>
              <w:szCs w:val="21"/>
              <w:lang w:val="en-US" w:eastAsia="en-US" w:bidi="ar-SA"/>
            </w:rPr>
            <w:instrText xml:space="preserve"> HYPERLINK \l _Toc24046 </w:instrText>
          </w:r>
          <w:r>
            <w:rPr>
              <w:rFonts w:ascii="Arial" w:hAnsi="Arial" w:cs="Arial" w:eastAsiaTheme="minorEastAsia"/>
              <w:snapToGrid w:val="0"/>
              <w:szCs w:val="21"/>
              <w:lang w:val="en-US" w:eastAsia="en-US" w:bidi="ar-SA"/>
            </w:rPr>
            <w:fldChar w:fldCharType="separate"/>
          </w:r>
          <w:r>
            <w:rPr>
              <w:rFonts w:hint="default" w:asciiTheme="majorEastAsia" w:hAnsiTheme="majorEastAsia" w:eastAsiaTheme="majorEastAsia" w:cstheme="majorEastAsia"/>
              <w:bCs/>
              <w:szCs w:val="24"/>
              <w:lang w:val="en-US" w:eastAsia="zh-CN"/>
            </w:rPr>
            <w:t xml:space="preserve">6.1 </w:t>
          </w:r>
          <w:r>
            <w:rPr>
              <w:rFonts w:hint="eastAsia"/>
              <w:bCs/>
              <w:szCs w:val="24"/>
              <w:lang w:val="en-US" w:eastAsia="zh-CN"/>
            </w:rPr>
            <w:t>中国低空经济整体市场</w:t>
          </w:r>
          <w:r>
            <w:tab/>
          </w:r>
          <w:r>
            <w:fldChar w:fldCharType="begin"/>
          </w:r>
          <w:r>
            <w:instrText xml:space="preserve"> PAGEREF _Toc24046 \h </w:instrText>
          </w:r>
          <w:r>
            <w:fldChar w:fldCharType="separate"/>
          </w:r>
          <w:r>
            <w:t>43</w:t>
          </w:r>
          <w:r>
            <w:fldChar w:fldCharType="end"/>
          </w:r>
          <w:r>
            <w:rPr>
              <w:rFonts w:ascii="Arial" w:hAnsi="Arial" w:cs="Arial" w:eastAsiaTheme="minorEastAsia"/>
              <w:snapToGrid w:val="0"/>
              <w:color w:val="000000"/>
              <w:szCs w:val="21"/>
              <w:lang w:val="en-US" w:eastAsia="en-US" w:bidi="ar-SA"/>
            </w:rPr>
            <w:fldChar w:fldCharType="end"/>
          </w:r>
        </w:p>
        <w:p w14:paraId="4BD52627">
          <w:pPr>
            <w:pStyle w:val="11"/>
            <w:tabs>
              <w:tab w:val="right" w:leader="dot" w:pos="8306"/>
            </w:tabs>
          </w:pPr>
          <w:r>
            <w:rPr>
              <w:rFonts w:ascii="Arial" w:hAnsi="Arial" w:cs="Arial" w:eastAsiaTheme="minorEastAsia"/>
              <w:snapToGrid w:val="0"/>
              <w:color w:val="000000"/>
              <w:szCs w:val="21"/>
              <w:lang w:val="en-US" w:eastAsia="en-US" w:bidi="ar-SA"/>
            </w:rPr>
            <w:fldChar w:fldCharType="begin"/>
          </w:r>
          <w:r>
            <w:rPr>
              <w:rFonts w:ascii="Arial" w:hAnsi="Arial" w:cs="Arial" w:eastAsiaTheme="minorEastAsia"/>
              <w:snapToGrid w:val="0"/>
              <w:szCs w:val="21"/>
              <w:lang w:val="en-US" w:eastAsia="en-US" w:bidi="ar-SA"/>
            </w:rPr>
            <w:instrText xml:space="preserve"> HYPERLINK \l _Toc19296 </w:instrText>
          </w:r>
          <w:r>
            <w:rPr>
              <w:rFonts w:ascii="Arial" w:hAnsi="Arial" w:cs="Arial" w:eastAsiaTheme="minorEastAsia"/>
              <w:snapToGrid w:val="0"/>
              <w:szCs w:val="21"/>
              <w:lang w:val="en-US" w:eastAsia="en-US" w:bidi="ar-SA"/>
            </w:rPr>
            <w:fldChar w:fldCharType="separate"/>
          </w:r>
          <w:r>
            <w:rPr>
              <w:rFonts w:hint="default" w:asciiTheme="majorEastAsia" w:hAnsiTheme="majorEastAsia" w:eastAsiaTheme="majorEastAsia" w:cstheme="majorEastAsia"/>
              <w:bCs/>
              <w:szCs w:val="24"/>
              <w:lang w:val="en-US" w:eastAsia="zh-CN"/>
            </w:rPr>
            <w:t xml:space="preserve">6.2 </w:t>
          </w:r>
          <w:r>
            <w:rPr>
              <w:rFonts w:hint="eastAsia"/>
              <w:bCs/>
              <w:szCs w:val="24"/>
              <w:lang w:val="en-US" w:eastAsia="zh-CN"/>
            </w:rPr>
            <w:t>沈阳市低空经济市场分析</w:t>
          </w:r>
          <w:r>
            <w:tab/>
          </w:r>
          <w:r>
            <w:fldChar w:fldCharType="begin"/>
          </w:r>
          <w:r>
            <w:instrText xml:space="preserve"> PAGEREF _Toc19296 \h </w:instrText>
          </w:r>
          <w:r>
            <w:fldChar w:fldCharType="separate"/>
          </w:r>
          <w:r>
            <w:t>46</w:t>
          </w:r>
          <w:r>
            <w:fldChar w:fldCharType="end"/>
          </w:r>
          <w:r>
            <w:rPr>
              <w:rFonts w:ascii="Arial" w:hAnsi="Arial" w:cs="Arial" w:eastAsiaTheme="minorEastAsia"/>
              <w:snapToGrid w:val="0"/>
              <w:color w:val="000000"/>
              <w:szCs w:val="21"/>
              <w:lang w:val="en-US" w:eastAsia="en-US" w:bidi="ar-SA"/>
            </w:rPr>
            <w:fldChar w:fldCharType="end"/>
          </w:r>
        </w:p>
        <w:p w14:paraId="4CB02AFF">
          <w:pPr>
            <w:pStyle w:val="10"/>
            <w:tabs>
              <w:tab w:val="right" w:leader="dot" w:pos="8306"/>
            </w:tabs>
          </w:pPr>
          <w:r>
            <w:rPr>
              <w:rFonts w:ascii="Arial" w:hAnsi="Arial" w:cs="Arial" w:eastAsiaTheme="minorEastAsia"/>
              <w:snapToGrid w:val="0"/>
              <w:color w:val="000000"/>
              <w:szCs w:val="21"/>
              <w:lang w:val="en-US" w:eastAsia="en-US" w:bidi="ar-SA"/>
            </w:rPr>
            <w:fldChar w:fldCharType="begin"/>
          </w:r>
          <w:r>
            <w:rPr>
              <w:rFonts w:ascii="Arial" w:hAnsi="Arial" w:cs="Arial" w:eastAsiaTheme="minorEastAsia"/>
              <w:snapToGrid w:val="0"/>
              <w:szCs w:val="21"/>
              <w:lang w:val="en-US" w:eastAsia="en-US" w:bidi="ar-SA"/>
            </w:rPr>
            <w:instrText xml:space="preserve"> HYPERLINK \l _Toc25595 </w:instrText>
          </w:r>
          <w:r>
            <w:rPr>
              <w:rFonts w:ascii="Arial" w:hAnsi="Arial" w:cs="Arial" w:eastAsiaTheme="minorEastAsia"/>
              <w:snapToGrid w:val="0"/>
              <w:szCs w:val="21"/>
              <w:lang w:val="en-US" w:eastAsia="en-US" w:bidi="ar-SA"/>
            </w:rPr>
            <w:fldChar w:fldCharType="separate"/>
          </w:r>
          <w:r>
            <w:rPr>
              <w:rFonts w:hint="default" w:asciiTheme="majorEastAsia" w:hAnsiTheme="majorEastAsia" w:eastAsiaTheme="majorEastAsia" w:cstheme="majorEastAsia"/>
              <w:bCs/>
              <w:szCs w:val="28"/>
              <w:lang w:val="en-US" w:eastAsia="zh-CN"/>
            </w:rPr>
            <w:t xml:space="preserve">7. </w:t>
          </w:r>
          <w:r>
            <w:rPr>
              <w:rFonts w:hint="eastAsia"/>
              <w:bCs/>
              <w:szCs w:val="28"/>
              <w:lang w:val="en-US" w:eastAsia="zh-CN"/>
            </w:rPr>
            <w:t>低空经济发展面临的挑战</w:t>
          </w:r>
          <w:r>
            <w:tab/>
          </w:r>
          <w:r>
            <w:fldChar w:fldCharType="begin"/>
          </w:r>
          <w:r>
            <w:instrText xml:space="preserve"> PAGEREF _Toc25595 \h </w:instrText>
          </w:r>
          <w:r>
            <w:fldChar w:fldCharType="separate"/>
          </w:r>
          <w:r>
            <w:t>64</w:t>
          </w:r>
          <w:r>
            <w:fldChar w:fldCharType="end"/>
          </w:r>
          <w:r>
            <w:rPr>
              <w:rFonts w:ascii="Arial" w:hAnsi="Arial" w:cs="Arial" w:eastAsiaTheme="minorEastAsia"/>
              <w:snapToGrid w:val="0"/>
              <w:color w:val="000000"/>
              <w:szCs w:val="21"/>
              <w:lang w:val="en-US" w:eastAsia="en-US" w:bidi="ar-SA"/>
            </w:rPr>
            <w:fldChar w:fldCharType="end"/>
          </w:r>
        </w:p>
        <w:p w14:paraId="66FC9E49">
          <w:pPr>
            <w:pStyle w:val="11"/>
            <w:tabs>
              <w:tab w:val="right" w:leader="dot" w:pos="8306"/>
            </w:tabs>
          </w:pPr>
          <w:r>
            <w:rPr>
              <w:rFonts w:ascii="Arial" w:hAnsi="Arial" w:cs="Arial" w:eastAsiaTheme="minorEastAsia"/>
              <w:snapToGrid w:val="0"/>
              <w:color w:val="000000"/>
              <w:szCs w:val="21"/>
              <w:lang w:val="en-US" w:eastAsia="en-US" w:bidi="ar-SA"/>
            </w:rPr>
            <w:fldChar w:fldCharType="begin"/>
          </w:r>
          <w:r>
            <w:rPr>
              <w:rFonts w:ascii="Arial" w:hAnsi="Arial" w:cs="Arial" w:eastAsiaTheme="minorEastAsia"/>
              <w:snapToGrid w:val="0"/>
              <w:szCs w:val="21"/>
              <w:lang w:val="en-US" w:eastAsia="en-US" w:bidi="ar-SA"/>
            </w:rPr>
            <w:instrText xml:space="preserve"> HYPERLINK \l _Toc18241 </w:instrText>
          </w:r>
          <w:r>
            <w:rPr>
              <w:rFonts w:ascii="Arial" w:hAnsi="Arial" w:cs="Arial" w:eastAsiaTheme="minorEastAsia"/>
              <w:snapToGrid w:val="0"/>
              <w:szCs w:val="21"/>
              <w:lang w:val="en-US" w:eastAsia="en-US" w:bidi="ar-SA"/>
            </w:rPr>
            <w:fldChar w:fldCharType="separate"/>
          </w:r>
          <w:r>
            <w:rPr>
              <w:rFonts w:hint="default" w:asciiTheme="majorEastAsia" w:hAnsiTheme="majorEastAsia" w:eastAsiaTheme="majorEastAsia" w:cstheme="majorEastAsia"/>
              <w:bCs/>
              <w:szCs w:val="24"/>
              <w:lang w:val="en-US" w:eastAsia="zh-CN"/>
            </w:rPr>
            <w:t xml:space="preserve">7.1 </w:t>
          </w:r>
          <w:r>
            <w:rPr>
              <w:rFonts w:hint="eastAsia"/>
              <w:bCs/>
              <w:szCs w:val="24"/>
              <w:lang w:val="en-US" w:eastAsia="zh-CN"/>
            </w:rPr>
            <w:t>中国低空经济宏观挑战</w:t>
          </w:r>
          <w:r>
            <w:tab/>
          </w:r>
          <w:r>
            <w:fldChar w:fldCharType="begin"/>
          </w:r>
          <w:r>
            <w:instrText xml:space="preserve"> PAGEREF _Toc18241 \h </w:instrText>
          </w:r>
          <w:r>
            <w:fldChar w:fldCharType="separate"/>
          </w:r>
          <w:r>
            <w:t>64</w:t>
          </w:r>
          <w:r>
            <w:fldChar w:fldCharType="end"/>
          </w:r>
          <w:r>
            <w:rPr>
              <w:rFonts w:ascii="Arial" w:hAnsi="Arial" w:cs="Arial" w:eastAsiaTheme="minorEastAsia"/>
              <w:snapToGrid w:val="0"/>
              <w:color w:val="000000"/>
              <w:szCs w:val="21"/>
              <w:lang w:val="en-US" w:eastAsia="en-US" w:bidi="ar-SA"/>
            </w:rPr>
            <w:fldChar w:fldCharType="end"/>
          </w:r>
        </w:p>
        <w:p w14:paraId="0382E5B3">
          <w:pPr>
            <w:pStyle w:val="11"/>
            <w:tabs>
              <w:tab w:val="right" w:leader="dot" w:pos="8306"/>
            </w:tabs>
          </w:pPr>
          <w:r>
            <w:rPr>
              <w:rFonts w:ascii="Arial" w:hAnsi="Arial" w:cs="Arial" w:eastAsiaTheme="minorEastAsia"/>
              <w:snapToGrid w:val="0"/>
              <w:color w:val="000000"/>
              <w:szCs w:val="21"/>
              <w:lang w:val="en-US" w:eastAsia="en-US" w:bidi="ar-SA"/>
            </w:rPr>
            <w:fldChar w:fldCharType="begin"/>
          </w:r>
          <w:r>
            <w:rPr>
              <w:rFonts w:ascii="Arial" w:hAnsi="Arial" w:cs="Arial" w:eastAsiaTheme="minorEastAsia"/>
              <w:snapToGrid w:val="0"/>
              <w:szCs w:val="21"/>
              <w:lang w:val="en-US" w:eastAsia="en-US" w:bidi="ar-SA"/>
            </w:rPr>
            <w:instrText xml:space="preserve"> HYPERLINK \l _Toc26205 </w:instrText>
          </w:r>
          <w:r>
            <w:rPr>
              <w:rFonts w:ascii="Arial" w:hAnsi="Arial" w:cs="Arial" w:eastAsiaTheme="minorEastAsia"/>
              <w:snapToGrid w:val="0"/>
              <w:szCs w:val="21"/>
              <w:lang w:val="en-US" w:eastAsia="en-US" w:bidi="ar-SA"/>
            </w:rPr>
            <w:fldChar w:fldCharType="separate"/>
          </w:r>
          <w:r>
            <w:rPr>
              <w:rFonts w:hint="default" w:asciiTheme="majorEastAsia" w:hAnsiTheme="majorEastAsia" w:eastAsiaTheme="majorEastAsia" w:cstheme="majorEastAsia"/>
              <w:bCs/>
              <w:szCs w:val="24"/>
              <w:lang w:val="en-US" w:eastAsia="zh-CN"/>
            </w:rPr>
            <w:t xml:space="preserve">7.2 </w:t>
          </w:r>
          <w:r>
            <w:rPr>
              <w:rFonts w:hint="eastAsia"/>
              <w:bCs/>
              <w:szCs w:val="24"/>
              <w:lang w:val="en-US" w:eastAsia="zh-CN"/>
            </w:rPr>
            <w:t>沈阳面临的特殊挑战：老工业基地转型的“三重断层”</w:t>
          </w:r>
          <w:r>
            <w:tab/>
          </w:r>
          <w:r>
            <w:fldChar w:fldCharType="begin"/>
          </w:r>
          <w:r>
            <w:instrText xml:space="preserve"> PAGEREF _Toc26205 \h </w:instrText>
          </w:r>
          <w:r>
            <w:fldChar w:fldCharType="separate"/>
          </w:r>
          <w:r>
            <w:t>66</w:t>
          </w:r>
          <w:r>
            <w:fldChar w:fldCharType="end"/>
          </w:r>
          <w:r>
            <w:rPr>
              <w:rFonts w:ascii="Arial" w:hAnsi="Arial" w:cs="Arial" w:eastAsiaTheme="minorEastAsia"/>
              <w:snapToGrid w:val="0"/>
              <w:color w:val="000000"/>
              <w:szCs w:val="21"/>
              <w:lang w:val="en-US" w:eastAsia="en-US" w:bidi="ar-SA"/>
            </w:rPr>
            <w:fldChar w:fldCharType="end"/>
          </w:r>
        </w:p>
        <w:p w14:paraId="111942F0">
          <w:pPr>
            <w:pStyle w:val="10"/>
            <w:tabs>
              <w:tab w:val="right" w:leader="dot" w:pos="8306"/>
            </w:tabs>
          </w:pPr>
          <w:r>
            <w:rPr>
              <w:rFonts w:ascii="Arial" w:hAnsi="Arial" w:cs="Arial" w:eastAsiaTheme="minorEastAsia"/>
              <w:snapToGrid w:val="0"/>
              <w:color w:val="000000"/>
              <w:szCs w:val="21"/>
              <w:lang w:val="en-US" w:eastAsia="en-US" w:bidi="ar-SA"/>
            </w:rPr>
            <w:fldChar w:fldCharType="begin"/>
          </w:r>
          <w:r>
            <w:rPr>
              <w:rFonts w:ascii="Arial" w:hAnsi="Arial" w:cs="Arial" w:eastAsiaTheme="minorEastAsia"/>
              <w:snapToGrid w:val="0"/>
              <w:szCs w:val="21"/>
              <w:lang w:val="en-US" w:eastAsia="en-US" w:bidi="ar-SA"/>
            </w:rPr>
            <w:instrText xml:space="preserve"> HYPERLINK \l _Toc32178 </w:instrText>
          </w:r>
          <w:r>
            <w:rPr>
              <w:rFonts w:ascii="Arial" w:hAnsi="Arial" w:cs="Arial" w:eastAsiaTheme="minorEastAsia"/>
              <w:snapToGrid w:val="0"/>
              <w:szCs w:val="21"/>
              <w:lang w:val="en-US" w:eastAsia="en-US" w:bidi="ar-SA"/>
            </w:rPr>
            <w:fldChar w:fldCharType="separate"/>
          </w:r>
          <w:r>
            <w:rPr>
              <w:rFonts w:hint="default" w:asciiTheme="majorEastAsia" w:hAnsiTheme="majorEastAsia" w:eastAsiaTheme="majorEastAsia" w:cstheme="majorEastAsia"/>
              <w:bCs/>
              <w:szCs w:val="28"/>
              <w:lang w:val="en-US" w:eastAsia="zh-CN"/>
            </w:rPr>
            <w:t xml:space="preserve">8. </w:t>
          </w:r>
          <w:r>
            <w:rPr>
              <w:rFonts w:hint="eastAsia"/>
              <w:bCs/>
              <w:szCs w:val="28"/>
              <w:lang w:val="en-US" w:eastAsia="zh-CN"/>
            </w:rPr>
            <w:t>结语</w:t>
          </w:r>
          <w:r>
            <w:tab/>
          </w:r>
          <w:r>
            <w:fldChar w:fldCharType="begin"/>
          </w:r>
          <w:r>
            <w:instrText xml:space="preserve"> PAGEREF _Toc32178 \h </w:instrText>
          </w:r>
          <w:r>
            <w:fldChar w:fldCharType="separate"/>
          </w:r>
          <w:r>
            <w:t>68</w:t>
          </w:r>
          <w:r>
            <w:fldChar w:fldCharType="end"/>
          </w:r>
          <w:r>
            <w:rPr>
              <w:rFonts w:ascii="Arial" w:hAnsi="Arial" w:cs="Arial" w:eastAsiaTheme="minorEastAsia"/>
              <w:snapToGrid w:val="0"/>
              <w:color w:val="000000"/>
              <w:szCs w:val="21"/>
              <w:lang w:val="en-US" w:eastAsia="en-US" w:bidi="ar-SA"/>
            </w:rPr>
            <w:fldChar w:fldCharType="end"/>
          </w:r>
        </w:p>
        <w:p w14:paraId="7B26C455">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rPr>
              <w:rFonts w:ascii="Arial" w:hAnsi="Arial" w:cs="Arial" w:eastAsiaTheme="minorEastAsia"/>
              <w:snapToGrid w:val="0"/>
              <w:color w:val="000000"/>
              <w:sz w:val="21"/>
              <w:szCs w:val="21"/>
              <w:lang w:val="en-US" w:eastAsia="en-US" w:bidi="ar-SA"/>
            </w:rPr>
          </w:pPr>
          <w:r>
            <w:rPr>
              <w:rFonts w:ascii="Arial" w:hAnsi="Arial" w:cs="Arial" w:eastAsiaTheme="minorEastAsia"/>
              <w:snapToGrid w:val="0"/>
              <w:color w:val="000000"/>
              <w:szCs w:val="21"/>
              <w:lang w:val="en-US" w:eastAsia="en-US" w:bidi="ar-SA"/>
            </w:rPr>
            <w:fldChar w:fldCharType="end"/>
          </w:r>
        </w:p>
      </w:sdtContent>
    </w:sdt>
    <w:p w14:paraId="64C27002">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rPr>
          <w:rFonts w:ascii="Arial" w:hAnsi="Arial" w:cs="Arial" w:eastAsiaTheme="minorEastAsia"/>
          <w:snapToGrid w:val="0"/>
          <w:color w:val="000000"/>
          <w:sz w:val="21"/>
          <w:szCs w:val="21"/>
          <w:lang w:val="en-US" w:eastAsia="en-US" w:bidi="ar-SA"/>
        </w:rPr>
      </w:pPr>
    </w:p>
    <w:p w14:paraId="68D76CF0">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6D9A3387">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6EE40C85">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68FAFC3C">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41BF23F5">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4172A6C0">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5DAC42D4">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04217E8F">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3B27F3F4">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1377B5A9">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0E9AD9CF">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602FA5AC">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0CC4F0AD">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72C66A4A">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14A98875">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43E089B6">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484D42FD">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pPr>
    </w:p>
    <w:p w14:paraId="3F16FE21">
      <w:pPr>
        <w:keepNext w:val="0"/>
        <w:keepLines w:val="0"/>
        <w:pageBreakBefore w:val="0"/>
        <w:widowControl/>
        <w:numPr>
          <w:ilvl w:val="0"/>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0"/>
        <w:rPr>
          <w:rFonts w:hint="eastAsia" w:asciiTheme="majorEastAsia" w:hAnsiTheme="majorEastAsia" w:eastAsiaTheme="majorEastAsia" w:cstheme="majorEastAsia"/>
          <w:b/>
          <w:bCs/>
          <w:sz w:val="28"/>
          <w:szCs w:val="28"/>
          <w:lang w:val="en-US" w:eastAsia="zh-CN"/>
        </w:rPr>
      </w:pPr>
      <w:bookmarkStart w:id="0" w:name="bookmark2"/>
      <w:bookmarkEnd w:id="0"/>
      <w:bookmarkStart w:id="1" w:name="bookmark1"/>
      <w:bookmarkEnd w:id="1"/>
      <w:bookmarkStart w:id="2" w:name="bookmark3"/>
      <w:bookmarkEnd w:id="2"/>
      <w:bookmarkStart w:id="3" w:name="_Toc24256"/>
      <w:r>
        <w:rPr>
          <w:rFonts w:hint="eastAsia" w:asciiTheme="majorEastAsia" w:hAnsiTheme="majorEastAsia" w:eastAsiaTheme="majorEastAsia" w:cstheme="majorEastAsia"/>
          <w:b/>
          <w:bCs/>
          <w:sz w:val="28"/>
          <w:szCs w:val="28"/>
          <w:lang w:val="en-US" w:eastAsia="zh-CN"/>
        </w:rPr>
        <w:t>编写目的</w:t>
      </w:r>
      <w:bookmarkEnd w:id="3"/>
    </w:p>
    <w:p w14:paraId="566BA71B">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80" w:firstLineChars="200"/>
        <w:jc w:val="left"/>
        <w:textAlignment w:val="baseline"/>
        <w:outlineLvl w:val="9"/>
        <w:rPr>
          <w:rFonts w:hint="default"/>
          <w:b w:val="0"/>
          <w:bCs w:val="0"/>
          <w:sz w:val="24"/>
          <w:szCs w:val="24"/>
          <w:lang w:val="en-US" w:eastAsia="zh-CN"/>
        </w:rPr>
      </w:pPr>
      <w:r>
        <w:rPr>
          <w:rFonts w:ascii="宋体" w:hAnsi="宋体" w:eastAsia="宋体" w:cs="宋体"/>
          <w:sz w:val="24"/>
          <w:szCs w:val="24"/>
        </w:rPr>
        <w:t>本次开展低空经济全体系研究并撰写本报告，核心目的在于系统梳理、深度解析低空经济这一战略性新兴产业的内在逻辑、运行规律与发展路径，形成一套结构完整、逻辑清晰、内容详实、可落地、可参考的低空经济系统性认知框架。在国家大力推动低空经济发展、各地竞相布局的时代背景下，</w:t>
      </w:r>
      <w:r>
        <w:rPr>
          <w:rFonts w:hint="eastAsia" w:ascii="宋体" w:hAnsi="宋体" w:eastAsia="宋体" w:cs="宋体"/>
          <w:sz w:val="24"/>
          <w:szCs w:val="24"/>
          <w:lang w:val="en-US" w:eastAsia="zh-CN"/>
        </w:rPr>
        <w:t>笔者</w:t>
      </w:r>
      <w:r>
        <w:rPr>
          <w:rFonts w:ascii="宋体" w:hAnsi="宋体" w:eastAsia="宋体" w:cs="宋体"/>
          <w:sz w:val="24"/>
          <w:szCs w:val="24"/>
        </w:rPr>
        <w:t>希望通过本次完整研究，真正把低空经济 “是什么、靠什么、凭什么、缺什么、怎么走” 彻底讲清楚，为自身构建专业认知体系，也为相关领域的学习、研究、实践与决策提供一份结构严谨、内容扎实、视角务实的参考文本。</w:t>
      </w:r>
      <w:r>
        <w:rPr>
          <w:rFonts w:hint="eastAsia" w:ascii="Segoe UI" w:hAnsi="Segoe UI" w:eastAsia="宋体" w:cs="Segoe UI"/>
          <w:i w:val="0"/>
          <w:iCs w:val="0"/>
          <w:caps w:val="0"/>
          <w:spacing w:val="0"/>
          <w:sz w:val="24"/>
          <w:szCs w:val="24"/>
          <w:shd w:val="clear" w:fill="FFFFFF"/>
          <w:lang w:val="en-US" w:eastAsia="zh-CN"/>
        </w:rPr>
        <w:t xml:space="preserve"> </w:t>
      </w:r>
    </w:p>
    <w:p w14:paraId="60A5EAE1">
      <w:pPr>
        <w:keepNext w:val="0"/>
        <w:keepLines w:val="0"/>
        <w:pageBreakBefore w:val="0"/>
        <w:widowControl/>
        <w:numPr>
          <w:ilvl w:val="0"/>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0"/>
        <w:rPr>
          <w:rFonts w:hint="default"/>
          <w:b/>
          <w:bCs/>
          <w:sz w:val="28"/>
          <w:szCs w:val="28"/>
          <w:lang w:val="en-US" w:eastAsia="zh-CN"/>
        </w:rPr>
      </w:pPr>
      <w:bookmarkStart w:id="4" w:name="_Toc30709"/>
      <w:r>
        <w:rPr>
          <w:rFonts w:hint="eastAsia"/>
          <w:b/>
          <w:bCs/>
          <w:sz w:val="28"/>
          <w:szCs w:val="28"/>
          <w:lang w:val="en-US" w:eastAsia="zh-CN"/>
        </w:rPr>
        <w:t>低空经济概述</w:t>
      </w:r>
      <w:bookmarkEnd w:id="4"/>
    </w:p>
    <w:p w14:paraId="12B92A7D">
      <w:pPr>
        <w:keepNext w:val="0"/>
        <w:keepLines w:val="0"/>
        <w:pageBreakBefore w:val="0"/>
        <w:widowControl/>
        <w:numPr>
          <w:ilvl w:val="1"/>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1"/>
        <w:rPr>
          <w:rFonts w:hint="eastAsia"/>
          <w:b/>
          <w:bCs/>
          <w:sz w:val="24"/>
          <w:szCs w:val="24"/>
          <w:lang w:val="en-US" w:eastAsia="zh-CN"/>
        </w:rPr>
      </w:pPr>
      <w:bookmarkStart w:id="5" w:name="_Toc13669"/>
      <w:r>
        <w:rPr>
          <w:rFonts w:hint="eastAsia"/>
          <w:b/>
          <w:bCs/>
          <w:sz w:val="24"/>
          <w:szCs w:val="24"/>
          <w:lang w:val="en-US" w:eastAsia="zh-CN"/>
        </w:rPr>
        <w:t>核心概念</w:t>
      </w:r>
      <w:bookmarkEnd w:id="5"/>
    </w:p>
    <w:p w14:paraId="1EDFE397">
      <w:pPr>
        <w:keepNext w:val="0"/>
        <w:keepLines w:val="0"/>
        <w:pageBreakBefore w:val="0"/>
        <w:widowControl/>
        <w:numPr>
          <w:ilvl w:val="2"/>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2"/>
        <w:rPr>
          <w:rFonts w:hint="eastAsia" w:ascii="Segoe UI" w:hAnsi="Segoe UI" w:eastAsia="Segoe UI" w:cs="Segoe UI"/>
          <w:b/>
          <w:bCs/>
          <w:i w:val="0"/>
          <w:iCs w:val="0"/>
          <w:caps w:val="0"/>
          <w:spacing w:val="0"/>
          <w:sz w:val="24"/>
          <w:szCs w:val="24"/>
          <w:shd w:val="clear" w:fill="FFFFFF"/>
          <w:lang w:val="en-US" w:eastAsia="zh-CN"/>
        </w:rPr>
      </w:pPr>
      <w:r>
        <w:rPr>
          <w:rFonts w:hint="eastAsia"/>
          <w:b/>
          <w:bCs/>
          <w:sz w:val="24"/>
          <w:szCs w:val="24"/>
          <w:lang w:val="en-US" w:eastAsia="zh-CN"/>
        </w:rPr>
        <w:t xml:space="preserve"> 定义</w:t>
      </w:r>
    </w:p>
    <w:p w14:paraId="76352673">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80" w:firstLineChars="200"/>
        <w:jc w:val="left"/>
        <w:textAlignment w:val="baseline"/>
        <w:outlineLvl w:val="9"/>
        <w:rPr>
          <w:rFonts w:hint="eastAsia"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低空经济是指在真高 1000 米以下低空空域（特殊场景可延伸至 3000 米以下）内，以有人驾驶航空器（含通用飞机、直升机等）和无人驾驶航空器（含无人机、eVTOL 等）为核心载体，涵盖技术研发、装备制造、基础设施建设、运营服务、场景应用全链条，融合生产性服务与生活性服务的综合性新经济形态，是数字经济与实体经济深度融合的重要载体。</w:t>
      </w:r>
    </w:p>
    <w:p w14:paraId="1FEBA144">
      <w:pPr>
        <w:keepNext w:val="0"/>
        <w:keepLines w:val="0"/>
        <w:pageBreakBefore w:val="0"/>
        <w:widowControl/>
        <w:numPr>
          <w:ilvl w:val="2"/>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2"/>
        <w:rPr>
          <w:rFonts w:hint="eastAsia" w:ascii="Segoe UI" w:hAnsi="Segoe UI" w:eastAsia="Segoe UI" w:cs="Segoe UI"/>
          <w:b/>
          <w:bCs/>
          <w:i w:val="0"/>
          <w:iCs w:val="0"/>
          <w:caps w:val="0"/>
          <w:spacing w:val="0"/>
          <w:sz w:val="24"/>
          <w:szCs w:val="24"/>
          <w:shd w:val="clear" w:fill="FFFFFF"/>
          <w:lang w:val="en-US" w:eastAsia="zh-CN"/>
        </w:rPr>
      </w:pPr>
      <w:r>
        <w:rPr>
          <w:rFonts w:hint="eastAsia"/>
          <w:b/>
          <w:bCs/>
          <w:sz w:val="24"/>
          <w:szCs w:val="24"/>
          <w:lang w:val="en-US" w:eastAsia="zh-CN"/>
        </w:rPr>
        <w:t xml:space="preserve"> 核心特征</w:t>
      </w:r>
    </w:p>
    <w:p w14:paraId="65D33138">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80" w:firstLineChars="200"/>
        <w:jc w:val="left"/>
        <w:textAlignment w:val="baseline"/>
        <w:outlineLvl w:val="9"/>
        <w:rPr>
          <w:rFonts w:hint="eastAsia"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1. 技术密集型：集成创新与高壁垒</w:t>
      </w:r>
    </w:p>
    <w:p w14:paraId="323FDEDC">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80" w:firstLineChars="200"/>
        <w:jc w:val="left"/>
        <w:textAlignment w:val="baseline"/>
        <w:outlineLvl w:val="9"/>
        <w:rPr>
          <w:rFonts w:hint="eastAsia"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低空经济是典型的技术密集型产业，其发展高度依赖低空智联网、先进动力系统、高精度导航、人工智能等前沿技术的集成创新。产业链关键零部件涉及 20 余个技术门类，仅无人机系统就涵盖飞控、导航、通信、动力等 12 大核心技术方向。技术复杂度在高端载体上尤为凸显，例如eVTOL（电动垂直起降航空器）的飞行控制系统，需深度融合多传感器融合定位、自主避障算法与集群调度等尖端技术，其系统复杂性和安全性要求远超传统交通工具。</w:t>
      </w:r>
    </w:p>
    <w:p w14:paraId="319DC287">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80" w:firstLineChars="200"/>
        <w:jc w:val="left"/>
        <w:textAlignment w:val="baseline"/>
        <w:outlineLvl w:val="9"/>
        <w:rPr>
          <w:rFonts w:hint="eastAsia"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2. 场景多元化：渗透百业与快速扩展</w:t>
      </w:r>
    </w:p>
    <w:p w14:paraId="59C0A6C2">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80" w:firstLineChars="200"/>
        <w:jc w:val="left"/>
        <w:textAlignment w:val="baseline"/>
        <w:outlineLvl w:val="9"/>
        <w:rPr>
          <w:rFonts w:hint="eastAsia"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应用场景的广泛渗透是低空经济活力的直接体现。产业已全面覆盖农业、交通、能源、应急、文旅等国民经济重要领域。据中国航空学会发布的《低空经济场景白皮书2.0》统计，当前国内已系统梳理出无人机吊运、农林植保、城市治理等八大高价值场景，并收录了 85 个具有规模化推广潜力的参考案例。市场应用正从试点验证快速走向规模化运营，全面展现低空经济在产业升级、城市治理与公共服务中的战略潜力。</w:t>
      </w:r>
    </w:p>
    <w:p w14:paraId="5F5AC627">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80" w:firstLineChars="200"/>
        <w:jc w:val="left"/>
        <w:textAlignment w:val="baseline"/>
        <w:outlineLvl w:val="9"/>
        <w:rPr>
          <w:rFonts w:hint="eastAsia"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3. 产业融合化：全链协同与价值倍增</w:t>
      </w:r>
    </w:p>
    <w:p w14:paraId="32409189">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80" w:firstLineChars="200"/>
        <w:jc w:val="left"/>
        <w:textAlignment w:val="baseline"/>
        <w:outlineLvl w:val="9"/>
        <w:rPr>
          <w:rFonts w:hint="eastAsia"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低空经济具有极强的产业融合与带动效应，它串联起“基础要素-装备制造-基础设施-运营服务-场景应用”的全产业链生态。上游（核心原材料、零部件）、中游（装备制造）与下游（场景运营）之间的产业关联度高达 85% 以上，形成了紧密的协同发展网络。某一环节的技术突破能够迅速传导至全产业链，产生牵一发而动全身的倍增效应。</w:t>
      </w:r>
    </w:p>
    <w:p w14:paraId="32CBB485">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80" w:firstLineChars="200"/>
        <w:jc w:val="left"/>
        <w:textAlignment w:val="baseline"/>
        <w:outlineLvl w:val="9"/>
        <w:rPr>
          <w:rFonts w:hint="eastAsia"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4. 安全依赖性：体系化保障为生命线</w:t>
      </w:r>
    </w:p>
    <w:p w14:paraId="3BC9CBE9">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安全是低空经济不可逾越的底线，产业发展极度依赖体系化的安全能力。这包括严格的空域动态监管、航空器适航审定、飞行人员资质管理以及高效的应急处置机制。我国已构建起 “适航认证+空域管控+应急响应”三重安全体系，成效显著。根据民航局“十四五”通用航空发展规划，行业设定的安全容忍度指标为每万飞行小时致命事故率 0.08</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[1]</w:t>
      </w:r>
      <w:r>
        <w:rPr>
          <w:rFonts w:hint="eastAsia" w:ascii="Segoe UI" w:hAnsi="Segoe UI" w:eastAsia="宋体" w:cs="Segoe UI"/>
          <w:i w:val="0"/>
          <w:iCs w:val="0"/>
          <w:caps w:val="0"/>
          <w:spacing w:val="0"/>
          <w:sz w:val="24"/>
          <w:szCs w:val="24"/>
          <w:shd w:val="clear" w:fill="FFFFFF"/>
          <w:lang w:val="en-US" w:eastAsia="zh-CN"/>
        </w:rPr>
        <w:t xml:space="preserve"> </w:t>
      </w:r>
      <w:r>
        <w:rPr>
          <w:rFonts w:hint="eastAsia" w:ascii="Segoe UI" w:hAnsi="Segoe UI" w:eastAsia="Segoe UI" w:cs="Segoe UI"/>
          <w:i w:val="0"/>
          <w:iCs w:val="0"/>
          <w:caps w:val="0"/>
          <w:spacing w:val="0"/>
          <w:sz w:val="24"/>
          <w:szCs w:val="24"/>
          <w:shd w:val="clear" w:fill="FFFFFF"/>
          <w:lang w:val="en-US" w:eastAsia="zh-CN"/>
        </w:rPr>
        <w:t>。在强有力的体系保障下，我国低空飞行安全记录居于国际先进水平，为产业高速发展奠定了坚实基础。</w:t>
      </w:r>
    </w:p>
    <w:p w14:paraId="68002319">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80" w:firstLineChars="200"/>
        <w:jc w:val="left"/>
        <w:textAlignment w:val="baseline"/>
        <w:outlineLvl w:val="9"/>
        <w:rPr>
          <w:rFonts w:hint="eastAsia"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5. 生态闭环性：要素协同决定落地效率</w:t>
      </w:r>
    </w:p>
    <w:p w14:paraId="45684CC5">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80" w:firstLineChars="200"/>
        <w:jc w:val="left"/>
        <w:textAlignment w:val="baseline"/>
        <w:outlineLvl w:val="9"/>
        <w:rPr>
          <w:rFonts w:hint="eastAsia"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低空经济的可持续发展依赖于一个良性循环的产业生态闭环。该生态要求 “载运装备、作业装备、关键技术、行业需求、环境支撑” 五大核心要素高效协同（即《低空经济场景白皮书（2.0）》提出的“5+4”体系）。其中，空域政策、基础设施、法规标准等“环境支撑”要素是生态健康运行的外部基础。要素间的协同度直接决定了技术成果向市场价值的转化效率。例如，沈阳沈北新区通过 “空域开放先行试点 + 起降基础设施超前建设 + 专项政策补贴引导” 的模式，系统化解决了场景落地的关键约束。该区于 2025 年 5 月成功实现东北地区首条无人机物流测试验证航线首飞，通过“无人机+快递员”协同，将校园快递配送时效从 45 分钟缩短至 15 分钟</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[2]</w:t>
      </w:r>
      <w:r>
        <w:rPr>
          <w:rFonts w:hint="eastAsia" w:ascii="Segoe UI" w:hAnsi="Segoe UI" w:eastAsia="Segoe UI" w:cs="Segoe UI"/>
          <w:i w:val="0"/>
          <w:iCs w:val="0"/>
          <w:caps w:val="0"/>
          <w:spacing w:val="0"/>
          <w:sz w:val="24"/>
          <w:szCs w:val="24"/>
          <w:shd w:val="clear" w:fill="FFFFFF"/>
          <w:lang w:val="en-US" w:eastAsia="zh-CN"/>
        </w:rPr>
        <w:t>，效率提升 2 倍，成为通过生态协同快速推动场景落地的典范。</w:t>
      </w:r>
    </w:p>
    <w:p w14:paraId="31A24DDD">
      <w:pPr>
        <w:keepNext w:val="0"/>
        <w:keepLines w:val="0"/>
        <w:pageBreakBefore w:val="0"/>
        <w:widowControl/>
        <w:numPr>
          <w:ilvl w:val="1"/>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1"/>
        <w:rPr>
          <w:rFonts w:hint="eastAsia"/>
          <w:b/>
          <w:bCs/>
          <w:sz w:val="24"/>
          <w:szCs w:val="24"/>
          <w:lang w:val="en-US" w:eastAsia="zh-CN"/>
        </w:rPr>
      </w:pPr>
      <w:bookmarkStart w:id="6" w:name="_Toc24726"/>
      <w:r>
        <w:rPr>
          <w:rFonts w:hint="eastAsia"/>
          <w:b/>
          <w:bCs/>
          <w:sz w:val="24"/>
          <w:szCs w:val="24"/>
          <w:lang w:val="en-US" w:eastAsia="zh-CN"/>
        </w:rPr>
        <w:t>发展意义</w:t>
      </w:r>
      <w:bookmarkEnd w:id="6"/>
    </w:p>
    <w:p w14:paraId="2D5AC7DD">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80" w:firstLineChars="200"/>
        <w:jc w:val="left"/>
        <w:textAlignment w:val="baseline"/>
        <w:outlineLvl w:val="9"/>
        <w:rPr>
          <w:rFonts w:hint="eastAsia"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低空经济已被明确提升至国家战略高度，作为国家十五五战略性新兴产业，2025年《政府工作报告》明确将其列为培育壮大类新增长引擎</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[3]</w:t>
      </w:r>
      <w:r>
        <w:rPr>
          <w:rFonts w:hint="eastAsia" w:ascii="Segoe UI" w:hAnsi="Segoe UI" w:eastAsia="Segoe UI" w:cs="Segoe UI"/>
          <w:i w:val="0"/>
          <w:iCs w:val="0"/>
          <w:caps w:val="0"/>
          <w:spacing w:val="0"/>
          <w:sz w:val="24"/>
          <w:szCs w:val="24"/>
          <w:shd w:val="clear" w:fill="FFFFFF"/>
          <w:lang w:val="en-US" w:eastAsia="zh-CN"/>
        </w:rPr>
        <w:t>。低空经济发展具备</w:t>
      </w:r>
      <w:r>
        <w:rPr>
          <w:rFonts w:ascii="宋体" w:hAnsi="宋体" w:eastAsia="宋体" w:cs="宋体"/>
          <w:sz w:val="24"/>
          <w:szCs w:val="24"/>
        </w:rPr>
        <w:t>战略意义、经济意义与社会意义</w:t>
      </w:r>
      <w:r>
        <w:rPr>
          <w:rFonts w:hint="eastAsia" w:ascii="宋体" w:hAnsi="宋体" w:eastAsia="宋体" w:cs="宋体"/>
          <w:sz w:val="24"/>
          <w:szCs w:val="24"/>
          <w:lang w:eastAsia="zh-CN"/>
        </w:rPr>
        <w:t>，</w:t>
      </w:r>
      <w:r>
        <w:rPr>
          <w:rFonts w:hint="eastAsia" w:ascii="Segoe UI" w:hAnsi="Segoe UI" w:eastAsia="Segoe UI" w:cs="Segoe UI"/>
          <w:i w:val="0"/>
          <w:iCs w:val="0"/>
          <w:caps w:val="0"/>
          <w:spacing w:val="0"/>
          <w:sz w:val="24"/>
          <w:szCs w:val="24"/>
          <w:shd w:val="clear" w:fill="FFFFFF"/>
          <w:lang w:val="en-US" w:eastAsia="zh-CN"/>
        </w:rPr>
        <w:t>主要体现在以下方面：</w:t>
      </w:r>
    </w:p>
    <w:p w14:paraId="24748469">
      <w:pPr>
        <w:keepNext w:val="0"/>
        <w:keepLines w:val="0"/>
        <w:pageBreakBefore w:val="0"/>
        <w:widowControl/>
        <w:numPr>
          <w:ilvl w:val="0"/>
          <w:numId w:val="2"/>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80" w:firstLineChars="200"/>
        <w:jc w:val="left"/>
        <w:textAlignment w:val="baseline"/>
        <w:outlineLvl w:val="9"/>
        <w:rPr>
          <w:rFonts w:hint="eastAsia"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盘活国家战略空域资源，构建立体空间发展格局</w:t>
      </w:r>
    </w:p>
    <w:p w14:paraId="1FFFE40F">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80" w:firstLineChars="200"/>
        <w:jc w:val="left"/>
        <w:textAlignment w:val="baseline"/>
        <w:outlineLvl w:val="9"/>
        <w:rPr>
          <w:rFonts w:hint="eastAsia"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低空空域是继陆地、海洋、高空之后的重要战略空间资源。发展低空经济打破传统空域管制瓶颈，实现低空空域安全、高效、集约化利用，形成地面交通 + 轨道交通 + 低空交通三位一体的立体交通与空间利用体系。</w:t>
      </w:r>
    </w:p>
    <w:p w14:paraId="5FBC0245">
      <w:pPr>
        <w:keepNext w:val="0"/>
        <w:keepLines w:val="0"/>
        <w:pageBreakBefore w:val="0"/>
        <w:widowControl/>
        <w:numPr>
          <w:ilvl w:val="0"/>
          <w:numId w:val="2"/>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80" w:firstLineChars="200"/>
        <w:jc w:val="left"/>
        <w:textAlignment w:val="baseline"/>
        <w:outlineLvl w:val="9"/>
        <w:rPr>
          <w:rFonts w:hint="eastAsia"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推动产业高端化升级，培育新质生产力核心引擎</w:t>
      </w:r>
    </w:p>
    <w:p w14:paraId="33925F08">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80" w:firstLineChars="200"/>
        <w:jc w:val="left"/>
        <w:textAlignment w:val="baseline"/>
        <w:outlineLvl w:val="9"/>
        <w:rPr>
          <w:rFonts w:hint="eastAsia"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低空经济串联航空制造、新材料、人工智能、自动驾驶、北斗导航、5G/6G、空管系统等高端产业，推动传统制造业向智能化、轻量化、电动化、无人化转型，加速产业链向中高端攀升，是制造业升级和战略性新兴产业壮大的重要抓手。</w:t>
      </w:r>
    </w:p>
    <w:p w14:paraId="72705724">
      <w:pPr>
        <w:keepNext w:val="0"/>
        <w:keepLines w:val="0"/>
        <w:pageBreakBefore w:val="0"/>
        <w:widowControl/>
        <w:numPr>
          <w:ilvl w:val="0"/>
          <w:numId w:val="2"/>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80" w:firstLineChars="200"/>
        <w:jc w:val="left"/>
        <w:textAlignment w:val="baseline"/>
        <w:outlineLvl w:val="9"/>
        <w:rPr>
          <w:rFonts w:hint="eastAsia"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打造经济新增长极，稳定经济与就业</w:t>
      </w:r>
    </w:p>
    <w:p w14:paraId="1353A38C">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80" w:firstLineChars="200"/>
        <w:jc w:val="left"/>
        <w:textAlignment w:val="baseline"/>
        <w:outlineLvl w:val="9"/>
        <w:rPr>
          <w:rFonts w:hint="eastAsia"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覆盖研发、制造、基建、运营、培训、维保、数据服务等全链条，可形成规模庞大的新兴市场，拉动有效投资、激发新型消费，同时催生飞手、运维、调度、空管、运营、研发等大量就业岗位，成为稳增长、扩内需、保就业的重要支撑。</w:t>
      </w:r>
    </w:p>
    <w:p w14:paraId="41224EA9">
      <w:pPr>
        <w:keepNext w:val="0"/>
        <w:keepLines w:val="0"/>
        <w:pageBreakBefore w:val="0"/>
        <w:widowControl/>
        <w:numPr>
          <w:ilvl w:val="0"/>
          <w:numId w:val="2"/>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80" w:firstLineChars="200"/>
        <w:jc w:val="left"/>
        <w:textAlignment w:val="baseline"/>
        <w:outlineLvl w:val="9"/>
        <w:rPr>
          <w:rFonts w:hint="eastAsia"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强化关键核心技术攻关，提升科技自主可控能力</w:t>
      </w:r>
    </w:p>
    <w:p w14:paraId="1DA67CCD">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80" w:firstLineChars="200"/>
        <w:jc w:val="left"/>
        <w:textAlignment w:val="baseline"/>
        <w:outlineLvl w:val="9"/>
        <w:rPr>
          <w:rFonts w:hint="eastAsia"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以无人机、eVTOL、飞控系统、低空通信导航、一体化空管为突破口，倒逼卡脖子技术突破与成果转化，提升我国在低空装备、智能航空、空中交通管理领域的自主创新与国际话语权。</w:t>
      </w:r>
    </w:p>
    <w:p w14:paraId="732D452E">
      <w:pPr>
        <w:keepNext w:val="0"/>
        <w:keepLines w:val="0"/>
        <w:pageBreakBefore w:val="0"/>
        <w:widowControl/>
        <w:numPr>
          <w:ilvl w:val="0"/>
          <w:numId w:val="2"/>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80" w:firstLineChars="200"/>
        <w:jc w:val="left"/>
        <w:textAlignment w:val="baseline"/>
        <w:outlineLvl w:val="9"/>
        <w:rPr>
          <w:rFonts w:hint="eastAsia"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提升公共服务与社会治理现代化水平</w:t>
      </w:r>
    </w:p>
    <w:p w14:paraId="69CF5097">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80" w:firstLineChars="200"/>
        <w:jc w:val="left"/>
        <w:textAlignment w:val="baseline"/>
        <w:outlineLvl w:val="9"/>
        <w:rPr>
          <w:rFonts w:hint="eastAsia"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广泛应用于应急救援、消防救灾、电力巡检、油气管道巡查、农林植保、生态环保、医疗转运、城市安防、交通巡查等场景，大幅提升公共服务效率、应急响应速度与精细化治理能力。</w:t>
      </w:r>
    </w:p>
    <w:p w14:paraId="40F9261B">
      <w:pPr>
        <w:keepNext w:val="0"/>
        <w:keepLines w:val="0"/>
        <w:pageBreakBefore w:val="0"/>
        <w:widowControl/>
        <w:numPr>
          <w:ilvl w:val="0"/>
          <w:numId w:val="2"/>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80" w:firstLineChars="200"/>
        <w:jc w:val="left"/>
        <w:textAlignment w:val="baseline"/>
        <w:outlineLvl w:val="9"/>
        <w:rPr>
          <w:rFonts w:hint="eastAsia"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促进区域协调与城乡融合发展</w:t>
      </w:r>
    </w:p>
    <w:p w14:paraId="18F44B08">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80" w:firstLineChars="200"/>
        <w:jc w:val="left"/>
        <w:textAlignment w:val="baseline"/>
        <w:outlineLvl w:val="9"/>
        <w:rPr>
          <w:rFonts w:hint="eastAsia"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低空交通不受地形、道路限制，可快速联通城市群、都市圈与偏远地区，降低物流成本、提升公共服务覆盖，推动城乡要素双向流动，助力乡村振兴与区域均衡发展。</w:t>
      </w:r>
    </w:p>
    <w:p w14:paraId="3913FF47">
      <w:pPr>
        <w:keepNext w:val="0"/>
        <w:keepLines w:val="0"/>
        <w:pageBreakBefore w:val="0"/>
        <w:widowControl/>
        <w:numPr>
          <w:ilvl w:val="0"/>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0"/>
        <w:rPr>
          <w:rFonts w:hint="default"/>
          <w:b/>
          <w:bCs/>
          <w:sz w:val="28"/>
          <w:szCs w:val="28"/>
          <w:lang w:val="en-US" w:eastAsia="zh-CN"/>
        </w:rPr>
      </w:pPr>
      <w:bookmarkStart w:id="7" w:name="_Toc30837"/>
      <w:r>
        <w:rPr>
          <w:rFonts w:hint="eastAsia"/>
          <w:b/>
          <w:bCs/>
          <w:sz w:val="28"/>
          <w:szCs w:val="28"/>
          <w:lang w:val="en-US" w:eastAsia="zh-CN"/>
        </w:rPr>
        <w:t>低空经济标准体系</w:t>
      </w:r>
      <w:bookmarkEnd w:id="7"/>
    </w:p>
    <w:p w14:paraId="35F877DC">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80" w:firstLineChars="200"/>
        <w:jc w:val="left"/>
        <w:textAlignment w:val="baseline"/>
        <w:outlineLvl w:val="9"/>
        <w:rPr>
          <w:rFonts w:hint="eastAsia"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标准是低空经济安全、有序、规模化发展的基石，如同地面交通的“红绿灯”与“交通法规”，为全产业链提供统一的规范与准则。我国已构建起系统化、前瞻性的低空经济标准体系，旨在通过标准化引领产业高质量发展。</w:t>
      </w:r>
    </w:p>
    <w:p w14:paraId="630FB0C7">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80" w:firstLineChars="200"/>
        <w:jc w:val="left"/>
        <w:textAlignment w:val="baseline"/>
        <w:outlineLvl w:val="9"/>
        <w:rPr>
          <w:rFonts w:hint="eastAsia"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我国低空经济标准体系的顶层设计遵循“四维融合”的供给体系。根据国家市场监督管理总局等十部门联合发布的《低空经济标准体系建设指南（2025年版）》，该体系旨在建立技术标准与管理规范融合、国内标准与国际规则融合、强制性标准与推荐性标准融合、基础标准与场景标准融合的标准化发展新格局</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[4]</w:t>
      </w:r>
      <w:r>
        <w:rPr>
          <w:rFonts w:hint="eastAsia" w:ascii="Segoe UI" w:hAnsi="Segoe UI" w:eastAsia="Segoe UI" w:cs="Segoe UI"/>
          <w:i w:val="0"/>
          <w:iCs w:val="0"/>
          <w:caps w:val="0"/>
          <w:spacing w:val="0"/>
          <w:sz w:val="24"/>
          <w:szCs w:val="24"/>
          <w:shd w:val="clear" w:fill="FFFFFF"/>
          <w:lang w:val="en-US" w:eastAsia="zh-CN"/>
        </w:rPr>
        <w:t>。这一框架为我国低空经济标准化建设提供了清晰的路线图，旨在强化标准全生命周期管理，构建央地协同、产学研联动的标准化创新生态。</w:t>
      </w:r>
    </w:p>
    <w:p w14:paraId="15F9457A">
      <w:pPr>
        <w:keepNext w:val="0"/>
        <w:keepLines w:val="0"/>
        <w:pageBreakBefore w:val="0"/>
        <w:widowControl/>
        <w:numPr>
          <w:ilvl w:val="1"/>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1"/>
        <w:rPr>
          <w:rFonts w:hint="eastAsia"/>
          <w:b/>
          <w:bCs/>
          <w:sz w:val="24"/>
          <w:szCs w:val="24"/>
          <w:lang w:val="en-US" w:eastAsia="zh-CN"/>
        </w:rPr>
      </w:pPr>
      <w:bookmarkStart w:id="8" w:name="_Toc22714"/>
      <w:r>
        <w:rPr>
          <w:rFonts w:hint="eastAsia"/>
          <w:b/>
          <w:bCs/>
          <w:sz w:val="24"/>
          <w:szCs w:val="24"/>
          <w:lang w:val="en-US" w:eastAsia="zh-CN"/>
        </w:rPr>
        <w:t>核心标准框架</w:t>
      </w:r>
      <w:bookmarkEnd w:id="8"/>
    </w:p>
    <w:p w14:paraId="0879A25F">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before="0" w:beforeLines="10" w:beforeAutospacing="0" w:after="210" w:afterAutospacing="0" w:line="288" w:lineRule="auto"/>
        <w:ind w:firstLine="480" w:firstLineChars="200"/>
        <w:jc w:val="left"/>
        <w:textAlignment w:val="baseline"/>
        <w:outlineLvl w:val="9"/>
        <w:rPr>
          <w:rFonts w:hint="eastAsia"/>
          <w:lang w:val="en-US" w:eastAsia="zh-CN"/>
        </w:rPr>
      </w:pPr>
      <w:r>
        <w:rPr>
          <w:rFonts w:hint="eastAsia" w:ascii="Segoe UI" w:hAnsi="Segoe UI" w:eastAsia="Segoe UI" w:cs="Segoe UI"/>
          <w:i w:val="0"/>
          <w:iCs w:val="0"/>
          <w:caps w:val="0"/>
          <w:spacing w:val="0"/>
          <w:sz w:val="24"/>
          <w:szCs w:val="24"/>
          <w:shd w:val="clear" w:fill="FFFFFF"/>
          <w:lang w:val="en-US" w:eastAsia="zh-CN"/>
        </w:rPr>
        <w:t>低空经济标准体系涵盖低空航空器、低空基础设施、低空空 中交通管理、安全监管和应用场景等全链条，体系结构和框架如下：</w:t>
      </w:r>
      <w:r>
        <w:drawing>
          <wp:inline distT="0" distB="0" distL="114300" distR="114300">
            <wp:extent cx="5272405" cy="3717290"/>
            <wp:effectExtent l="0" t="0" r="4445" b="1651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7"/>
                    <a:stretch>
                      <a:fillRect/>
                    </a:stretch>
                  </pic:blipFill>
                  <pic:spPr>
                    <a:xfrm>
                      <a:off x="0" y="0"/>
                      <a:ext cx="5272405" cy="3717290"/>
                    </a:xfrm>
                    <a:prstGeom prst="rect">
                      <a:avLst/>
                    </a:prstGeom>
                    <a:noFill/>
                    <a:ln>
                      <a:noFill/>
                    </a:ln>
                  </pic:spPr>
                </pic:pic>
              </a:graphicData>
            </a:graphic>
          </wp:inline>
        </w:drawing>
      </w:r>
    </w:p>
    <w:p w14:paraId="58FA469F">
      <w:pPr>
        <w:keepNext w:val="0"/>
        <w:keepLines w:val="0"/>
        <w:pageBreakBefore w:val="0"/>
        <w:widowControl/>
        <w:numPr>
          <w:ilvl w:val="1"/>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1"/>
        <w:rPr>
          <w:rFonts w:hint="eastAsia"/>
          <w:b/>
          <w:bCs/>
          <w:sz w:val="24"/>
          <w:szCs w:val="24"/>
          <w:lang w:val="en-US" w:eastAsia="zh-CN"/>
        </w:rPr>
      </w:pPr>
      <w:bookmarkStart w:id="9" w:name="_Toc9140"/>
      <w:r>
        <w:rPr>
          <w:rFonts w:hint="eastAsia"/>
          <w:b/>
          <w:bCs/>
          <w:sz w:val="24"/>
          <w:szCs w:val="24"/>
          <w:lang w:val="en-US" w:eastAsia="zh-CN"/>
        </w:rPr>
        <w:t>五大核心标准领域详解</w:t>
      </w:r>
      <w:bookmarkEnd w:id="9"/>
    </w:p>
    <w:p w14:paraId="2588EAF1">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80" w:firstLineChars="200"/>
        <w:jc w:val="left"/>
        <w:textAlignment w:val="baseline"/>
        <w:outlineLvl w:val="9"/>
        <w:rPr>
          <w:rFonts w:hint="eastAsia"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依据《低空经济标准体系建设指南(2025年版)》，标准体系围绕五大核心领域展开，覆盖了从“造什么、在哪飞”到“怎么管、如何用”的全链条。</w:t>
      </w:r>
    </w:p>
    <w:p w14:paraId="5682ADA7">
      <w:pPr>
        <w:keepNext w:val="0"/>
        <w:keepLines w:val="0"/>
        <w:pageBreakBefore w:val="0"/>
        <w:widowControl/>
        <w:numPr>
          <w:ilvl w:val="2"/>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2"/>
        <w:rPr>
          <w:rFonts w:hint="eastAsia" w:ascii="Segoe UI" w:hAnsi="Segoe UI" w:eastAsia="Segoe UI" w:cs="Segoe UI"/>
          <w:b/>
          <w:bCs/>
          <w:i w:val="0"/>
          <w:iCs w:val="0"/>
          <w:caps w:val="0"/>
          <w:spacing w:val="0"/>
          <w:sz w:val="24"/>
          <w:szCs w:val="24"/>
          <w:shd w:val="clear" w:fill="FFFFFF"/>
          <w:lang w:val="en-US" w:eastAsia="zh-CN"/>
        </w:rPr>
      </w:pPr>
      <w:r>
        <w:rPr>
          <w:rFonts w:hint="eastAsia"/>
          <w:b/>
          <w:bCs/>
          <w:sz w:val="24"/>
          <w:szCs w:val="24"/>
          <w:lang w:val="en-US" w:eastAsia="zh-CN"/>
        </w:rPr>
        <w:t xml:space="preserve"> 低空航空器标准</w:t>
      </w:r>
    </w:p>
    <w:p w14:paraId="3EC1EBB0">
      <w:pPr>
        <w:keepNext w:val="0"/>
        <w:keepLines w:val="0"/>
        <w:pageBreakBefore w:val="0"/>
        <w:widowControl/>
        <w:numPr>
          <w:ilvl w:val="0"/>
          <w:numId w:val="3"/>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80" w:firstLineChars="200"/>
        <w:jc w:val="left"/>
        <w:textAlignment w:val="baseline"/>
        <w:outlineLvl w:val="9"/>
        <w:rPr>
          <w:rFonts w:hint="eastAsia"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标准详情</w:t>
      </w:r>
    </w:p>
    <w:p w14:paraId="18A2B261">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低空航空器标准是低空经济标准体系的核心部分，包括基础 共性、管理、安全、无人驾驶航空器系统和有人驾驶航空器标准，有助于提高航空器的安全性、可靠性和性能水平，推动航空器制造产业的升级和发展。为各类飞行器的设计、制造与适航提供合规准则。该领域标准体系较为完善，据中国航空学会汇总，截至 2026 年初，关于低空飞行器的国家标准有 36 项，行业标准有 43 项</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[5]</w:t>
      </w:r>
      <w:r>
        <w:rPr>
          <w:rFonts w:hint="eastAsia" w:ascii="Segoe UI" w:hAnsi="Segoe UI" w:eastAsia="Segoe UI" w:cs="Segoe UI"/>
          <w:i w:val="0"/>
          <w:iCs w:val="0"/>
          <w:caps w:val="0"/>
          <w:spacing w:val="0"/>
          <w:sz w:val="24"/>
          <w:szCs w:val="24"/>
          <w:shd w:val="clear" w:fill="FFFFFF"/>
          <w:lang w:val="en-US" w:eastAsia="zh-CN"/>
        </w:rPr>
        <w:t>。标准重点覆盖无人机、eVTOL等核心装备，GB42590-2023《民用无人驾驶航空器系统安全要求》作为中国民用无人机领域首项强制性国家标准，其实施标志着无人机监管进入有标可依的新阶段，此后一系列低空强制性国家标准将陆续发布和实施。其中，GB46750-2025《民用无人驾驶航空器系统运行识别规范》和GB46761-2025《民用轻小型无人驾驶航空器实名登记及激活要求》将于 2026 年 5 月 1 日正式启用，这两项标准和运营活动及终端用户直接相关。GB46860-2025《民用无人驾驶航空器唯一产品识别码》将于 2027 年 1 月 1 日实施，该标准要求无人机实现一机一码，并一码定终身。针对普遍存在的无人机改装现象，有关部门正在探索针对核心零部件与核心系统制定管理方案</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[6]</w:t>
      </w:r>
      <w:r>
        <w:rPr>
          <w:rFonts w:hint="eastAsia" w:ascii="Segoe UI" w:hAnsi="Segoe UI" w:eastAsia="Segoe UI" w:cs="Segoe UI"/>
          <w:i w:val="0"/>
          <w:iCs w:val="0"/>
          <w:caps w:val="0"/>
          <w:spacing w:val="0"/>
          <w:sz w:val="24"/>
          <w:szCs w:val="24"/>
          <w:shd w:val="clear" w:fill="FFFFFF"/>
          <w:lang w:val="en-US" w:eastAsia="zh-CN"/>
        </w:rPr>
        <w:t>。</w:t>
      </w:r>
    </w:p>
    <w:p w14:paraId="040513FD">
      <w:pPr>
        <w:keepNext w:val="0"/>
        <w:keepLines w:val="0"/>
        <w:pageBreakBefore w:val="0"/>
        <w:widowControl/>
        <w:numPr>
          <w:ilvl w:val="0"/>
          <w:numId w:val="3"/>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80" w:firstLineChars="200"/>
        <w:jc w:val="left"/>
        <w:textAlignment w:val="baseline"/>
        <w:outlineLvl w:val="9"/>
        <w:rPr>
          <w:rFonts w:hint="eastAsia"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标准建设重点</w:t>
      </w:r>
    </w:p>
    <w:p w14:paraId="7E180EC4">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安全标准。重点开展低空航空器感知与避障、数据链路网络安全、飞行控制系统 数据记录等标准制修订。</w:t>
      </w:r>
    </w:p>
    <w:p w14:paraId="3DAC8465">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无人驾驶航空器系统标准。重点开展系统综合、试验试飞、无人驾驶航空器平台、 数据链、地面控制系统、任务载荷等标准制修订。</w:t>
      </w:r>
    </w:p>
    <w:p w14:paraId="4E0E0B24">
      <w:pPr>
        <w:pStyle w:val="12"/>
        <w:keepNext w:val="0"/>
        <w:keepLines w:val="0"/>
        <w:pageBreakBefore w:val="0"/>
        <w:widowControl/>
        <w:suppressLineNumbers w:val="0"/>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rPr>
          <w:rFonts w:hint="eastAsia" w:ascii="Segoe UI" w:hAnsi="Segoe UI" w:eastAsia="Segoe UI" w:cs="Segoe UI"/>
          <w:i w:val="0"/>
          <w:iCs w:val="0"/>
          <w:caps w:val="0"/>
          <w:spacing w:val="0"/>
          <w:sz w:val="24"/>
          <w:szCs w:val="24"/>
          <w:shd w:val="clear" w:fill="FFFFFF"/>
          <w:lang w:val="en-US" w:eastAsia="zh-CN"/>
        </w:rPr>
      </w:pPr>
      <w:r>
        <w:drawing>
          <wp:inline distT="0" distB="0" distL="114300" distR="114300">
            <wp:extent cx="4467860" cy="4551680"/>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8"/>
                    <a:srcRect l="543" t="9088" r="3885" b="12333"/>
                    <a:stretch>
                      <a:fillRect/>
                    </a:stretch>
                  </pic:blipFill>
                  <pic:spPr>
                    <a:xfrm>
                      <a:off x="0" y="0"/>
                      <a:ext cx="4467860" cy="4551680"/>
                    </a:xfrm>
                    <a:prstGeom prst="rect">
                      <a:avLst/>
                    </a:prstGeom>
                    <a:noFill/>
                    <a:ln w="9525">
                      <a:noFill/>
                    </a:ln>
                  </pic:spPr>
                </pic:pic>
              </a:graphicData>
            </a:graphic>
          </wp:inline>
        </w:drawing>
      </w:r>
    </w:p>
    <w:p w14:paraId="6E2E264E">
      <w:pPr>
        <w:keepNext w:val="0"/>
        <w:keepLines w:val="0"/>
        <w:pageBreakBefore w:val="0"/>
        <w:widowControl/>
        <w:numPr>
          <w:ilvl w:val="2"/>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2"/>
        <w:rPr>
          <w:rFonts w:hint="eastAsia" w:ascii="Segoe UI" w:hAnsi="Segoe UI" w:eastAsia="宋体" w:cs="Segoe UI"/>
          <w:i w:val="0"/>
          <w:iCs w:val="0"/>
          <w:caps w:val="0"/>
          <w:spacing w:val="0"/>
          <w:sz w:val="24"/>
          <w:szCs w:val="24"/>
          <w:shd w:val="clear" w:fill="FFFFFF"/>
          <w:lang w:val="en-US" w:eastAsia="zh-CN"/>
        </w:rPr>
      </w:pPr>
      <w:r>
        <w:rPr>
          <w:rFonts w:hint="eastAsia"/>
          <w:b/>
          <w:bCs/>
          <w:sz w:val="24"/>
          <w:szCs w:val="24"/>
          <w:lang w:val="en-US" w:eastAsia="zh-CN"/>
        </w:rPr>
        <w:t xml:space="preserve"> 低空基础设施标准</w:t>
      </w:r>
    </w:p>
    <w:p w14:paraId="2C750B31">
      <w:pPr>
        <w:keepNext w:val="0"/>
        <w:keepLines w:val="0"/>
        <w:pageBreakBefore w:val="0"/>
        <w:widowControl/>
        <w:numPr>
          <w:ilvl w:val="0"/>
          <w:numId w:val="4"/>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80" w:firstLineChars="200"/>
        <w:jc w:val="left"/>
        <w:textAlignment w:val="baseline"/>
        <w:outlineLvl w:val="9"/>
        <w:rPr>
          <w:rFonts w:hint="eastAsia"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标准详情</w:t>
      </w:r>
    </w:p>
    <w:p w14:paraId="75FBC9ED">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ascii="宋体" w:hAnsi="宋体" w:eastAsia="宋体" w:cs="宋体"/>
          <w:i w:val="0"/>
          <w:iCs w:val="0"/>
          <w:caps w:val="0"/>
          <w:color w:val="070707"/>
          <w:spacing w:val="0"/>
          <w:sz w:val="24"/>
          <w:szCs w:val="24"/>
        </w:rPr>
      </w:pPr>
      <w:r>
        <w:rPr>
          <w:rFonts w:hint="eastAsia" w:ascii="Segoe UI" w:hAnsi="Segoe UI" w:eastAsia="宋体" w:cs="Segoe UI"/>
          <w:i w:val="0"/>
          <w:iCs w:val="0"/>
          <w:caps w:val="0"/>
          <w:spacing w:val="0"/>
          <w:sz w:val="24"/>
          <w:szCs w:val="24"/>
          <w:shd w:val="clear" w:fill="FFFFFF"/>
          <w:lang w:val="en-US" w:eastAsia="zh-CN"/>
        </w:rPr>
        <w:t>低空基础设施标准包括低空智能网联系统、低空起降基础设施、低空飞行管理服务保障基础设施、低空质量技术基础设施、低空安全防护基础设施，以及其他标准，构建场景运行的物理底座，涵盖低空智能网联系统、起降场、飞行服务保障设施等，是低空经济高效运行的基础保障。行业标准MH/T 4055.1-2022已于 2022 年 11 月 1 日起实施</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[7]</w:t>
      </w:r>
      <w:r>
        <w:rPr>
          <w:rFonts w:hint="eastAsia" w:ascii="Segoe UI" w:hAnsi="Segoe UI" w:eastAsia="宋体" w:cs="Segoe UI"/>
          <w:i w:val="0"/>
          <w:iCs w:val="0"/>
          <w:caps w:val="0"/>
          <w:spacing w:val="0"/>
          <w:sz w:val="24"/>
          <w:szCs w:val="24"/>
          <w:shd w:val="clear" w:fill="FFFFFF"/>
          <w:lang w:val="en-US" w:eastAsia="zh-CN"/>
        </w:rPr>
        <w:t>，旨在促进全国形成统一的低空飞行服务网络。工信厅联通信〔2026〕4号文</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[8]</w:t>
      </w:r>
      <w:r>
        <w:rPr>
          <w:rFonts w:hint="eastAsia" w:ascii="Segoe UI" w:hAnsi="Segoe UI" w:eastAsia="宋体" w:cs="Segoe UI"/>
          <w:i w:val="0"/>
          <w:iCs w:val="0"/>
          <w:caps w:val="0"/>
          <w:spacing w:val="0"/>
          <w:sz w:val="24"/>
          <w:szCs w:val="24"/>
          <w:shd w:val="clear" w:fill="FFFFFF"/>
          <w:lang w:val="en-US" w:eastAsia="zh-CN"/>
        </w:rPr>
        <w:t>也指出，</w:t>
      </w:r>
      <w:r>
        <w:rPr>
          <w:rFonts w:ascii="宋体" w:hAnsi="宋体" w:eastAsia="宋体" w:cs="宋体"/>
          <w:i w:val="0"/>
          <w:iCs w:val="0"/>
          <w:caps w:val="0"/>
          <w:color w:val="070707"/>
          <w:spacing w:val="0"/>
          <w:sz w:val="24"/>
          <w:szCs w:val="24"/>
        </w:rPr>
        <w:t>坚持集约复用、多元协同，在充分利用现有公众移动通信设施等基础上，综合采用地面移动通信、卫星通信与其他通导监技术等多元化技术手段，支撑低空应用发展。坚持试验先行、稳步推进，围绕关键技术、网络部署、应用适配等加强试验验证，探索形成可复制的解决方案和经验做法。坚持安全可控、筑牢屏障，将网络、数据和飞行安全保障贯穿于信息类基础设施规划、建设和运行全过程各环节。到</w:t>
      </w:r>
      <w:r>
        <w:rPr>
          <w:rFonts w:hint="eastAsia" w:ascii="宋体" w:hAnsi="宋体" w:eastAsia="宋体" w:cs="宋体"/>
          <w:i w:val="0"/>
          <w:iCs w:val="0"/>
          <w:caps w:val="0"/>
          <w:color w:val="070707"/>
          <w:spacing w:val="0"/>
          <w:sz w:val="24"/>
          <w:szCs w:val="24"/>
          <w:lang w:val="en-US" w:eastAsia="zh-CN"/>
        </w:rPr>
        <w:t xml:space="preserve"> </w:t>
      </w:r>
      <w:r>
        <w:rPr>
          <w:rFonts w:ascii="宋体" w:hAnsi="宋体" w:eastAsia="宋体" w:cs="宋体"/>
          <w:i w:val="0"/>
          <w:iCs w:val="0"/>
          <w:caps w:val="0"/>
          <w:color w:val="070707"/>
          <w:spacing w:val="0"/>
          <w:sz w:val="24"/>
          <w:szCs w:val="24"/>
        </w:rPr>
        <w:t>2027</w:t>
      </w:r>
      <w:r>
        <w:rPr>
          <w:rFonts w:hint="eastAsia" w:ascii="宋体" w:hAnsi="宋体" w:eastAsia="宋体" w:cs="宋体"/>
          <w:i w:val="0"/>
          <w:iCs w:val="0"/>
          <w:caps w:val="0"/>
          <w:color w:val="070707"/>
          <w:spacing w:val="0"/>
          <w:sz w:val="24"/>
          <w:szCs w:val="24"/>
          <w:lang w:val="en-US" w:eastAsia="zh-CN"/>
        </w:rPr>
        <w:t xml:space="preserve"> </w:t>
      </w:r>
      <w:r>
        <w:rPr>
          <w:rFonts w:ascii="宋体" w:hAnsi="宋体" w:eastAsia="宋体" w:cs="宋体"/>
          <w:i w:val="0"/>
          <w:iCs w:val="0"/>
          <w:caps w:val="0"/>
          <w:color w:val="070707"/>
          <w:spacing w:val="0"/>
          <w:sz w:val="24"/>
          <w:szCs w:val="24"/>
        </w:rPr>
        <w:t>年，全国低空公共航路地面移动通信网络覆盖率不低于</w:t>
      </w:r>
      <w:r>
        <w:rPr>
          <w:rFonts w:hint="eastAsia" w:ascii="宋体" w:hAnsi="宋体" w:eastAsia="宋体" w:cs="宋体"/>
          <w:i w:val="0"/>
          <w:iCs w:val="0"/>
          <w:caps w:val="0"/>
          <w:color w:val="070707"/>
          <w:spacing w:val="0"/>
          <w:sz w:val="24"/>
          <w:szCs w:val="24"/>
          <w:lang w:val="en-US" w:eastAsia="zh-CN"/>
        </w:rPr>
        <w:t xml:space="preserve"> </w:t>
      </w:r>
      <w:r>
        <w:rPr>
          <w:rFonts w:ascii="宋体" w:hAnsi="宋体" w:eastAsia="宋体" w:cs="宋体"/>
          <w:i w:val="0"/>
          <w:iCs w:val="0"/>
          <w:caps w:val="0"/>
          <w:color w:val="070707"/>
          <w:spacing w:val="0"/>
          <w:sz w:val="24"/>
          <w:szCs w:val="24"/>
        </w:rPr>
        <w:t>90%，多元融合感知方案进一步完善成熟，低空导航服务水平持续提升，研制不少于10项信息类基础设施标准，面向城市治理、物流运输、文旅等领域形成一批典型低空应用场景。</w:t>
      </w:r>
    </w:p>
    <w:p w14:paraId="1EE53718">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ascii="宋体" w:hAnsi="宋体" w:eastAsia="宋体" w:cs="宋体"/>
          <w:i w:val="0"/>
          <w:iCs w:val="0"/>
          <w:caps w:val="0"/>
          <w:color w:val="070707"/>
          <w:spacing w:val="0"/>
          <w:sz w:val="24"/>
          <w:szCs w:val="24"/>
        </w:rPr>
      </w:pPr>
      <w:r>
        <w:drawing>
          <wp:inline distT="0" distB="0" distL="114300" distR="114300">
            <wp:extent cx="5264150" cy="2009140"/>
            <wp:effectExtent l="0" t="0" r="12700" b="1016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tretch>
                      <a:fillRect/>
                    </a:stretch>
                  </pic:blipFill>
                  <pic:spPr>
                    <a:xfrm>
                      <a:off x="0" y="0"/>
                      <a:ext cx="5264150" cy="2009140"/>
                    </a:xfrm>
                    <a:prstGeom prst="rect">
                      <a:avLst/>
                    </a:prstGeom>
                    <a:noFill/>
                    <a:ln>
                      <a:noFill/>
                    </a:ln>
                  </pic:spPr>
                </pic:pic>
              </a:graphicData>
            </a:graphic>
          </wp:inline>
        </w:drawing>
      </w:r>
    </w:p>
    <w:p w14:paraId="15A1E9C2">
      <w:pPr>
        <w:keepNext w:val="0"/>
        <w:keepLines w:val="0"/>
        <w:pageBreakBefore w:val="0"/>
        <w:widowControl/>
        <w:numPr>
          <w:ilvl w:val="0"/>
          <w:numId w:val="4"/>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80" w:firstLineChars="200"/>
        <w:jc w:val="left"/>
        <w:textAlignment w:val="baseline"/>
        <w:outlineLvl w:val="9"/>
        <w:rPr>
          <w:rFonts w:hint="eastAsia"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标准建设重点</w:t>
      </w:r>
    </w:p>
    <w:p w14:paraId="0F46B3CE">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宋体" w:hAnsi="宋体" w:eastAsia="宋体" w:cs="宋体"/>
          <w:i w:val="0"/>
          <w:iCs w:val="0"/>
          <w:caps w:val="0"/>
          <w:color w:val="070707"/>
          <w:spacing w:val="0"/>
          <w:sz w:val="24"/>
          <w:szCs w:val="24"/>
          <w:lang w:val="en-US" w:eastAsia="zh-CN"/>
        </w:rPr>
      </w:pPr>
      <w:r>
        <w:rPr>
          <w:rFonts w:hint="eastAsia" w:ascii="宋体" w:hAnsi="宋体" w:eastAsia="宋体" w:cs="宋体"/>
          <w:i w:val="0"/>
          <w:iCs w:val="0"/>
          <w:caps w:val="0"/>
          <w:color w:val="070707"/>
          <w:spacing w:val="0"/>
          <w:sz w:val="24"/>
          <w:szCs w:val="24"/>
          <w:lang w:val="en-US" w:eastAsia="zh-CN"/>
        </w:rPr>
        <w:t>低空智能网联系统标准。重点开展时空基准、地理信息、数据隐私保护等相关 的数据、系统、服务基础设施标准制修订。</w:t>
      </w:r>
    </w:p>
    <w:p w14:paraId="1F2820A8">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宋体" w:hAnsi="宋体" w:eastAsia="宋体" w:cs="宋体"/>
          <w:i w:val="0"/>
          <w:iCs w:val="0"/>
          <w:caps w:val="0"/>
          <w:color w:val="070707"/>
          <w:spacing w:val="0"/>
          <w:sz w:val="24"/>
          <w:szCs w:val="24"/>
          <w:lang w:val="en-US" w:eastAsia="zh-CN"/>
        </w:rPr>
      </w:pPr>
      <w:r>
        <w:rPr>
          <w:rFonts w:hint="eastAsia" w:ascii="宋体" w:hAnsi="宋体" w:eastAsia="宋体" w:cs="宋体"/>
          <w:i w:val="0"/>
          <w:iCs w:val="0"/>
          <w:caps w:val="0"/>
          <w:color w:val="070707"/>
          <w:spacing w:val="0"/>
          <w:sz w:val="24"/>
          <w:szCs w:val="24"/>
          <w:lang w:val="en-US" w:eastAsia="zh-CN"/>
        </w:rPr>
        <w:t>低空起降基础设施标准。重点开展机巢系统通用要求、试验方法等标准制修订。</w:t>
      </w:r>
    </w:p>
    <w:p w14:paraId="0E1F6B39">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宋体" w:hAnsi="宋体" w:eastAsia="宋体" w:cs="宋体"/>
          <w:i w:val="0"/>
          <w:iCs w:val="0"/>
          <w:caps w:val="0"/>
          <w:color w:val="070707"/>
          <w:spacing w:val="0"/>
          <w:sz w:val="24"/>
          <w:szCs w:val="24"/>
          <w:lang w:val="en-US" w:eastAsia="zh-CN"/>
        </w:rPr>
      </w:pPr>
      <w:r>
        <w:rPr>
          <w:rFonts w:hint="eastAsia" w:ascii="宋体" w:hAnsi="宋体" w:eastAsia="宋体" w:cs="宋体"/>
          <w:i w:val="0"/>
          <w:iCs w:val="0"/>
          <w:caps w:val="0"/>
          <w:color w:val="070707"/>
          <w:spacing w:val="0"/>
          <w:sz w:val="24"/>
          <w:szCs w:val="24"/>
          <w:lang w:val="en-US" w:eastAsia="zh-CN"/>
        </w:rPr>
        <w:t>低空飞行管理服务保障基础设施标准。重点开展低空通信、导航、监视和气象 设备设施的通用要求、技术架构、试验方法、服务质量等标准制修订。</w:t>
      </w:r>
    </w:p>
    <w:p w14:paraId="1D56AF7F">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宋体" w:hAnsi="宋体" w:eastAsia="宋体" w:cs="宋体"/>
          <w:i w:val="0"/>
          <w:iCs w:val="0"/>
          <w:caps w:val="0"/>
          <w:color w:val="070707"/>
          <w:spacing w:val="0"/>
          <w:sz w:val="24"/>
          <w:szCs w:val="24"/>
          <w:lang w:val="en-US" w:eastAsia="zh-CN"/>
        </w:rPr>
      </w:pPr>
      <w:r>
        <w:rPr>
          <w:rFonts w:hint="eastAsia" w:ascii="宋体" w:hAnsi="宋体" w:eastAsia="宋体" w:cs="宋体"/>
          <w:i w:val="0"/>
          <w:iCs w:val="0"/>
          <w:caps w:val="0"/>
          <w:color w:val="070707"/>
          <w:spacing w:val="0"/>
          <w:sz w:val="24"/>
          <w:szCs w:val="24"/>
          <w:lang w:val="en-US" w:eastAsia="zh-CN"/>
        </w:rPr>
        <w:t>低空质量技术基础设施标准。重点开展低空航空器飞行噪声试验场，以及低空 航空器试验场安全作业等标准制修订。</w:t>
      </w:r>
    </w:p>
    <w:p w14:paraId="5B2360C1">
      <w:pPr>
        <w:keepNext w:val="0"/>
        <w:keepLines w:val="0"/>
        <w:pageBreakBefore w:val="0"/>
        <w:widowControl/>
        <w:numPr>
          <w:ilvl w:val="2"/>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2"/>
        <w:rPr>
          <w:rFonts w:hint="eastAsia" w:ascii="Segoe UI" w:hAnsi="Segoe UI" w:eastAsia="宋体" w:cs="Segoe UI"/>
          <w:b/>
          <w:bCs/>
          <w:i w:val="0"/>
          <w:iCs w:val="0"/>
          <w:caps w:val="0"/>
          <w:spacing w:val="0"/>
          <w:sz w:val="24"/>
          <w:szCs w:val="24"/>
          <w:shd w:val="clear" w:fill="FFFFFF"/>
          <w:lang w:val="en-US" w:eastAsia="zh-CN"/>
        </w:rPr>
      </w:pPr>
      <w:r>
        <w:rPr>
          <w:rFonts w:hint="eastAsia"/>
          <w:b/>
          <w:bCs/>
          <w:sz w:val="24"/>
          <w:szCs w:val="24"/>
          <w:lang w:val="en-US" w:eastAsia="zh-CN"/>
        </w:rPr>
        <w:t xml:space="preserve"> 低空空中交通管理标准</w:t>
      </w:r>
    </w:p>
    <w:p w14:paraId="73F2CEBE">
      <w:pPr>
        <w:keepNext w:val="0"/>
        <w:keepLines w:val="0"/>
        <w:pageBreakBefore w:val="0"/>
        <w:widowControl/>
        <w:numPr>
          <w:ilvl w:val="0"/>
          <w:numId w:val="5"/>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80" w:firstLineChars="200"/>
        <w:jc w:val="left"/>
        <w:textAlignment w:val="baseline"/>
        <w:outlineLvl w:val="9"/>
        <w:rPr>
          <w:rFonts w:hint="eastAsia"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标准详情</w:t>
      </w:r>
    </w:p>
    <w:p w14:paraId="51BB8E2E">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低空空中交通管理标准包括空域管理、飞行流量管理、空中交通服务和空管保障标准，是低空飞行活动安全有序开展的重要保障。该领域标准正在快速完善，</w:t>
      </w:r>
    </w:p>
    <w:p w14:paraId="68EA659D">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2024 年苏州市低空经济发展工作领导小组办公室发布了《苏州市低空空中交通规则（试行）》，这也是全国首部地方性低空空中交通规则，明确真高 120 米以下，除国家划设管制空域以外的空域为本市微型、轻型、小型民用无人驾驶航空器的适飞空域</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[10]</w:t>
      </w:r>
      <w:r>
        <w:rPr>
          <w:rFonts w:hint="eastAsia" w:ascii="Segoe UI" w:hAnsi="Segoe UI" w:eastAsia="宋体" w:cs="Segoe UI"/>
          <w:i w:val="0"/>
          <w:iCs w:val="0"/>
          <w:caps w:val="0"/>
          <w:spacing w:val="0"/>
          <w:sz w:val="24"/>
          <w:szCs w:val="24"/>
          <w:shd w:val="clear" w:fill="FFFFFF"/>
          <w:lang w:val="en-US" w:eastAsia="zh-CN"/>
        </w:rPr>
        <w:t>；《城市低空空中交通管理指南》创新性提出空域分层分类使用方案，明确 120 米以下空域重点保障物流配送等作业飞行， 300-600 米空域适配载人观光、空中通勤等场景需求，同时建立从飞行申请、空域动态调配到停机坪等基础设施建设的全流程管理框架，实现低空资源的高效有序利用</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[9]</w:t>
      </w:r>
      <w:r>
        <w:rPr>
          <w:rFonts w:hint="eastAsia" w:ascii="Segoe UI" w:hAnsi="Segoe UI" w:eastAsia="宋体" w:cs="Segoe UI"/>
          <w:i w:val="0"/>
          <w:iCs w:val="0"/>
          <w:caps w:val="0"/>
          <w:spacing w:val="0"/>
          <w:sz w:val="24"/>
          <w:szCs w:val="24"/>
          <w:shd w:val="clear" w:fill="FFFFFF"/>
          <w:lang w:val="en-US" w:eastAsia="zh-CN"/>
        </w:rPr>
        <w:t>。在航线划设方面，行业标准 《城市场景轻小型无人驾驶航空器物流航线划设规范》(MH/T4054-2022)等为航线规划提供了技术依据。</w:t>
      </w:r>
    </w:p>
    <w:p w14:paraId="68E47914">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p>
    <w:p w14:paraId="2D650A1E">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drawing>
          <wp:inline distT="0" distB="0" distL="114300" distR="114300">
            <wp:extent cx="5273675" cy="2395220"/>
            <wp:effectExtent l="0" t="0" r="3175" b="508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0"/>
                    <a:stretch>
                      <a:fillRect/>
                    </a:stretch>
                  </pic:blipFill>
                  <pic:spPr>
                    <a:xfrm>
                      <a:off x="0" y="0"/>
                      <a:ext cx="5273675" cy="2395220"/>
                    </a:xfrm>
                    <a:prstGeom prst="rect">
                      <a:avLst/>
                    </a:prstGeom>
                    <a:noFill/>
                    <a:ln>
                      <a:noFill/>
                    </a:ln>
                  </pic:spPr>
                </pic:pic>
              </a:graphicData>
            </a:graphic>
          </wp:inline>
        </w:drawing>
      </w:r>
    </w:p>
    <w:p w14:paraId="5BF881D4">
      <w:pPr>
        <w:keepNext w:val="0"/>
        <w:keepLines w:val="0"/>
        <w:pageBreakBefore w:val="0"/>
        <w:widowControl/>
        <w:numPr>
          <w:ilvl w:val="0"/>
          <w:numId w:val="5"/>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80" w:firstLineChars="200"/>
        <w:jc w:val="left"/>
        <w:textAlignment w:val="baseline"/>
        <w:outlineLvl w:val="9"/>
        <w:rPr>
          <w:rFonts w:hint="eastAsia"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标准建设重点</w:t>
      </w:r>
    </w:p>
    <w:p w14:paraId="44DBDC15">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空中交通服务标准。重点开展飞行情报服务、空中交通管制服务和告警服务等标 准制修订。</w:t>
      </w:r>
    </w:p>
    <w:p w14:paraId="483FB917">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空管保障标准。重点开展低空导航定位数据传输、运行识别服务、低空飞行气象 服务等标准制修订。</w:t>
      </w:r>
    </w:p>
    <w:p w14:paraId="2A3237A5">
      <w:pPr>
        <w:keepNext w:val="0"/>
        <w:keepLines w:val="0"/>
        <w:pageBreakBefore w:val="0"/>
        <w:widowControl/>
        <w:numPr>
          <w:ilvl w:val="2"/>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2"/>
        <w:rPr>
          <w:rFonts w:hint="eastAsia" w:ascii="Segoe UI" w:hAnsi="Segoe UI" w:eastAsia="宋体" w:cs="Segoe UI"/>
          <w:b/>
          <w:bCs/>
          <w:i w:val="0"/>
          <w:iCs w:val="0"/>
          <w:caps w:val="0"/>
          <w:spacing w:val="0"/>
          <w:sz w:val="24"/>
          <w:szCs w:val="24"/>
          <w:shd w:val="clear" w:fill="FFFFFF"/>
          <w:lang w:val="en-US" w:eastAsia="zh-CN"/>
        </w:rPr>
      </w:pPr>
      <w:r>
        <w:rPr>
          <w:rFonts w:hint="eastAsia"/>
          <w:b/>
          <w:bCs/>
          <w:sz w:val="24"/>
          <w:szCs w:val="24"/>
          <w:lang w:val="en-US" w:eastAsia="zh-CN"/>
        </w:rPr>
        <w:t xml:space="preserve"> 安全监管标准</w:t>
      </w:r>
    </w:p>
    <w:p w14:paraId="79CE7789">
      <w:pPr>
        <w:keepNext w:val="0"/>
        <w:keepLines w:val="0"/>
        <w:pageBreakBefore w:val="0"/>
        <w:widowControl/>
        <w:numPr>
          <w:ilvl w:val="0"/>
          <w:numId w:val="6"/>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80" w:firstLineChars="200"/>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标准详情</w:t>
      </w:r>
    </w:p>
    <w:p w14:paraId="35417C52">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安全监管标准包括无线电管理、人员管理、运营与应急管理、事故调查与救援，以及其他标准，是低空经济活动安全有序发展的重要前提。</w:t>
      </w:r>
    </w:p>
    <w:p w14:paraId="40554B43">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多项低空强制性国家标准将于 2026 年内施行，无人机行业监管迈入标准化、规范化新阶段，不符合强制性国家标准的生产企业将面临产品召回风险。同时，eVTOL主要企业有望在 2027 年获得适航。GB42590-2023《民用无人驾驶航空器系统安全要求》作为中国民用无人机领域首项强制性国家标准，其实施标志着无人机监管进入有标可依的新阶段，此后一系列低空强制性国家标准将陆续发布和实施。其中，GB46750-2025《民用无人驾驶航空器系统运行识别规范》和GB46761-2025《民用轻小型无人驾驶航空器实名登记及激活要求》将于 2026 年5 月 1 日正式启用，这两项标准和运营活动及终端用户直接相关。GB46860-2025《民用无人驾驶航空器唯一产品识别码》将于 2027 年 1 月 1 日实施，该标准要求无人机实现一机一码，并一码定终身</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[11]</w:t>
      </w:r>
      <w:r>
        <w:rPr>
          <w:rFonts w:hint="eastAsia" w:ascii="Segoe UI" w:hAnsi="Segoe UI" w:eastAsia="宋体" w:cs="Segoe UI"/>
          <w:i w:val="0"/>
          <w:iCs w:val="0"/>
          <w:caps w:val="0"/>
          <w:spacing w:val="0"/>
          <w:sz w:val="24"/>
          <w:szCs w:val="24"/>
          <w:shd w:val="clear" w:fill="FFFFFF"/>
          <w:lang w:val="en-US" w:eastAsia="zh-CN"/>
        </w:rPr>
        <w:t>。</w:t>
      </w:r>
    </w:p>
    <w:p w14:paraId="39BFC753">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drawing>
          <wp:inline distT="0" distB="0" distL="114300" distR="114300">
            <wp:extent cx="5269865" cy="1995170"/>
            <wp:effectExtent l="0" t="0" r="6985" b="508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1"/>
                    <a:stretch>
                      <a:fillRect/>
                    </a:stretch>
                  </pic:blipFill>
                  <pic:spPr>
                    <a:xfrm>
                      <a:off x="0" y="0"/>
                      <a:ext cx="5269865" cy="1995170"/>
                    </a:xfrm>
                    <a:prstGeom prst="rect">
                      <a:avLst/>
                    </a:prstGeom>
                    <a:noFill/>
                    <a:ln>
                      <a:noFill/>
                    </a:ln>
                  </pic:spPr>
                </pic:pic>
              </a:graphicData>
            </a:graphic>
          </wp:inline>
        </w:drawing>
      </w:r>
    </w:p>
    <w:p w14:paraId="7D30EED1">
      <w:pPr>
        <w:keepNext w:val="0"/>
        <w:keepLines w:val="0"/>
        <w:pageBreakBefore w:val="0"/>
        <w:widowControl/>
        <w:numPr>
          <w:ilvl w:val="0"/>
          <w:numId w:val="6"/>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80" w:firstLineChars="200"/>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标准建设重点</w:t>
      </w:r>
    </w:p>
    <w:p w14:paraId="614EB1D3">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人员管理标准。重点开展操控员的资质和培训等标准制修订。</w:t>
      </w:r>
    </w:p>
    <w:p w14:paraId="3AAC6432">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运营与应急管理标准。重点开展民用无人驾驶航空器系统运行管理、低空运营企 业市场经营管理等标准制修订。</w:t>
      </w:r>
    </w:p>
    <w:p w14:paraId="6BDCD767">
      <w:pPr>
        <w:keepNext w:val="0"/>
        <w:keepLines w:val="0"/>
        <w:pageBreakBefore w:val="0"/>
        <w:widowControl/>
        <w:numPr>
          <w:ilvl w:val="2"/>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2"/>
        <w:rPr>
          <w:rFonts w:hint="eastAsia" w:ascii="Segoe UI" w:hAnsi="Segoe UI" w:eastAsia="宋体" w:cs="Segoe UI"/>
          <w:b/>
          <w:bCs/>
          <w:i w:val="0"/>
          <w:iCs w:val="0"/>
          <w:caps w:val="0"/>
          <w:spacing w:val="0"/>
          <w:sz w:val="24"/>
          <w:szCs w:val="24"/>
          <w:shd w:val="clear" w:fill="FFFFFF"/>
          <w:lang w:val="en-US" w:eastAsia="zh-CN"/>
        </w:rPr>
      </w:pPr>
      <w:r>
        <w:rPr>
          <w:rFonts w:hint="eastAsia"/>
          <w:b/>
          <w:bCs/>
          <w:sz w:val="24"/>
          <w:szCs w:val="24"/>
          <w:lang w:val="en-US" w:eastAsia="zh-CN"/>
        </w:rPr>
        <w:t xml:space="preserve"> 应用场景标准</w:t>
      </w:r>
    </w:p>
    <w:p w14:paraId="7532D83A">
      <w:pPr>
        <w:keepNext w:val="0"/>
        <w:keepLines w:val="0"/>
        <w:pageBreakBefore w:val="0"/>
        <w:widowControl/>
        <w:numPr>
          <w:ilvl w:val="0"/>
          <w:numId w:val="7"/>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80" w:firstLineChars="200"/>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标准详情</w:t>
      </w:r>
    </w:p>
    <w:p w14:paraId="6129F640">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应用场景标准包括农业、交通、能源、测绘、文旅、体育、 医疗救护、气象、国土、海洋和其他标准。该领域标准呈现场景细分、多点突破的特点，已发布的标准覆盖农业、物流、医疗救护等多个领域，例如GB/T 43668—2024《物流无人机货物吊挂控制通用要求》、GB/T 44167—2024《大型货运无人机系统通用要求》以及MH/T 1080-2025《通用航空医疗救护服务指南》等</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[12]</w:t>
      </w:r>
      <w:r>
        <w:rPr>
          <w:rFonts w:hint="eastAsia" w:ascii="Segoe UI" w:hAnsi="Segoe UI" w:eastAsia="宋体" w:cs="Segoe UI"/>
          <w:i w:val="0"/>
          <w:iCs w:val="0"/>
          <w:caps w:val="0"/>
          <w:spacing w:val="0"/>
          <w:sz w:val="24"/>
          <w:szCs w:val="24"/>
          <w:shd w:val="clear" w:fill="FFFFFF"/>
          <w:lang w:val="en-US" w:eastAsia="zh-CN"/>
        </w:rPr>
        <w:t>。</w:t>
      </w:r>
    </w:p>
    <w:p w14:paraId="49300E35">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pPr>
      <w:r>
        <w:drawing>
          <wp:inline distT="0" distB="0" distL="114300" distR="114300">
            <wp:extent cx="5271135" cy="3081655"/>
            <wp:effectExtent l="0" t="0" r="5715" b="444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2"/>
                    <a:stretch>
                      <a:fillRect/>
                    </a:stretch>
                  </pic:blipFill>
                  <pic:spPr>
                    <a:xfrm>
                      <a:off x="0" y="0"/>
                      <a:ext cx="5271135" cy="3081655"/>
                    </a:xfrm>
                    <a:prstGeom prst="rect">
                      <a:avLst/>
                    </a:prstGeom>
                    <a:noFill/>
                    <a:ln>
                      <a:noFill/>
                    </a:ln>
                  </pic:spPr>
                </pic:pic>
              </a:graphicData>
            </a:graphic>
          </wp:inline>
        </w:drawing>
      </w:r>
    </w:p>
    <w:p w14:paraId="06C986E5">
      <w:pPr>
        <w:keepNext w:val="0"/>
        <w:keepLines w:val="0"/>
        <w:pageBreakBefore w:val="0"/>
        <w:widowControl/>
        <w:numPr>
          <w:ilvl w:val="0"/>
          <w:numId w:val="7"/>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80" w:firstLineChars="200"/>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标准建设重点</w:t>
      </w:r>
    </w:p>
    <w:p w14:paraId="192C3292">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rPr>
      </w:pPr>
    </w:p>
    <w:p w14:paraId="091AE1C2">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农业标准。重点开展低空航空器智慧农业应用技术规范、作业规程、作业质量评 估，以及智能化管理平台等标准制修订。</w:t>
      </w:r>
    </w:p>
    <w:p w14:paraId="3920835D">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交通标准。重点开展低空交通通用、低空交通物流、交通基础设施低空巡航与巡 检、交通低空应急救援等标准制修订。</w:t>
      </w:r>
    </w:p>
    <w:p w14:paraId="2F5AA40F">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能源标准。重点开展低空航空器电力设备巡检技术规范、试验方法、工作规程、 管理系统、评估技术、应用管理系统等标准，以及低空航空器油气管道、场站及储库  的巡检及监测技术规范、试验方法、工作规程、管理系统、评估技术、应用管理系统  等标准制修订。</w:t>
      </w:r>
    </w:p>
    <w:p w14:paraId="0B9E2F16">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测绘标准。重点开展低空数字地图测绘、无人机应急测绘、低空空域测绘等标准 制修订。</w:t>
      </w:r>
    </w:p>
    <w:p w14:paraId="325CF070">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文旅标准。重点开展低空航空器光影表演技术规范、低空观光旅游安全规程、低 空航空器+VR/AR融合应用等标准制修订。</w:t>
      </w:r>
    </w:p>
    <w:p w14:paraId="144F36CE">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体育标准。重点开展低空运动、航空模型运动、模拟飞行等标准制修订。</w:t>
      </w:r>
    </w:p>
    <w:p w14:paraId="29B8C112">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医疗救护标准。重点开展低空航空器伤员患者、医疗物资转运等低空医疗救护相 关标准制修订。</w:t>
      </w:r>
    </w:p>
    <w:p w14:paraId="69713DF6">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气象标准。重点开展多旋翼无人机气象探测系统测试方法、人工影响天气无人机 等标准制修订。</w:t>
      </w:r>
    </w:p>
    <w:p w14:paraId="3900A475">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国土标准。重点开展低空空域规划、低空用途管制、低空新基建布局、低空资源 规划“一张图”建设等标准，以及陆域/海洋航空重力、航空磁力、航空电磁、航空  放射性、航空遥感地质等勘查技术方法标准制修订。</w:t>
      </w:r>
    </w:p>
    <w:p w14:paraId="16456660">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海洋标准。重点开展低空海洋环境监测、低空海岸带地形调查、低空海岛调查等 标准制修订。</w:t>
      </w:r>
    </w:p>
    <w:p w14:paraId="3D866B53">
      <w:pPr>
        <w:keepNext w:val="0"/>
        <w:keepLines w:val="0"/>
        <w:pageBreakBefore w:val="0"/>
        <w:widowControl/>
        <w:numPr>
          <w:ilvl w:val="1"/>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1"/>
        <w:rPr>
          <w:rFonts w:hint="eastAsia"/>
          <w:b/>
          <w:bCs/>
          <w:sz w:val="24"/>
          <w:szCs w:val="24"/>
          <w:lang w:val="en-US" w:eastAsia="zh-CN"/>
        </w:rPr>
      </w:pPr>
      <w:bookmarkStart w:id="10" w:name="_Toc5400"/>
      <w:r>
        <w:rPr>
          <w:rFonts w:hint="eastAsia"/>
          <w:b/>
          <w:bCs/>
          <w:sz w:val="24"/>
          <w:szCs w:val="24"/>
          <w:lang w:val="en-US" w:eastAsia="zh-CN"/>
        </w:rPr>
        <w:t>标准建设目标</w:t>
      </w:r>
      <w:bookmarkEnd w:id="10"/>
    </w:p>
    <w:p w14:paraId="6C249EBC">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充分发挥我国无人驾  驶航空器领域技术先发优势与低空经济超大规模市场优势，推进 低空经济领域标准国际化合作，深化与国际标准化组织及主要经 济体的交流合作，推动我国低空经济标准与国际接轨，打造具有 全球竞争力的低空经济标准新高地。</w:t>
      </w:r>
    </w:p>
    <w:p w14:paraId="5E4ABE1C">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到 2027 年，低空经济标准体系基本建立，基本满足低空经 济安全健康发展需求。到 2030 年，低空经济领域标准超过 300 项，结构优化、先进合理、国际兼容的低空经济标准体系基本形 成，为低空经济安全健康发展提供有力支撑。</w:t>
      </w:r>
    </w:p>
    <w:p w14:paraId="57B00B99">
      <w:pPr>
        <w:keepNext w:val="0"/>
        <w:keepLines w:val="0"/>
        <w:pageBreakBefore w:val="0"/>
        <w:widowControl/>
        <w:numPr>
          <w:ilvl w:val="0"/>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0"/>
        <w:rPr>
          <w:rFonts w:hint="default"/>
          <w:b/>
          <w:bCs/>
          <w:sz w:val="28"/>
          <w:szCs w:val="28"/>
          <w:lang w:val="en-US" w:eastAsia="zh-CN"/>
        </w:rPr>
      </w:pPr>
      <w:bookmarkStart w:id="11" w:name="_Toc18658"/>
      <w:r>
        <w:rPr>
          <w:rFonts w:hint="eastAsia"/>
          <w:b/>
          <w:bCs/>
          <w:sz w:val="28"/>
          <w:szCs w:val="28"/>
          <w:lang w:val="en-US" w:eastAsia="zh-CN"/>
        </w:rPr>
        <w:t>低空经济场景</w:t>
      </w:r>
      <w:bookmarkEnd w:id="11"/>
    </w:p>
    <w:p w14:paraId="114761DD">
      <w:pPr>
        <w:keepNext w:val="0"/>
        <w:keepLines w:val="0"/>
        <w:pageBreakBefore w:val="0"/>
        <w:widowControl/>
        <w:numPr>
          <w:ilvl w:val="1"/>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1"/>
        <w:rPr>
          <w:rFonts w:hint="eastAsia"/>
          <w:b/>
          <w:bCs/>
          <w:sz w:val="24"/>
          <w:szCs w:val="24"/>
          <w:lang w:val="en-US" w:eastAsia="zh-CN"/>
        </w:rPr>
      </w:pPr>
      <w:bookmarkStart w:id="12" w:name="_Toc22737"/>
      <w:r>
        <w:rPr>
          <w:rFonts w:hint="eastAsia"/>
          <w:b/>
          <w:bCs/>
          <w:sz w:val="24"/>
          <w:szCs w:val="24"/>
          <w:lang w:val="en-US" w:eastAsia="zh-CN"/>
        </w:rPr>
        <w:t>场景核心要素</w:t>
      </w:r>
      <w:bookmarkEnd w:id="12"/>
    </w:p>
    <w:p w14:paraId="2CADBDF3">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精准把握低空经济场景的构成要素与运行逻辑，是推动低空经济高质量发展的重要前提。场景核心要素分为内在核心和外在支撑，如同家电下乡，其内在核心为农民的消费能力，外在支撑为国家前期实现水、电、路、气、宽带“五通”下乡，覆盖到行政村一级。内在核心的五大内在基本要素定义了场景的“核心价值”，外在支撑的四大外部环境要素决定了这一价值能否被“有效转化”，两者共同构建起一个更为完整的“5+4”要素体系，旨在厘清各要素如何共同驱动低空经济场景的价值创造与演进。</w:t>
      </w:r>
    </w:p>
    <w:p w14:paraId="16D3CAA0">
      <w:pPr>
        <w:keepNext w:val="0"/>
        <w:keepLines w:val="0"/>
        <w:pageBreakBefore w:val="0"/>
        <w:widowControl/>
        <w:numPr>
          <w:ilvl w:val="2"/>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2"/>
        <w:rPr>
          <w:rFonts w:hint="eastAsia" w:ascii="Segoe UI" w:hAnsi="Segoe UI" w:eastAsia="Segoe UI" w:cs="Segoe UI"/>
          <w:b/>
          <w:bCs/>
          <w:i w:val="0"/>
          <w:iCs w:val="0"/>
          <w:caps w:val="0"/>
          <w:spacing w:val="0"/>
          <w:sz w:val="24"/>
          <w:szCs w:val="24"/>
          <w:shd w:val="clear" w:fill="FFFFFF"/>
          <w:lang w:val="en-US" w:eastAsia="zh-CN"/>
        </w:rPr>
      </w:pPr>
      <w:r>
        <w:rPr>
          <w:rFonts w:hint="eastAsia"/>
          <w:b/>
          <w:bCs/>
          <w:sz w:val="24"/>
          <w:szCs w:val="24"/>
          <w:lang w:val="en-US" w:eastAsia="zh-CN"/>
        </w:rPr>
        <w:t xml:space="preserve"> 内在核心：场景本体五大要素</w:t>
      </w:r>
    </w:p>
    <w:p w14:paraId="1AB2204B">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低空经济场景的内在核心：载运装备、作业装备、关键技术、行业分类、实现功能，回答了如下几个问题：运用什么低空载运装备、搭载什么低空作业装备、依靠什么低空相关关键技术、面向什么国民经济行业分类、实现何种功能。</w:t>
      </w:r>
    </w:p>
    <w:p w14:paraId="7935644E">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载运装备</w:t>
      </w:r>
    </w:p>
    <w:p w14:paraId="1E30748D">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载运装备，即载具，是低空经济场景的物理实体，是低空技术集成与功能实现的“移动平台”，其类型与性能直接定义了应用场景的基本形态与能力边界。不同装备对应不同的场景需求。例如，多旋翼无人机凭借其卓越的悬停与低速机动性，成为农业植保、影视航拍等精细化作业场景的首选；而多种构型的eVTOL融合了直升机的垂直起降与固定翼的高效巡航能力，为城市空中交通（UAM）提供了颠覆性的解决方案； 区域物流干线运输场景，未来则可能由具备长航时、大载重优势的大型无人货运固定翼飞机来主导。</w:t>
      </w:r>
    </w:p>
    <w:p w14:paraId="47EBC21F">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当前，载运装备正朝着专业化、平台化、智能化方向加速演进。随着先进复合材料、电池能量密度、新能源动力系统、飞控算法等技术领域的持续突破，载运装备将在长续航、轻量化、低噪音、低运维成本等方面实现质的飞跃，未来也必将涌现出更多为特定场景深度定制的载运装备，从而持续开拓低空经济的物理实现范围。</w:t>
      </w:r>
    </w:p>
    <w:p w14:paraId="728DDCD4">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作业装备</w:t>
      </w:r>
    </w:p>
    <w:p w14:paraId="173AEBD4">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作业装备，即载荷，是加装于载运装备之上的“任务执行单元”，它使载运装备从基础移动平台升级为具备特定作业能力的智能工具。如果说载运装备是“身体”，那么作业装备就是实现具体应用的“手”“眼”“鼻”等。作业装备的专业化与智能化水平，决定了场景价值的深度与广度。例如，高光谱成像与激光雷达（LiDAR）载荷使无人机化身为“空中测绘师”，在精准农业、矿产勘探领域实现数据采集的革命；高精度喷洒系统与外吊挂装置，使无人机在农林植保、消防灭火等场景中，从“看得见”升级为“办得成”；而专用的保温货箱、应急医疗舱等任务吊舱，则是确保生鲜配送、紧急血样运输等场景服务质量的关键。</w:t>
      </w:r>
    </w:p>
    <w:p w14:paraId="37C98A91">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当前，作业装备正朝着模块化、标准化、智能化方向加速迭代。随着传感器微型化、边缘计算及人工智能等技术的深度融合，未来作业装备有望实现“即插即用”，这将显著增强载运装备在多任务场景下的适应性，而日益丰富的载荷方案也将有效解决各行业的痛点与难点，从而开拓出更为广阔的应用领域。</w:t>
      </w:r>
    </w:p>
    <w:p w14:paraId="17ACD0BA">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关键技术</w:t>
      </w:r>
    </w:p>
    <w:p w14:paraId="3DC8A8FE">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关键技术是驱动低空经济场景高效、安全、智能运行的底层能力集合，其成熟度直接决定了场景能否从实验性探索走向规模化落地。不同技术簇对应不同的能力维度。例如，高精度定位与自主避障技术是飞行器在复杂城市环境中安全穿行的前提，支撑着楼宇间无人机配送场景的可行性；低空感知与智能调度技术作为管理海量飞行器有序运行的中枢，是未来城市空中交通（UAM）的核心保障；而先进的图像处理与机器视觉技术，则让电力巡检、安防巡逻等场景从“数据采集”升级为“智能诊断”。</w:t>
      </w:r>
    </w:p>
    <w:p w14:paraId="21DFD978">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当前，科技创新的浪潮正推动低空经济相关关键技术不断突破壁垒，感知避障、智能调度、高精度定位、长航时动力及超低延迟通信等关键技术的每一次进步，都在突破低空应用的瓶颈，这些进步共同拓展了低空经济场景应用的可行域，并有效降低了运营成本，从而推动低空经济从“概念可行”迈向“商业成熟”。</w:t>
      </w:r>
    </w:p>
    <w:p w14:paraId="6734A265">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行业分类</w:t>
      </w:r>
    </w:p>
    <w:p w14:paraId="00861932">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行业分类为低空经济场景提供了明确的应用领域，是技术价值与商业模式在国民经济体系中的具体锚点， 回答了“为谁服务”的根本问题，指引着资源投入与市场开拓的方向，无论是农、林、牧、渔业，还是交通运输、仓储和邮政业等，每个行业都有其独特的痛点和价值逻辑，低空技术正以其高度渗透性与适应性，精准切入各行业独特痛点，重塑传统作业模式，催生全新解决方案。例如，在农林牧渔领域，无人机植保、播种与牧群监测已成为智慧农业的标准实践；在电力与能源行业，无人机自动巡检电网管网，大幅提升了运维安全与效率；在应急救灾、环保监测、文化娱乐等行业，低空应用同样展现出颠覆性潜力；而在交通运输与物流领域，无人机快递、eVTOL 客运正叠加传统通用航空，共同探索构建“立体化”交通新维度。</w:t>
      </w:r>
    </w:p>
    <w:p w14:paraId="2F931157">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当前，低空经济与各行业的融合正经历从“工具替代”到“模式革新”，并加速迈向“生态重构”的深刻变革。未来，“行业+低空”的深度融合将不再仅仅局限于解决行业痛点或提升效率，而是推动产业链条、服务逻辑与商业范式的系统性重塑，低空经济将持续催生一批跨领域的新兴细分市场，形成“以空补陆、以空促产、以空兴服”的融合生态。</w:t>
      </w:r>
    </w:p>
    <w:p w14:paraId="06A900FB">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实现功能</w:t>
      </w:r>
    </w:p>
    <w:p w14:paraId="769E425A">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实现功能是低空经济场景最终为用户和社会贡献的核心价值，是所有技术、装备与行业应用的出发点和落脚点，具体体现了低空经济“解决何种问题、满足何种需求”，是检验场景成功与否的最终标准。无论是提升效率、降低成本、创造新体验还是解决传统难题，清晰的价值主张是场景可持续发展的根本，不同功能对应不同价值。例如，在生产作业端，低空经济场景实现的功能在于提升效率及降低成本等，如无人机自动化巡检将人工数周任务压缩至数小时、精准农业无人机减少农药使用量与人力投入；在消费端，其实现的功能在于满足即时需求及优化体验等，如急救药品和生鲜产品的快速送达、低空飞行提供的独特观光视角。再例如， 在应急救援场景中，使用无人机可快速建立应急通信中继。据 2025 年 10 月 16 日应急管理部季度例行新闻发布会介绍，到目前为止，应急管理部已在全国配备了 8 架大型通信无人机，为各地配备了 240 余架中大型通信无人机，形成了 8 小时通信圈，在 2025 年的汛期应对当中，应急部会同工信部调度了各地的通信无人机，在“三断”区域建立公网通信，为受灾群众提供通信服务 3.2 万余次，搭建起应急通信的“生命线”。</w:t>
      </w:r>
    </w:p>
    <w:p w14:paraId="28FB36F1">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当前，低空经济的功能正从“替代人力”与“提升效率”向“创造新价值”跃迁。未来，随着场景的丰富与技术的不断成熟，低空经济将不仅仅能解决既有生产生活问题，更将催生全新需求与商业模式，这些功能演进将推动低空经济从工具性应用升维为不可或缺的新质生产力。</w:t>
      </w:r>
    </w:p>
    <w:p w14:paraId="5D31760F">
      <w:pPr>
        <w:keepNext w:val="0"/>
        <w:keepLines w:val="0"/>
        <w:pageBreakBefore w:val="0"/>
        <w:widowControl/>
        <w:numPr>
          <w:ilvl w:val="2"/>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2"/>
        <w:rPr>
          <w:rFonts w:hint="eastAsia" w:ascii="Segoe UI" w:hAnsi="Segoe UI" w:eastAsia="Segoe UI" w:cs="Segoe UI"/>
          <w:b/>
          <w:bCs/>
          <w:i w:val="0"/>
          <w:iCs w:val="0"/>
          <w:caps w:val="0"/>
          <w:spacing w:val="0"/>
          <w:sz w:val="24"/>
          <w:szCs w:val="24"/>
          <w:shd w:val="clear" w:fill="FFFFFF"/>
          <w:lang w:val="en-US" w:eastAsia="zh-CN"/>
        </w:rPr>
      </w:pPr>
      <w:r>
        <w:rPr>
          <w:rFonts w:hint="eastAsia"/>
          <w:b/>
          <w:bCs/>
          <w:sz w:val="24"/>
          <w:szCs w:val="24"/>
          <w:lang w:val="en-US" w:eastAsia="zh-CN"/>
        </w:rPr>
        <w:t xml:space="preserve"> 外部支撑：场景实现的四大环境要素</w:t>
      </w:r>
    </w:p>
    <w:p w14:paraId="1279F979">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低空经济场景的孕育与繁荣，依赖于一个由低空空域、基础设施、政策法规、安全风险这四个要素组成的支撑性外部环境，这些要素相互关联，共同决定了场景从“概念”到“落地”、从“试点”到“常态”、从“可飞”到“好飞”。</w:t>
      </w:r>
    </w:p>
    <w:p w14:paraId="579ACC85">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低空空域</w:t>
      </w:r>
    </w:p>
    <w:p w14:paraId="6E35EF90">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低空空域是低空经济场景运行的根本载体，作为自然性资源，其地位如同土地之于农业、航道之于航运，其可用性、可及性与使用效率，直接决定了低空经济场景活动的范围、规模与运营成本。根据现行空域管理实践，低空空域垂直范围原则为真高 1000 米以下，部分地区可根据实际需求延伸至真高 3000 米以下。创新精细划设、动态分配、协同运行等空域管理新技术新方案是释放空域容量、提升场景运行效率与安全的关键。目前，各地在低空空域管理创新方面已展开多项前沿探索。例如，在精细划设方面，成都淮州机场首创“阶梯式”空域管理系统，将 900—1800 米空域精细划分为六个功能层，为不同性能、不同任务的航空器划定专属“航路”，实现“以高度提升安全裕度，以结构提升飞行自由度”；在动态分配方面，重庆永川大安通用机场于 2024 年完成国内首次低空空域实时灵活转换与安全核心技术验证试验，实现了“数字化空域动态管理”等关键技术的飞行演示验证，其独创的“三维网格调度算法”可根据气象、电磁、地形等环境参数动态分配空域资源，使单位面积飞行器容量提升至 20 架/平方公里，相当于地面交通的 40 倍通行效率；在协同运行方面，杭州市于 2025 年 9 月发布了《杭州市低空飞行共同约定（暂行）》，要求运行人必须与市低空综合监管服务平台实现数据对接，并按规定时间和方式提报用空申请和飞行计划，通过行业自律建立安全规范，既能减轻政府监管压力，也能提升整个行业的安全运行水平。</w:t>
      </w:r>
    </w:p>
    <w:p w14:paraId="2759C29E">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当前，低空空域正经历从“试点开放”向数字化、动态化、自主化与法治化方向演进。未来，基于数字化平台的统一、智能空域管理将成为主流方向，人工智能、大数据、时空计算、物联网等技术的深度融合将推动低空空域从一种有待开发的“自然资源”转变为可精准管理、高效运营、持续增值的“生产要素”。</w:t>
      </w:r>
    </w:p>
    <w:p w14:paraId="415ABCE8">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基础设施</w:t>
      </w:r>
    </w:p>
    <w:p w14:paraId="2A1B4D8F">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低空基础设施是低空经济场景落地不可或缺的物理保障，包括起降设施、能源补能站、通信网络、导航系统等，共同构建起低空运营的“骨骼系统”。没有广覆盖、高可靠、智能化的基础设施网络，任何规模化、商业化的低空应用场景都难以持续推进。基础设施的覆盖密度与智能化水平，直接影响了场景的覆盖范围、运行效率和终端用户体验。例如，遍布城市的垂直起降场与充电/加氢站是未来城市空中交通（UAM）的“停车场”和“加油站”，其布局密度直接影响服务的可达性与便捷性；无缝覆盖的低空通信导航网络则是低空航空器在楼宇峡谷间实现高精度定位、实时数据传输和智能避障的“生命线”；而低空智联网则是统筹管理低空高密度、高频次飞行的“交通大脑”。</w:t>
      </w:r>
    </w:p>
    <w:p w14:paraId="7E95477C">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当前，低空基础设施正从“点状建设”向“网络化协同”演进，并加速迈向“智慧化、数字化、融合化”阶段。未来，基础设施将不再局限于孤立的物理节点， 而是逐步发展成“智能网联系统”，实现人流、物流、信息流的高效交互，低空经济将依托标准化、公共化的基础设施体系，推动“低空+”模式深入生产生活各个领域，为低空经济场景规模化发展奠定坚实基础。</w:t>
      </w:r>
    </w:p>
    <w:p w14:paraId="5E9CC444">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政策法规</w:t>
      </w:r>
    </w:p>
    <w:p w14:paraId="46506131">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政策法规是低空经济场景安全健康发展的制度基础，通过法律法规、标准规范与监管机制，为空域使用、安全运行、市场准入等关键环节划定边界与规则，为所有参与者提供稳定的预期，并通过财政补贴、税收减免、政府采购等政策工具降低企业进入成本，加速场景从试点试验走向商业化。科学、高效、适配且与产业发展阶段相匹配的法规体系与产业政策是释放场景潜力的“制度加速器”。以空中游览为例，为确保这一新兴业态的安全性，中国民用航空局于 2025 年 9月发布《空中游览市场管理暂行办法》（民航规〔2025〕19号）和《跳伞飞行服务市场管理暂行办法》（民航规〔2025〕 20 号）， 明确开展空中游览和跳伞飞行服务的通用航空企业市场准入条件，从源头严把安全准入关，在强有力的监管护航下，低空旅游有望迎来更加规范、稳健的发展前景。</w:t>
      </w:r>
    </w:p>
    <w:p w14:paraId="01C1249B">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当前，政策法规体系正经历从“滞后应对”到“前瞻引领”的深刻转变，这一点在适航管理领域尤为凸显。未来，政策法规制定将更加注重弹性与创新友好，通过“沙盒监管”和动态评估等机制，支持跨界融合与场景迭代，在法治轨道的有力支撑下，更多低空经济场景将从试点示范走向规模化应用，最终构建起“以规促创、以法保安全”的可持续生态格局。</w:t>
      </w:r>
    </w:p>
    <w:p w14:paraId="7822DCC8">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安全风险</w:t>
      </w:r>
    </w:p>
    <w:p w14:paraId="2AC21C14">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安全是低空经济可持续发展的基石，是支撑所有商业价值与社会效益的“1”，其余要素皆为后面的“0”。安全风险涉及飞行安全、公共安全、数据安全等多个维度，安全风险的识别、评估与分级管控能力，直接决定了社会公众的接受度与行业发展的可持续性，无论是技术故障、人为因素还是外部干扰，每个风险点都可能无限放大场景应用的负面影响。构建健全的安全体系不仅为场景规模化提供了必要的“社会许可”，也为技术演进与模式创新创造了容错空间。低空技术正通过冗余设计、智能预警与联防联控等，推动安全管理从“事后处置”向“事前防控”转型。例如，在无人机物流场景中，多模态避障与双备份电源显著降低了碰撞风险；在 eVTOL 客运领域，上海沃兰特航空技术有限责任公司的 VE25 机型需满足中国民用航空局对各系统的高等级适航审定——小到一个电机的故障冗余，大到飞控系统的应急响应，都需通过局方严苛的安全认证。</w:t>
      </w:r>
    </w:p>
    <w:p w14:paraId="4C080DDC">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当前，如何平衡技术创新与公共安全已成为推动低空经济发展的关键议题，其快速发展也倒逼监管体系的不断建设与探索。未来，安全保障体系或将朝着“主动预警、自主决策、自动处置”的方向演进，借助数字孪生、人工智能等技术实现风险模拟与预案优化，逐步构建公众放心、监管高效的低空安全新生态。</w:t>
      </w:r>
    </w:p>
    <w:p w14:paraId="6A8B9670">
      <w:pPr>
        <w:keepNext w:val="0"/>
        <w:keepLines w:val="0"/>
        <w:pageBreakBefore w:val="0"/>
        <w:widowControl/>
        <w:numPr>
          <w:ilvl w:val="1"/>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1"/>
        <w:rPr>
          <w:rFonts w:hint="eastAsia"/>
          <w:b/>
          <w:bCs/>
          <w:sz w:val="24"/>
          <w:szCs w:val="24"/>
          <w:lang w:val="en-US" w:eastAsia="zh-CN"/>
        </w:rPr>
      </w:pPr>
      <w:bookmarkStart w:id="13" w:name="_Toc7571"/>
      <w:r>
        <w:rPr>
          <w:rFonts w:hint="eastAsia"/>
          <w:b/>
          <w:bCs/>
          <w:sz w:val="24"/>
          <w:szCs w:val="24"/>
          <w:lang w:val="en-US" w:eastAsia="zh-CN"/>
        </w:rPr>
        <w:t>低空经济场景价值矩阵构建</w:t>
      </w:r>
      <w:bookmarkEnd w:id="13"/>
    </w:p>
    <w:p w14:paraId="5D362707">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为将低空经济场景九大要素的理论分析转化为可操作的战略决策工具，本章将复杂的场景生态解构为供给侧与需求侧两大维度，并分别建立五级成熟度与成长度评价体系，进而构建“低空经济场景价值矩阵”， 以期对场景进行量化评估与可视化定位，为政府、企业和投资者提供一个清晰的决策罗盘。</w:t>
      </w:r>
    </w:p>
    <w:p w14:paraId="4985CAB4">
      <w:pPr>
        <w:keepNext w:val="0"/>
        <w:keepLines w:val="0"/>
        <w:pageBreakBefore w:val="0"/>
        <w:widowControl/>
        <w:numPr>
          <w:ilvl w:val="2"/>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2"/>
        <w:rPr>
          <w:rFonts w:hint="eastAsia" w:ascii="Segoe UI" w:hAnsi="Segoe UI" w:eastAsia="Segoe UI" w:cs="Segoe UI"/>
          <w:b/>
          <w:bCs/>
          <w:i w:val="0"/>
          <w:iCs w:val="0"/>
          <w:caps w:val="0"/>
          <w:spacing w:val="0"/>
          <w:sz w:val="24"/>
          <w:szCs w:val="24"/>
          <w:shd w:val="clear" w:fill="FFFFFF"/>
          <w:lang w:val="en-US" w:eastAsia="zh-CN"/>
        </w:rPr>
      </w:pPr>
      <w:r>
        <w:rPr>
          <w:rFonts w:hint="eastAsia"/>
          <w:b/>
          <w:bCs/>
          <w:sz w:val="24"/>
          <w:szCs w:val="24"/>
          <w:lang w:val="en-US" w:eastAsia="zh-CN"/>
        </w:rPr>
        <w:t xml:space="preserve"> 供给侧成熟度评价（S1-S5）</w:t>
      </w:r>
    </w:p>
    <w:p w14:paraId="09D09D6F">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sectPr>
          <w:headerReference r:id="rId3" w:type="default"/>
          <w:footerReference r:id="rId4" w:type="default"/>
          <w:pgSz w:w="11906" w:h="16838"/>
          <w:pgMar w:top="1440" w:right="1800" w:bottom="1440" w:left="1800" w:header="851" w:footer="992" w:gutter="0"/>
          <w:cols w:space="425" w:num="1"/>
          <w:docGrid w:type="lines" w:linePitch="312" w:charSpace="0"/>
        </w:sectPr>
      </w:pPr>
      <w:r>
        <w:rPr>
          <w:rFonts w:hint="default" w:ascii="Segoe UI" w:hAnsi="Segoe UI" w:eastAsia="宋体" w:cs="Segoe UI"/>
          <w:i w:val="0"/>
          <w:iCs w:val="0"/>
          <w:caps w:val="0"/>
          <w:spacing w:val="0"/>
          <w:sz w:val="24"/>
          <w:szCs w:val="24"/>
          <w:shd w:val="clear" w:fill="FFFFFF"/>
          <w:lang w:val="en-US" w:eastAsia="zh-CN"/>
        </w:rPr>
        <w:t>供给侧成熟度是衡量一个低空经济场景从技术构想到商业化落地能力的核心指标，它综合反映了支撑场景运行所需的物理实体、底层技术、基础设施及空域资源等方面的完备程度。基于此，结合前文对场景各要素的解析，该评价体系选取载运装备、作业装备、关键技术、低空空域和基础设施这五个要素，即围绕 “装备—载荷—技术—空域—设施”五大供给核心展开评估。为了将供给侧成熟度进行量化，我们将其分为从概念原型到生态融合的五级成熟度模型(S1-S5)，并尝试为每个等级给出较为明确的特征定义，详见表1。</w:t>
      </w:r>
    </w:p>
    <w:tbl>
      <w:tblPr>
        <w:tblStyle w:val="19"/>
        <w:tblW w:w="1395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60"/>
        <w:gridCol w:w="2131"/>
        <w:gridCol w:w="2046"/>
        <w:gridCol w:w="2042"/>
        <w:gridCol w:w="2042"/>
        <w:gridCol w:w="2044"/>
        <w:gridCol w:w="2090"/>
      </w:tblGrid>
      <w:tr w14:paraId="0D512E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5" w:hRule="atLeast"/>
        </w:trPr>
        <w:tc>
          <w:tcPr>
            <w:tcW w:w="1560" w:type="dxa"/>
            <w:vMerge w:val="restart"/>
            <w:tcBorders>
              <w:bottom w:val="nil"/>
            </w:tcBorders>
            <w:vAlign w:val="top"/>
          </w:tcPr>
          <w:p w14:paraId="71DBD339">
            <w:pPr>
              <w:spacing w:line="288" w:lineRule="auto"/>
              <w:rPr>
                <w:rFonts w:ascii="Arial"/>
                <w:sz w:val="21"/>
                <w:szCs w:val="21"/>
              </w:rPr>
            </w:pPr>
          </w:p>
          <w:p w14:paraId="53E7EAA3">
            <w:pPr>
              <w:spacing w:before="68" w:line="219" w:lineRule="auto"/>
              <w:ind w:left="258"/>
              <w:rPr>
                <w:rFonts w:ascii="黑体" w:hAnsi="黑体" w:eastAsia="黑体" w:cs="黑体"/>
                <w:sz w:val="21"/>
                <w:szCs w:val="21"/>
              </w:rPr>
            </w:pPr>
            <w:r>
              <w:rPr>
                <w:rFonts w:ascii="黑体" w:hAnsi="黑体" w:eastAsia="黑体" w:cs="黑体"/>
                <w:spacing w:val="-1"/>
                <w:sz w:val="21"/>
                <w:szCs w:val="21"/>
              </w:rPr>
              <w:t>成熟度等级</w:t>
            </w:r>
          </w:p>
        </w:tc>
        <w:tc>
          <w:tcPr>
            <w:tcW w:w="10305" w:type="dxa"/>
            <w:gridSpan w:val="5"/>
            <w:vAlign w:val="top"/>
          </w:tcPr>
          <w:p w14:paraId="1D3E7CE2">
            <w:pPr>
              <w:spacing w:before="125" w:line="219" w:lineRule="auto"/>
              <w:ind w:left="4632"/>
              <w:rPr>
                <w:rFonts w:ascii="黑体" w:hAnsi="黑体" w:eastAsia="黑体" w:cs="黑体"/>
                <w:sz w:val="21"/>
                <w:szCs w:val="21"/>
              </w:rPr>
            </w:pPr>
            <w:r>
              <w:rPr>
                <w:rFonts w:ascii="黑体" w:hAnsi="黑体" w:eastAsia="黑体" w:cs="黑体"/>
                <w:spacing w:val="-2"/>
                <w:sz w:val="21"/>
                <w:szCs w:val="21"/>
              </w:rPr>
              <w:t>各要素特征</w:t>
            </w:r>
          </w:p>
        </w:tc>
        <w:tc>
          <w:tcPr>
            <w:tcW w:w="2090" w:type="dxa"/>
            <w:vMerge w:val="restart"/>
            <w:tcBorders>
              <w:bottom w:val="nil"/>
            </w:tcBorders>
            <w:vAlign w:val="top"/>
          </w:tcPr>
          <w:p w14:paraId="3FFAC54D">
            <w:pPr>
              <w:spacing w:line="288" w:lineRule="auto"/>
              <w:rPr>
                <w:rFonts w:ascii="Arial"/>
                <w:sz w:val="21"/>
                <w:szCs w:val="21"/>
              </w:rPr>
            </w:pPr>
          </w:p>
          <w:p w14:paraId="2419E4E2">
            <w:pPr>
              <w:spacing w:before="68" w:line="219" w:lineRule="auto"/>
              <w:ind w:left="634"/>
              <w:rPr>
                <w:rFonts w:ascii="黑体" w:hAnsi="黑体" w:eastAsia="黑体" w:cs="黑体"/>
                <w:sz w:val="21"/>
                <w:szCs w:val="21"/>
              </w:rPr>
            </w:pPr>
            <w:r>
              <w:rPr>
                <w:rFonts w:ascii="黑体" w:hAnsi="黑体" w:eastAsia="黑体" w:cs="黑体"/>
                <w:spacing w:val="-3"/>
                <w:sz w:val="21"/>
                <w:szCs w:val="21"/>
              </w:rPr>
              <w:t>总体特征</w:t>
            </w:r>
          </w:p>
        </w:tc>
      </w:tr>
      <w:tr w14:paraId="3C55F4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1560" w:type="dxa"/>
            <w:vMerge w:val="continue"/>
            <w:tcBorders>
              <w:top w:val="nil"/>
            </w:tcBorders>
            <w:vAlign w:val="top"/>
          </w:tcPr>
          <w:p w14:paraId="54BBC908">
            <w:pPr>
              <w:rPr>
                <w:rFonts w:ascii="Arial"/>
                <w:sz w:val="21"/>
                <w:szCs w:val="21"/>
              </w:rPr>
            </w:pPr>
          </w:p>
        </w:tc>
        <w:tc>
          <w:tcPr>
            <w:tcW w:w="2131" w:type="dxa"/>
            <w:vAlign w:val="top"/>
          </w:tcPr>
          <w:p w14:paraId="2FF9CA8C">
            <w:pPr>
              <w:spacing w:before="121" w:line="220" w:lineRule="auto"/>
              <w:ind w:left="646"/>
              <w:rPr>
                <w:rFonts w:ascii="黑体" w:hAnsi="黑体" w:eastAsia="黑体" w:cs="黑体"/>
                <w:sz w:val="21"/>
                <w:szCs w:val="21"/>
              </w:rPr>
            </w:pPr>
            <w:r>
              <w:rPr>
                <w:rFonts w:ascii="黑体" w:hAnsi="黑体" w:eastAsia="黑体" w:cs="黑体"/>
                <w:spacing w:val="-2"/>
                <w:sz w:val="21"/>
                <w:szCs w:val="21"/>
              </w:rPr>
              <w:t>载运装备</w:t>
            </w:r>
          </w:p>
        </w:tc>
        <w:tc>
          <w:tcPr>
            <w:tcW w:w="2046" w:type="dxa"/>
            <w:vAlign w:val="top"/>
          </w:tcPr>
          <w:p w14:paraId="31F4E751">
            <w:pPr>
              <w:spacing w:before="121" w:line="220" w:lineRule="auto"/>
              <w:ind w:left="602"/>
              <w:rPr>
                <w:rFonts w:ascii="黑体" w:hAnsi="黑体" w:eastAsia="黑体" w:cs="黑体"/>
                <w:sz w:val="21"/>
                <w:szCs w:val="21"/>
              </w:rPr>
            </w:pPr>
            <w:r>
              <w:rPr>
                <w:rFonts w:ascii="黑体" w:hAnsi="黑体" w:eastAsia="黑体" w:cs="黑体"/>
                <w:spacing w:val="-1"/>
                <w:sz w:val="21"/>
                <w:szCs w:val="21"/>
              </w:rPr>
              <w:t>作业装备</w:t>
            </w:r>
          </w:p>
        </w:tc>
        <w:tc>
          <w:tcPr>
            <w:tcW w:w="2042" w:type="dxa"/>
            <w:vAlign w:val="top"/>
          </w:tcPr>
          <w:p w14:paraId="2023726F">
            <w:pPr>
              <w:spacing w:before="120" w:line="221" w:lineRule="auto"/>
              <w:ind w:left="613"/>
              <w:rPr>
                <w:rFonts w:ascii="黑体" w:hAnsi="黑体" w:eastAsia="黑体" w:cs="黑体"/>
                <w:sz w:val="21"/>
                <w:szCs w:val="21"/>
              </w:rPr>
            </w:pPr>
            <w:r>
              <w:rPr>
                <w:rFonts w:ascii="黑体" w:hAnsi="黑体" w:eastAsia="黑体" w:cs="黑体"/>
                <w:spacing w:val="-4"/>
                <w:sz w:val="21"/>
                <w:szCs w:val="21"/>
              </w:rPr>
              <w:t>关键技术</w:t>
            </w:r>
          </w:p>
        </w:tc>
        <w:tc>
          <w:tcPr>
            <w:tcW w:w="2042" w:type="dxa"/>
            <w:vAlign w:val="top"/>
          </w:tcPr>
          <w:p w14:paraId="4374107F">
            <w:pPr>
              <w:spacing w:before="120" w:line="221" w:lineRule="auto"/>
              <w:ind w:left="605"/>
              <w:rPr>
                <w:rFonts w:ascii="黑体" w:hAnsi="黑体" w:eastAsia="黑体" w:cs="黑体"/>
                <w:sz w:val="21"/>
                <w:szCs w:val="21"/>
              </w:rPr>
            </w:pPr>
            <w:r>
              <w:rPr>
                <w:rFonts w:ascii="黑体" w:hAnsi="黑体" w:eastAsia="黑体" w:cs="黑体"/>
                <w:spacing w:val="-1"/>
                <w:sz w:val="21"/>
                <w:szCs w:val="21"/>
              </w:rPr>
              <w:t>低空空域</w:t>
            </w:r>
          </w:p>
        </w:tc>
        <w:tc>
          <w:tcPr>
            <w:tcW w:w="2044" w:type="dxa"/>
            <w:vAlign w:val="top"/>
          </w:tcPr>
          <w:p w14:paraId="2E4F151D">
            <w:pPr>
              <w:spacing w:before="121" w:line="219" w:lineRule="auto"/>
              <w:ind w:left="610"/>
              <w:rPr>
                <w:rFonts w:ascii="黑体" w:hAnsi="黑体" w:eastAsia="黑体" w:cs="黑体"/>
                <w:sz w:val="21"/>
                <w:szCs w:val="21"/>
              </w:rPr>
            </w:pPr>
            <w:r>
              <w:rPr>
                <w:rFonts w:ascii="黑体" w:hAnsi="黑体" w:eastAsia="黑体" w:cs="黑体"/>
                <w:spacing w:val="-2"/>
                <w:sz w:val="21"/>
                <w:szCs w:val="21"/>
              </w:rPr>
              <w:t>基础设施</w:t>
            </w:r>
          </w:p>
        </w:tc>
        <w:tc>
          <w:tcPr>
            <w:tcW w:w="2090" w:type="dxa"/>
            <w:vMerge w:val="continue"/>
            <w:tcBorders>
              <w:top w:val="nil"/>
            </w:tcBorders>
            <w:vAlign w:val="top"/>
          </w:tcPr>
          <w:p w14:paraId="1BCD1A8F">
            <w:pPr>
              <w:rPr>
                <w:rFonts w:ascii="Arial"/>
                <w:sz w:val="21"/>
                <w:szCs w:val="21"/>
              </w:rPr>
            </w:pPr>
          </w:p>
        </w:tc>
      </w:tr>
      <w:tr w14:paraId="2A4BB0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56" w:hRule="atLeast"/>
        </w:trPr>
        <w:tc>
          <w:tcPr>
            <w:tcW w:w="1560" w:type="dxa"/>
            <w:vAlign w:val="top"/>
          </w:tcPr>
          <w:p w14:paraId="2C246F13">
            <w:pPr>
              <w:spacing w:line="250" w:lineRule="auto"/>
              <w:rPr>
                <w:rFonts w:ascii="Arial"/>
                <w:sz w:val="21"/>
                <w:szCs w:val="21"/>
              </w:rPr>
            </w:pPr>
          </w:p>
          <w:p w14:paraId="5F5D163E">
            <w:pPr>
              <w:spacing w:line="251" w:lineRule="auto"/>
              <w:rPr>
                <w:rFonts w:ascii="Arial"/>
                <w:sz w:val="21"/>
                <w:szCs w:val="21"/>
              </w:rPr>
            </w:pPr>
          </w:p>
          <w:p w14:paraId="10DC1DF4">
            <w:pPr>
              <w:spacing w:line="251" w:lineRule="auto"/>
              <w:rPr>
                <w:rFonts w:ascii="Arial"/>
                <w:sz w:val="21"/>
                <w:szCs w:val="21"/>
              </w:rPr>
            </w:pPr>
          </w:p>
          <w:p w14:paraId="611F745C">
            <w:pPr>
              <w:spacing w:before="69" w:line="183" w:lineRule="auto"/>
              <w:ind w:left="679"/>
              <w:rPr>
                <w:rFonts w:ascii="黑体" w:hAnsi="黑体" w:eastAsia="黑体" w:cs="黑体"/>
                <w:sz w:val="21"/>
                <w:szCs w:val="21"/>
              </w:rPr>
            </w:pPr>
            <w:r>
              <w:rPr>
                <w:rFonts w:ascii="黑体" w:hAnsi="黑体" w:eastAsia="黑体" w:cs="黑体"/>
                <w:spacing w:val="-2"/>
                <w:sz w:val="21"/>
                <w:szCs w:val="21"/>
              </w:rPr>
              <w:t>S1</w:t>
            </w:r>
          </w:p>
          <w:p w14:paraId="55CB6E2D">
            <w:pPr>
              <w:spacing w:before="117" w:line="219" w:lineRule="auto"/>
              <w:ind w:left="194"/>
              <w:rPr>
                <w:rFonts w:ascii="黑体" w:hAnsi="黑体" w:eastAsia="黑体" w:cs="黑体"/>
                <w:sz w:val="21"/>
                <w:szCs w:val="21"/>
              </w:rPr>
            </w:pPr>
            <w:r>
              <w:rPr>
                <w:rFonts w:ascii="黑体" w:hAnsi="黑体" w:eastAsia="黑体" w:cs="黑体"/>
                <w:spacing w:val="-7"/>
                <w:sz w:val="21"/>
                <w:szCs w:val="21"/>
              </w:rPr>
              <w:t>(概念原型级)</w:t>
            </w:r>
          </w:p>
        </w:tc>
        <w:tc>
          <w:tcPr>
            <w:tcW w:w="2131" w:type="dxa"/>
            <w:vAlign w:val="top"/>
          </w:tcPr>
          <w:p w14:paraId="231B3647">
            <w:pPr>
              <w:pStyle w:val="20"/>
              <w:spacing w:before="251" w:line="316" w:lineRule="auto"/>
              <w:ind w:left="109" w:right="107" w:hanging="1"/>
              <w:jc w:val="both"/>
              <w:rPr>
                <w:sz w:val="21"/>
                <w:szCs w:val="21"/>
              </w:rPr>
            </w:pPr>
            <w:r>
              <w:rPr>
                <w:spacing w:val="2"/>
                <w:sz w:val="21"/>
                <w:szCs w:val="21"/>
              </w:rPr>
              <w:t>概念设计、实验室样机，仅存在概念设计或初步原型，性能参数不明确，未进行实</w:t>
            </w:r>
            <w:r>
              <w:rPr>
                <w:spacing w:val="-1"/>
                <w:sz w:val="21"/>
                <w:szCs w:val="21"/>
              </w:rPr>
              <w:t>际飞行测试。</w:t>
            </w:r>
          </w:p>
        </w:tc>
        <w:tc>
          <w:tcPr>
            <w:tcW w:w="2046" w:type="dxa"/>
            <w:vAlign w:val="top"/>
          </w:tcPr>
          <w:p w14:paraId="1705F4E1">
            <w:pPr>
              <w:spacing w:line="362" w:lineRule="auto"/>
              <w:rPr>
                <w:rFonts w:ascii="Arial"/>
                <w:sz w:val="21"/>
                <w:szCs w:val="21"/>
              </w:rPr>
            </w:pPr>
          </w:p>
          <w:p w14:paraId="51EB6095">
            <w:pPr>
              <w:pStyle w:val="20"/>
              <w:spacing w:before="68" w:line="316" w:lineRule="auto"/>
              <w:ind w:left="121" w:right="96" w:hanging="9"/>
              <w:jc w:val="both"/>
              <w:rPr>
                <w:sz w:val="21"/>
                <w:szCs w:val="21"/>
              </w:rPr>
            </w:pPr>
            <w:r>
              <w:rPr>
                <w:spacing w:val="-8"/>
                <w:sz w:val="21"/>
                <w:szCs w:val="21"/>
              </w:rPr>
              <w:t>理论构想，无成熟产品，功能定义模糊，</w:t>
            </w:r>
            <w:r>
              <w:rPr>
                <w:spacing w:val="16"/>
                <w:sz w:val="21"/>
                <w:szCs w:val="21"/>
              </w:rPr>
              <w:t>与载具的集成方案</w:t>
            </w:r>
            <w:r>
              <w:rPr>
                <w:spacing w:val="-8"/>
                <w:sz w:val="21"/>
                <w:szCs w:val="21"/>
              </w:rPr>
              <w:t>尚未确定。</w:t>
            </w:r>
          </w:p>
        </w:tc>
        <w:tc>
          <w:tcPr>
            <w:tcW w:w="2042" w:type="dxa"/>
            <w:vAlign w:val="top"/>
          </w:tcPr>
          <w:p w14:paraId="6C83CF76">
            <w:pPr>
              <w:spacing w:line="364" w:lineRule="auto"/>
              <w:rPr>
                <w:rFonts w:ascii="Arial"/>
                <w:sz w:val="21"/>
                <w:szCs w:val="21"/>
              </w:rPr>
            </w:pPr>
          </w:p>
          <w:p w14:paraId="42FB1580">
            <w:pPr>
              <w:pStyle w:val="20"/>
              <w:spacing w:before="68" w:line="315" w:lineRule="auto"/>
              <w:ind w:left="115" w:right="102" w:hanging="5"/>
              <w:jc w:val="both"/>
              <w:rPr>
                <w:sz w:val="21"/>
                <w:szCs w:val="21"/>
              </w:rPr>
            </w:pPr>
            <w:r>
              <w:rPr>
                <w:spacing w:val="-8"/>
                <w:sz w:val="21"/>
                <w:szCs w:val="21"/>
              </w:rPr>
              <w:t>基础原理探索，技术原理或可行，但缺乏实验验证，存在重大</w:t>
            </w:r>
            <w:r>
              <w:rPr>
                <w:spacing w:val="-5"/>
                <w:sz w:val="21"/>
                <w:szCs w:val="21"/>
              </w:rPr>
              <w:t>技术不确定性。</w:t>
            </w:r>
          </w:p>
        </w:tc>
        <w:tc>
          <w:tcPr>
            <w:tcW w:w="2042" w:type="dxa"/>
            <w:vAlign w:val="top"/>
          </w:tcPr>
          <w:p w14:paraId="60DF1653">
            <w:pPr>
              <w:spacing w:line="359" w:lineRule="auto"/>
              <w:rPr>
                <w:rFonts w:ascii="Arial"/>
                <w:sz w:val="21"/>
                <w:szCs w:val="21"/>
              </w:rPr>
            </w:pPr>
          </w:p>
          <w:p w14:paraId="2D95E1E1">
            <w:pPr>
              <w:spacing w:line="360" w:lineRule="auto"/>
              <w:rPr>
                <w:rFonts w:ascii="Arial"/>
                <w:sz w:val="21"/>
                <w:szCs w:val="21"/>
              </w:rPr>
            </w:pPr>
          </w:p>
          <w:p w14:paraId="56A9FC41">
            <w:pPr>
              <w:pStyle w:val="20"/>
              <w:spacing w:before="69" w:line="317" w:lineRule="auto"/>
              <w:ind w:left="137" w:right="82" w:hanging="22"/>
              <w:rPr>
                <w:sz w:val="21"/>
                <w:szCs w:val="21"/>
              </w:rPr>
            </w:pPr>
            <w:r>
              <w:rPr>
                <w:spacing w:val="17"/>
                <w:sz w:val="21"/>
                <w:szCs w:val="21"/>
              </w:rPr>
              <w:t>所需空域概念设计</w:t>
            </w:r>
            <w:r>
              <w:rPr>
                <w:spacing w:val="-9"/>
                <w:sz w:val="21"/>
                <w:szCs w:val="21"/>
              </w:rPr>
              <w:t>阶段，无管理规则。</w:t>
            </w:r>
          </w:p>
        </w:tc>
        <w:tc>
          <w:tcPr>
            <w:tcW w:w="2044" w:type="dxa"/>
            <w:vAlign w:val="top"/>
          </w:tcPr>
          <w:p w14:paraId="42E415FE">
            <w:pPr>
              <w:pStyle w:val="20"/>
              <w:spacing w:before="254" w:line="316" w:lineRule="auto"/>
              <w:ind w:left="120" w:right="100" w:hanging="5"/>
              <w:jc w:val="both"/>
              <w:rPr>
                <w:sz w:val="21"/>
                <w:szCs w:val="21"/>
              </w:rPr>
            </w:pPr>
            <w:r>
              <w:rPr>
                <w:spacing w:val="-8"/>
                <w:sz w:val="21"/>
                <w:szCs w:val="21"/>
              </w:rPr>
              <w:t>所需的起降场、通信</w:t>
            </w:r>
            <w:r>
              <w:rPr>
                <w:spacing w:val="16"/>
                <w:sz w:val="21"/>
                <w:szCs w:val="21"/>
              </w:rPr>
              <w:t>网络等仅存在于规划图纸或学术构想</w:t>
            </w:r>
            <w:r>
              <w:rPr>
                <w:spacing w:val="-9"/>
                <w:sz w:val="21"/>
                <w:szCs w:val="21"/>
              </w:rPr>
              <w:t>中，无专用基础设施</w:t>
            </w:r>
            <w:r>
              <w:rPr>
                <w:spacing w:val="-2"/>
                <w:sz w:val="21"/>
                <w:szCs w:val="21"/>
              </w:rPr>
              <w:t>规划与支撑。</w:t>
            </w:r>
          </w:p>
        </w:tc>
        <w:tc>
          <w:tcPr>
            <w:tcW w:w="2090" w:type="dxa"/>
            <w:vAlign w:val="top"/>
          </w:tcPr>
          <w:p w14:paraId="01AC607E">
            <w:pPr>
              <w:pStyle w:val="20"/>
              <w:spacing w:before="71" w:line="304" w:lineRule="auto"/>
              <w:ind w:left="114" w:right="104" w:firstLine="4"/>
              <w:jc w:val="both"/>
              <w:rPr>
                <w:sz w:val="21"/>
                <w:szCs w:val="21"/>
              </w:rPr>
            </w:pPr>
            <w:r>
              <w:rPr>
                <w:spacing w:val="22"/>
                <w:sz w:val="21"/>
                <w:szCs w:val="21"/>
              </w:rPr>
              <w:t>技术原理的初步验</w:t>
            </w:r>
            <w:r>
              <w:rPr>
                <w:spacing w:val="23"/>
                <w:sz w:val="21"/>
                <w:szCs w:val="21"/>
              </w:rPr>
              <w:t>证和单机装备的概</w:t>
            </w:r>
            <w:r>
              <w:rPr>
                <w:spacing w:val="-3"/>
                <w:sz w:val="21"/>
                <w:szCs w:val="21"/>
              </w:rPr>
              <w:t>念设计，尚未形成系统化解决方案。以论</w:t>
            </w:r>
            <w:r>
              <w:rPr>
                <w:spacing w:val="23"/>
                <w:sz w:val="21"/>
                <w:szCs w:val="21"/>
              </w:rPr>
              <w:t>文、概念样机为代</w:t>
            </w:r>
            <w:r>
              <w:rPr>
                <w:spacing w:val="-12"/>
                <w:sz w:val="21"/>
                <w:szCs w:val="21"/>
              </w:rPr>
              <w:t>表。</w:t>
            </w:r>
          </w:p>
        </w:tc>
      </w:tr>
      <w:tr w14:paraId="49961E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56" w:hRule="atLeast"/>
        </w:trPr>
        <w:tc>
          <w:tcPr>
            <w:tcW w:w="1560" w:type="dxa"/>
            <w:vAlign w:val="top"/>
          </w:tcPr>
          <w:p w14:paraId="07EF53DB">
            <w:pPr>
              <w:spacing w:line="251" w:lineRule="auto"/>
              <w:rPr>
                <w:rFonts w:ascii="Arial"/>
                <w:sz w:val="21"/>
                <w:szCs w:val="21"/>
              </w:rPr>
            </w:pPr>
          </w:p>
          <w:p w14:paraId="76E72341">
            <w:pPr>
              <w:spacing w:line="251" w:lineRule="auto"/>
              <w:rPr>
                <w:rFonts w:ascii="Arial"/>
                <w:sz w:val="21"/>
                <w:szCs w:val="21"/>
              </w:rPr>
            </w:pPr>
          </w:p>
          <w:p w14:paraId="54572F6A">
            <w:pPr>
              <w:spacing w:line="251" w:lineRule="auto"/>
              <w:rPr>
                <w:rFonts w:ascii="Arial"/>
                <w:sz w:val="21"/>
                <w:szCs w:val="21"/>
              </w:rPr>
            </w:pPr>
          </w:p>
          <w:p w14:paraId="6DA49A7E">
            <w:pPr>
              <w:spacing w:before="68" w:line="184" w:lineRule="auto"/>
              <w:ind w:left="679"/>
              <w:rPr>
                <w:rFonts w:ascii="黑体" w:hAnsi="黑体" w:eastAsia="黑体" w:cs="黑体"/>
                <w:sz w:val="21"/>
                <w:szCs w:val="21"/>
              </w:rPr>
            </w:pPr>
            <w:r>
              <w:rPr>
                <w:rFonts w:ascii="黑体" w:hAnsi="黑体" w:eastAsia="黑体" w:cs="黑体"/>
                <w:spacing w:val="-2"/>
                <w:sz w:val="21"/>
                <w:szCs w:val="21"/>
              </w:rPr>
              <w:t>S2</w:t>
            </w:r>
          </w:p>
          <w:p w14:paraId="1AE6776E">
            <w:pPr>
              <w:spacing w:before="117" w:line="219" w:lineRule="auto"/>
              <w:ind w:left="194"/>
              <w:rPr>
                <w:rFonts w:ascii="黑体" w:hAnsi="黑体" w:eastAsia="黑体" w:cs="黑体"/>
                <w:sz w:val="21"/>
                <w:szCs w:val="21"/>
              </w:rPr>
            </w:pPr>
            <w:r>
              <w:rPr>
                <w:rFonts w:ascii="黑体" w:hAnsi="黑体" w:eastAsia="黑体" w:cs="黑体"/>
                <w:spacing w:val="-7"/>
                <w:sz w:val="21"/>
                <w:szCs w:val="21"/>
              </w:rPr>
              <w:t>(方案验证级)</w:t>
            </w:r>
          </w:p>
        </w:tc>
        <w:tc>
          <w:tcPr>
            <w:tcW w:w="2131" w:type="dxa"/>
            <w:vAlign w:val="top"/>
          </w:tcPr>
          <w:p w14:paraId="4C6FCB6B">
            <w:pPr>
              <w:spacing w:line="366" w:lineRule="auto"/>
              <w:rPr>
                <w:rFonts w:ascii="Arial"/>
                <w:sz w:val="21"/>
                <w:szCs w:val="21"/>
              </w:rPr>
            </w:pPr>
          </w:p>
          <w:p w14:paraId="1069E348">
            <w:pPr>
              <w:pStyle w:val="20"/>
              <w:spacing w:before="68" w:line="315" w:lineRule="auto"/>
              <w:ind w:left="108" w:right="107" w:firstLine="38"/>
              <w:jc w:val="both"/>
              <w:rPr>
                <w:sz w:val="21"/>
                <w:szCs w:val="21"/>
              </w:rPr>
            </w:pPr>
            <w:r>
              <w:rPr>
                <w:spacing w:val="-3"/>
                <w:sz w:val="21"/>
                <w:szCs w:val="21"/>
              </w:rPr>
              <w:t>已开发出可飞行的原</w:t>
            </w:r>
            <w:r>
              <w:rPr>
                <w:spacing w:val="1"/>
                <w:sz w:val="21"/>
                <w:szCs w:val="21"/>
              </w:rPr>
              <w:t>型机或少量试验机，</w:t>
            </w:r>
            <w:r>
              <w:rPr>
                <w:spacing w:val="2"/>
                <w:sz w:val="21"/>
                <w:szCs w:val="21"/>
              </w:rPr>
              <w:t>在受控环境下验证了</w:t>
            </w:r>
            <w:r>
              <w:rPr>
                <w:spacing w:val="-5"/>
                <w:sz w:val="21"/>
                <w:szCs w:val="21"/>
              </w:rPr>
              <w:t>基本性能。</w:t>
            </w:r>
          </w:p>
        </w:tc>
        <w:tc>
          <w:tcPr>
            <w:tcW w:w="2046" w:type="dxa"/>
            <w:vAlign w:val="top"/>
          </w:tcPr>
          <w:p w14:paraId="63A2139D">
            <w:pPr>
              <w:spacing w:line="271" w:lineRule="auto"/>
              <w:rPr>
                <w:rFonts w:ascii="Arial"/>
                <w:sz w:val="21"/>
                <w:szCs w:val="21"/>
              </w:rPr>
            </w:pPr>
          </w:p>
          <w:p w14:paraId="6379327C">
            <w:pPr>
              <w:spacing w:line="272" w:lineRule="auto"/>
              <w:rPr>
                <w:rFonts w:ascii="Arial"/>
                <w:sz w:val="21"/>
                <w:szCs w:val="21"/>
              </w:rPr>
            </w:pPr>
          </w:p>
          <w:p w14:paraId="4E5F4149">
            <w:pPr>
              <w:pStyle w:val="20"/>
              <w:spacing w:before="68" w:line="316" w:lineRule="auto"/>
              <w:ind w:left="110" w:right="105" w:firstLine="6"/>
              <w:jc w:val="both"/>
              <w:rPr>
                <w:sz w:val="21"/>
                <w:szCs w:val="21"/>
              </w:rPr>
            </w:pPr>
            <w:r>
              <w:rPr>
                <w:spacing w:val="17"/>
                <w:sz w:val="21"/>
                <w:szCs w:val="21"/>
              </w:rPr>
              <w:t>开发出功能单一的</w:t>
            </w:r>
            <w:r>
              <w:rPr>
                <w:spacing w:val="-8"/>
                <w:sz w:val="21"/>
                <w:szCs w:val="21"/>
              </w:rPr>
              <w:t>载荷，在特定场景下</w:t>
            </w:r>
            <w:r>
              <w:rPr>
                <w:spacing w:val="-1"/>
                <w:sz w:val="21"/>
                <w:szCs w:val="21"/>
              </w:rPr>
              <w:t>进行了初步测试。</w:t>
            </w:r>
          </w:p>
        </w:tc>
        <w:tc>
          <w:tcPr>
            <w:tcW w:w="2042" w:type="dxa"/>
            <w:vAlign w:val="top"/>
          </w:tcPr>
          <w:p w14:paraId="2683B77C">
            <w:pPr>
              <w:spacing w:line="363" w:lineRule="auto"/>
              <w:rPr>
                <w:rFonts w:ascii="Arial"/>
                <w:sz w:val="21"/>
                <w:szCs w:val="21"/>
              </w:rPr>
            </w:pPr>
          </w:p>
          <w:p w14:paraId="1C08DB89">
            <w:pPr>
              <w:pStyle w:val="20"/>
              <w:spacing w:before="69" w:line="316" w:lineRule="auto"/>
              <w:ind w:left="112" w:right="102" w:firstLine="9"/>
              <w:jc w:val="both"/>
              <w:rPr>
                <w:sz w:val="21"/>
                <w:szCs w:val="21"/>
              </w:rPr>
            </w:pPr>
            <w:r>
              <w:rPr>
                <w:spacing w:val="16"/>
                <w:sz w:val="21"/>
                <w:szCs w:val="21"/>
              </w:rPr>
              <w:t>关键技术在实验室</w:t>
            </w:r>
            <w:r>
              <w:rPr>
                <w:spacing w:val="17"/>
                <w:sz w:val="21"/>
                <w:szCs w:val="21"/>
              </w:rPr>
              <w:t>或模拟环境中得到</w:t>
            </w:r>
            <w:r>
              <w:rPr>
                <w:spacing w:val="-8"/>
                <w:sz w:val="21"/>
                <w:szCs w:val="21"/>
              </w:rPr>
              <w:t>验证，但尚未在真实</w:t>
            </w:r>
            <w:r>
              <w:rPr>
                <w:spacing w:val="-1"/>
                <w:sz w:val="21"/>
                <w:szCs w:val="21"/>
              </w:rPr>
              <w:t>场景中应用。</w:t>
            </w:r>
          </w:p>
        </w:tc>
        <w:tc>
          <w:tcPr>
            <w:tcW w:w="2042" w:type="dxa"/>
            <w:vAlign w:val="top"/>
          </w:tcPr>
          <w:p w14:paraId="2AC0EBF8">
            <w:pPr>
              <w:rPr>
                <w:rFonts w:ascii="Arial"/>
                <w:sz w:val="21"/>
                <w:szCs w:val="21"/>
              </w:rPr>
            </w:pPr>
          </w:p>
          <w:p w14:paraId="62B257F3">
            <w:pPr>
              <w:rPr>
                <w:rFonts w:ascii="Arial"/>
                <w:sz w:val="21"/>
                <w:szCs w:val="21"/>
              </w:rPr>
            </w:pPr>
          </w:p>
          <w:p w14:paraId="33D5BB5A">
            <w:pPr>
              <w:spacing w:line="241" w:lineRule="auto"/>
              <w:rPr>
                <w:rFonts w:ascii="Arial"/>
                <w:sz w:val="21"/>
                <w:szCs w:val="21"/>
              </w:rPr>
            </w:pPr>
          </w:p>
          <w:p w14:paraId="7A5C08DF">
            <w:pPr>
              <w:pStyle w:val="20"/>
              <w:spacing w:before="68" w:line="317" w:lineRule="auto"/>
              <w:ind w:left="120" w:right="101" w:firstLine="5"/>
              <w:rPr>
                <w:sz w:val="21"/>
                <w:szCs w:val="21"/>
              </w:rPr>
            </w:pPr>
            <w:r>
              <w:rPr>
                <w:spacing w:val="-10"/>
                <w:sz w:val="21"/>
                <w:szCs w:val="21"/>
              </w:rPr>
              <w:t>临时划设、有严格限</w:t>
            </w:r>
            <w:r>
              <w:rPr>
                <w:spacing w:val="-5"/>
                <w:sz w:val="21"/>
                <w:szCs w:val="21"/>
              </w:rPr>
              <w:t>制的试点空域。</w:t>
            </w:r>
          </w:p>
        </w:tc>
        <w:tc>
          <w:tcPr>
            <w:tcW w:w="2044" w:type="dxa"/>
            <w:vAlign w:val="top"/>
          </w:tcPr>
          <w:p w14:paraId="2E749644">
            <w:pPr>
              <w:pStyle w:val="20"/>
              <w:spacing w:before="78" w:line="303" w:lineRule="auto"/>
              <w:ind w:left="117" w:right="100"/>
              <w:jc w:val="both"/>
              <w:rPr>
                <w:sz w:val="21"/>
                <w:szCs w:val="21"/>
              </w:rPr>
            </w:pPr>
            <w:r>
              <w:rPr>
                <w:spacing w:val="17"/>
                <w:sz w:val="21"/>
                <w:szCs w:val="21"/>
              </w:rPr>
              <w:t>在试点区域内建设</w:t>
            </w:r>
            <w:r>
              <w:rPr>
                <w:spacing w:val="-8"/>
                <w:sz w:val="21"/>
                <w:szCs w:val="21"/>
              </w:rPr>
              <w:t>了专用试验场，并部</w:t>
            </w:r>
            <w:r>
              <w:rPr>
                <w:spacing w:val="17"/>
                <w:sz w:val="21"/>
                <w:szCs w:val="21"/>
              </w:rPr>
              <w:t>署初步的通导监等</w:t>
            </w:r>
            <w:r>
              <w:rPr>
                <w:spacing w:val="-8"/>
                <w:sz w:val="21"/>
                <w:szCs w:val="21"/>
              </w:rPr>
              <w:t>测试性基础设施，以</w:t>
            </w:r>
            <w:r>
              <w:rPr>
                <w:spacing w:val="17"/>
                <w:sz w:val="21"/>
                <w:szCs w:val="21"/>
              </w:rPr>
              <w:t>支持原型机的验证</w:t>
            </w:r>
            <w:r>
              <w:rPr>
                <w:spacing w:val="-12"/>
                <w:sz w:val="21"/>
                <w:szCs w:val="21"/>
              </w:rPr>
              <w:t>工作。</w:t>
            </w:r>
          </w:p>
        </w:tc>
        <w:tc>
          <w:tcPr>
            <w:tcW w:w="2090" w:type="dxa"/>
            <w:vAlign w:val="top"/>
          </w:tcPr>
          <w:p w14:paraId="29A3CF74">
            <w:pPr>
              <w:pStyle w:val="20"/>
              <w:spacing w:before="78" w:line="303" w:lineRule="auto"/>
              <w:ind w:left="116" w:hanging="4"/>
              <w:jc w:val="both"/>
              <w:rPr>
                <w:sz w:val="21"/>
                <w:szCs w:val="21"/>
              </w:rPr>
            </w:pPr>
            <w:r>
              <w:rPr>
                <w:spacing w:val="-14"/>
                <w:sz w:val="21"/>
                <w:szCs w:val="21"/>
              </w:rPr>
              <w:t>针对特定场景，集成</w:t>
            </w:r>
            <w:r>
              <w:rPr>
                <w:spacing w:val="2"/>
                <w:sz w:val="21"/>
                <w:szCs w:val="21"/>
              </w:rPr>
              <w:t xml:space="preserve"> </w:t>
            </w:r>
            <w:r>
              <w:rPr>
                <w:spacing w:val="-14"/>
                <w:sz w:val="21"/>
                <w:szCs w:val="21"/>
              </w:rPr>
              <w:t>关键技术与装备，形</w:t>
            </w:r>
            <w:r>
              <w:rPr>
                <w:spacing w:val="10"/>
                <w:sz w:val="21"/>
                <w:szCs w:val="21"/>
              </w:rPr>
              <w:t>成初步解决方案并在受控环境中进行</w:t>
            </w:r>
            <w:r>
              <w:rPr>
                <w:spacing w:val="1"/>
                <w:sz w:val="21"/>
                <w:szCs w:val="21"/>
              </w:rPr>
              <w:t xml:space="preserve"> </w:t>
            </w:r>
            <w:r>
              <w:rPr>
                <w:spacing w:val="-14"/>
                <w:sz w:val="21"/>
                <w:szCs w:val="21"/>
              </w:rPr>
              <w:t>验证，以“演示验证”</w:t>
            </w:r>
            <w:r>
              <w:rPr>
                <w:spacing w:val="-10"/>
                <w:sz w:val="21"/>
                <w:szCs w:val="21"/>
              </w:rPr>
              <w:t>为代表。</w:t>
            </w:r>
          </w:p>
        </w:tc>
      </w:tr>
      <w:tr w14:paraId="501A8D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64" w:hRule="atLeast"/>
        </w:trPr>
        <w:tc>
          <w:tcPr>
            <w:tcW w:w="1560" w:type="dxa"/>
            <w:vAlign w:val="top"/>
          </w:tcPr>
          <w:p w14:paraId="0A8783A8">
            <w:pPr>
              <w:spacing w:line="251" w:lineRule="auto"/>
              <w:rPr>
                <w:rFonts w:ascii="Arial"/>
                <w:sz w:val="21"/>
                <w:szCs w:val="21"/>
              </w:rPr>
            </w:pPr>
          </w:p>
          <w:p w14:paraId="1B81E88F">
            <w:pPr>
              <w:spacing w:line="252" w:lineRule="auto"/>
              <w:rPr>
                <w:rFonts w:ascii="Arial"/>
                <w:sz w:val="21"/>
                <w:szCs w:val="21"/>
              </w:rPr>
            </w:pPr>
          </w:p>
          <w:p w14:paraId="0ECFB674">
            <w:pPr>
              <w:spacing w:line="252" w:lineRule="auto"/>
              <w:rPr>
                <w:rFonts w:ascii="Arial"/>
                <w:sz w:val="21"/>
                <w:szCs w:val="21"/>
              </w:rPr>
            </w:pPr>
          </w:p>
          <w:p w14:paraId="5716BB10">
            <w:pPr>
              <w:spacing w:before="68" w:line="184" w:lineRule="auto"/>
              <w:ind w:left="679"/>
              <w:rPr>
                <w:rFonts w:ascii="黑体" w:hAnsi="黑体" w:eastAsia="黑体" w:cs="黑体"/>
                <w:sz w:val="21"/>
                <w:szCs w:val="21"/>
              </w:rPr>
            </w:pPr>
            <w:r>
              <w:rPr>
                <w:rFonts w:ascii="黑体" w:hAnsi="黑体" w:eastAsia="黑体" w:cs="黑体"/>
                <w:spacing w:val="-2"/>
                <w:sz w:val="21"/>
                <w:szCs w:val="21"/>
              </w:rPr>
              <w:t>S3</w:t>
            </w:r>
          </w:p>
          <w:p w14:paraId="19868DC9">
            <w:pPr>
              <w:spacing w:before="117" w:line="219" w:lineRule="auto"/>
              <w:ind w:left="194"/>
              <w:rPr>
                <w:rFonts w:ascii="黑体" w:hAnsi="黑体" w:eastAsia="黑体" w:cs="黑体"/>
                <w:sz w:val="21"/>
                <w:szCs w:val="21"/>
              </w:rPr>
            </w:pPr>
            <w:r>
              <w:rPr>
                <w:rFonts w:ascii="黑体" w:hAnsi="黑体" w:eastAsia="黑体" w:cs="黑体"/>
                <w:spacing w:val="-7"/>
                <w:sz w:val="21"/>
                <w:szCs w:val="21"/>
              </w:rPr>
              <w:t>(区域试点级)</w:t>
            </w:r>
          </w:p>
        </w:tc>
        <w:tc>
          <w:tcPr>
            <w:tcW w:w="2131" w:type="dxa"/>
            <w:vAlign w:val="top"/>
          </w:tcPr>
          <w:p w14:paraId="73D7D1C1">
            <w:pPr>
              <w:pStyle w:val="20"/>
              <w:spacing w:before="259" w:line="316" w:lineRule="auto"/>
              <w:ind w:left="111" w:right="107"/>
              <w:jc w:val="both"/>
              <w:rPr>
                <w:sz w:val="21"/>
                <w:szCs w:val="21"/>
              </w:rPr>
            </w:pPr>
            <w:r>
              <w:rPr>
                <w:spacing w:val="1"/>
                <w:sz w:val="21"/>
                <w:szCs w:val="21"/>
              </w:rPr>
              <w:t>设计定型，装备性能</w:t>
            </w:r>
            <w:r>
              <w:rPr>
                <w:spacing w:val="-4"/>
                <w:sz w:val="21"/>
                <w:szCs w:val="21"/>
              </w:rPr>
              <w:t>稳定，</w:t>
            </w:r>
            <w:r>
              <w:rPr>
                <w:spacing w:val="-54"/>
                <w:sz w:val="21"/>
                <w:szCs w:val="21"/>
              </w:rPr>
              <w:t xml:space="preserve"> </w:t>
            </w:r>
            <w:r>
              <w:rPr>
                <w:spacing w:val="-4"/>
                <w:sz w:val="21"/>
                <w:szCs w:val="21"/>
              </w:rPr>
              <w:t>已进入小批量</w:t>
            </w:r>
            <w:r>
              <w:rPr>
                <w:spacing w:val="1"/>
                <w:sz w:val="21"/>
                <w:szCs w:val="21"/>
              </w:rPr>
              <w:t>生产阶段，并在特定区域内进行商业化试</w:t>
            </w:r>
            <w:r>
              <w:rPr>
                <w:spacing w:val="-11"/>
                <w:sz w:val="21"/>
                <w:szCs w:val="21"/>
              </w:rPr>
              <w:t>运营。</w:t>
            </w:r>
          </w:p>
        </w:tc>
        <w:tc>
          <w:tcPr>
            <w:tcW w:w="2046" w:type="dxa"/>
            <w:vAlign w:val="top"/>
          </w:tcPr>
          <w:p w14:paraId="7D3E0C94">
            <w:pPr>
              <w:spacing w:line="273" w:lineRule="auto"/>
              <w:rPr>
                <w:rFonts w:ascii="Arial"/>
                <w:sz w:val="21"/>
                <w:szCs w:val="21"/>
              </w:rPr>
            </w:pPr>
          </w:p>
          <w:p w14:paraId="4FA1436C">
            <w:pPr>
              <w:spacing w:line="273" w:lineRule="auto"/>
              <w:rPr>
                <w:rFonts w:ascii="Arial"/>
                <w:sz w:val="21"/>
                <w:szCs w:val="21"/>
              </w:rPr>
            </w:pPr>
          </w:p>
          <w:p w14:paraId="42384984">
            <w:pPr>
              <w:pStyle w:val="20"/>
              <w:spacing w:before="68" w:line="316" w:lineRule="auto"/>
              <w:ind w:left="116" w:right="91" w:hanging="1"/>
              <w:jc w:val="both"/>
              <w:rPr>
                <w:sz w:val="21"/>
                <w:szCs w:val="21"/>
              </w:rPr>
            </w:pPr>
            <w:r>
              <w:rPr>
                <w:spacing w:val="17"/>
                <w:sz w:val="21"/>
                <w:szCs w:val="21"/>
              </w:rPr>
              <w:t>载荷标准化、模块</w:t>
            </w:r>
            <w:r>
              <w:rPr>
                <w:spacing w:val="-8"/>
                <w:sz w:val="21"/>
                <w:szCs w:val="21"/>
              </w:rPr>
              <w:t>化，性能可靠，与载</w:t>
            </w:r>
            <w:r>
              <w:rPr>
                <w:spacing w:val="-7"/>
                <w:sz w:val="21"/>
                <w:szCs w:val="21"/>
              </w:rPr>
              <w:t>具的集成方案成熟。</w:t>
            </w:r>
          </w:p>
        </w:tc>
        <w:tc>
          <w:tcPr>
            <w:tcW w:w="2042" w:type="dxa"/>
            <w:vAlign w:val="top"/>
          </w:tcPr>
          <w:p w14:paraId="3F635774">
            <w:pPr>
              <w:spacing w:line="366" w:lineRule="auto"/>
              <w:rPr>
                <w:rFonts w:ascii="Arial"/>
                <w:sz w:val="21"/>
                <w:szCs w:val="21"/>
              </w:rPr>
            </w:pPr>
          </w:p>
          <w:p w14:paraId="7CB59202">
            <w:pPr>
              <w:pStyle w:val="20"/>
              <w:spacing w:before="68" w:line="316" w:lineRule="auto"/>
              <w:ind w:left="107" w:right="102" w:firstLine="14"/>
              <w:jc w:val="both"/>
              <w:rPr>
                <w:sz w:val="21"/>
                <w:szCs w:val="21"/>
              </w:rPr>
            </w:pPr>
            <w:r>
              <w:rPr>
                <w:spacing w:val="16"/>
                <w:sz w:val="21"/>
                <w:szCs w:val="21"/>
              </w:rPr>
              <w:t>关键技术在真实场</w:t>
            </w:r>
            <w:r>
              <w:rPr>
                <w:spacing w:val="18"/>
                <w:sz w:val="21"/>
                <w:szCs w:val="21"/>
              </w:rPr>
              <w:t>景中得到应用和验</w:t>
            </w:r>
            <w:r>
              <w:rPr>
                <w:spacing w:val="-8"/>
                <w:sz w:val="21"/>
                <w:szCs w:val="21"/>
              </w:rPr>
              <w:t>证，但可靠性和成本</w:t>
            </w:r>
            <w:r>
              <w:rPr>
                <w:spacing w:val="-5"/>
                <w:sz w:val="21"/>
                <w:szCs w:val="21"/>
              </w:rPr>
              <w:t>仍需优化。</w:t>
            </w:r>
          </w:p>
        </w:tc>
        <w:tc>
          <w:tcPr>
            <w:tcW w:w="2042" w:type="dxa"/>
            <w:vAlign w:val="top"/>
          </w:tcPr>
          <w:p w14:paraId="283B1846">
            <w:pPr>
              <w:spacing w:line="241" w:lineRule="auto"/>
              <w:rPr>
                <w:rFonts w:ascii="Arial"/>
                <w:sz w:val="21"/>
                <w:szCs w:val="21"/>
              </w:rPr>
            </w:pPr>
          </w:p>
          <w:p w14:paraId="35095311">
            <w:pPr>
              <w:spacing w:line="241" w:lineRule="auto"/>
              <w:rPr>
                <w:rFonts w:ascii="Arial"/>
                <w:sz w:val="21"/>
                <w:szCs w:val="21"/>
              </w:rPr>
            </w:pPr>
          </w:p>
          <w:p w14:paraId="564F2859">
            <w:pPr>
              <w:spacing w:line="241" w:lineRule="auto"/>
              <w:rPr>
                <w:rFonts w:ascii="Arial"/>
                <w:sz w:val="21"/>
                <w:szCs w:val="21"/>
              </w:rPr>
            </w:pPr>
          </w:p>
          <w:p w14:paraId="7F4EACE5">
            <w:pPr>
              <w:pStyle w:val="20"/>
              <w:spacing w:before="68" w:line="318" w:lineRule="auto"/>
              <w:ind w:left="132" w:right="82"/>
              <w:rPr>
                <w:sz w:val="21"/>
                <w:szCs w:val="21"/>
              </w:rPr>
            </w:pPr>
            <w:r>
              <w:rPr>
                <w:spacing w:val="-10"/>
                <w:sz w:val="21"/>
                <w:szCs w:val="21"/>
              </w:rPr>
              <w:t>固定化、程序化管理</w:t>
            </w:r>
            <w:r>
              <w:rPr>
                <w:spacing w:val="-8"/>
                <w:sz w:val="21"/>
                <w:szCs w:val="21"/>
              </w:rPr>
              <w:t>的示范航线或空域。</w:t>
            </w:r>
          </w:p>
        </w:tc>
        <w:tc>
          <w:tcPr>
            <w:tcW w:w="2044" w:type="dxa"/>
            <w:vAlign w:val="top"/>
          </w:tcPr>
          <w:p w14:paraId="7E8467EB">
            <w:pPr>
              <w:pStyle w:val="20"/>
              <w:spacing w:before="256" w:line="316" w:lineRule="auto"/>
              <w:ind w:left="109" w:right="87" w:firstLine="8"/>
              <w:jc w:val="both"/>
              <w:rPr>
                <w:sz w:val="21"/>
                <w:szCs w:val="21"/>
              </w:rPr>
            </w:pPr>
            <w:r>
              <w:rPr>
                <w:spacing w:val="17"/>
                <w:sz w:val="21"/>
                <w:szCs w:val="21"/>
              </w:rPr>
              <w:t>在试点运营区域内</w:t>
            </w:r>
            <w:r>
              <w:rPr>
                <w:spacing w:val="18"/>
                <w:sz w:val="21"/>
                <w:szCs w:val="21"/>
              </w:rPr>
              <w:t>形成了初步的起降</w:t>
            </w:r>
            <w:r>
              <w:rPr>
                <w:spacing w:val="-6"/>
                <w:sz w:val="21"/>
                <w:szCs w:val="21"/>
              </w:rPr>
              <w:t>网络和通导监覆盖，</w:t>
            </w:r>
            <w:r>
              <w:rPr>
                <w:spacing w:val="18"/>
                <w:sz w:val="21"/>
                <w:szCs w:val="21"/>
              </w:rPr>
              <w:t>但尚未实现大范围</w:t>
            </w:r>
            <w:r>
              <w:rPr>
                <w:sz w:val="21"/>
                <w:szCs w:val="21"/>
              </w:rPr>
              <w:t>网络化协同。</w:t>
            </w:r>
          </w:p>
        </w:tc>
        <w:tc>
          <w:tcPr>
            <w:tcW w:w="2090" w:type="dxa"/>
            <w:vAlign w:val="top"/>
          </w:tcPr>
          <w:p w14:paraId="2C337E40">
            <w:pPr>
              <w:pStyle w:val="20"/>
              <w:spacing w:before="79" w:line="304" w:lineRule="auto"/>
              <w:ind w:left="116" w:right="104"/>
              <w:jc w:val="both"/>
              <w:rPr>
                <w:sz w:val="21"/>
                <w:szCs w:val="21"/>
              </w:rPr>
            </w:pPr>
            <w:r>
              <w:rPr>
                <w:spacing w:val="22"/>
                <w:sz w:val="21"/>
                <w:szCs w:val="21"/>
              </w:rPr>
              <w:t>装备和系统能够在真实的商业环境中</w:t>
            </w:r>
            <w:r>
              <w:rPr>
                <w:spacing w:val="-3"/>
                <w:sz w:val="21"/>
                <w:szCs w:val="21"/>
              </w:rPr>
              <w:t>进行小规模、常态化的试点运营，以“试点航线”、“示范项</w:t>
            </w:r>
            <w:r>
              <w:rPr>
                <w:spacing w:val="-1"/>
                <w:sz w:val="21"/>
                <w:szCs w:val="21"/>
              </w:rPr>
              <w:t>目”为代表。</w:t>
            </w:r>
          </w:p>
        </w:tc>
      </w:tr>
      <w:tr w14:paraId="0B3568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64" w:hRule="atLeast"/>
        </w:trPr>
        <w:tc>
          <w:tcPr>
            <w:tcW w:w="1560" w:type="dxa"/>
            <w:shd w:val="clear" w:color="auto" w:fill="auto"/>
            <w:vAlign w:val="top"/>
          </w:tcPr>
          <w:p w14:paraId="698184ED">
            <w:pPr>
              <w:spacing w:before="68" w:line="184" w:lineRule="auto"/>
              <w:ind w:left="679"/>
              <w:rPr>
                <w:rFonts w:ascii="黑体" w:hAnsi="黑体" w:eastAsia="黑体" w:cs="黑体"/>
                <w:spacing w:val="-2"/>
                <w:sz w:val="21"/>
                <w:szCs w:val="21"/>
              </w:rPr>
            </w:pPr>
          </w:p>
          <w:p w14:paraId="255581C4">
            <w:pPr>
              <w:spacing w:before="68" w:line="184" w:lineRule="auto"/>
              <w:ind w:left="679"/>
              <w:rPr>
                <w:rFonts w:ascii="黑体" w:hAnsi="黑体" w:eastAsia="黑体" w:cs="黑体"/>
                <w:spacing w:val="-2"/>
                <w:sz w:val="21"/>
                <w:szCs w:val="21"/>
              </w:rPr>
            </w:pPr>
          </w:p>
          <w:p w14:paraId="64C1D4ED">
            <w:pPr>
              <w:spacing w:before="68" w:line="184" w:lineRule="auto"/>
              <w:ind w:left="679"/>
              <w:rPr>
                <w:rFonts w:ascii="黑体" w:hAnsi="黑体" w:eastAsia="黑体" w:cs="黑体"/>
                <w:spacing w:val="-2"/>
                <w:sz w:val="21"/>
                <w:szCs w:val="21"/>
              </w:rPr>
            </w:pPr>
          </w:p>
          <w:p w14:paraId="6B14068B">
            <w:pPr>
              <w:spacing w:before="68" w:line="184" w:lineRule="auto"/>
              <w:jc w:val="center"/>
              <w:rPr>
                <w:rFonts w:ascii="黑体" w:hAnsi="黑体" w:eastAsia="黑体" w:cs="黑体"/>
                <w:spacing w:val="-2"/>
                <w:sz w:val="21"/>
                <w:szCs w:val="21"/>
              </w:rPr>
            </w:pPr>
            <w:r>
              <w:rPr>
                <w:rFonts w:ascii="黑体" w:hAnsi="黑体" w:eastAsia="黑体" w:cs="黑体"/>
                <w:spacing w:val="-2"/>
                <w:sz w:val="21"/>
                <w:szCs w:val="21"/>
              </w:rPr>
              <w:t>S4</w:t>
            </w:r>
          </w:p>
          <w:p w14:paraId="58D9DBE3">
            <w:pPr>
              <w:spacing w:before="68" w:line="184" w:lineRule="auto"/>
              <w:jc w:val="center"/>
              <w:rPr>
                <w:rFonts w:ascii="黑体" w:hAnsi="黑体" w:eastAsia="黑体" w:cs="黑体"/>
                <w:spacing w:val="-2"/>
                <w:sz w:val="21"/>
                <w:szCs w:val="21"/>
                <w:lang w:val="en-US" w:eastAsia="en-US"/>
              </w:rPr>
            </w:pPr>
            <w:r>
              <w:rPr>
                <w:rFonts w:ascii="黑体" w:hAnsi="黑体" w:eastAsia="黑体" w:cs="黑体"/>
                <w:spacing w:val="-2"/>
                <w:sz w:val="21"/>
                <w:szCs w:val="21"/>
              </w:rPr>
              <w:t>(规模推广级)</w:t>
            </w:r>
          </w:p>
        </w:tc>
        <w:tc>
          <w:tcPr>
            <w:tcW w:w="2131" w:type="dxa"/>
            <w:shd w:val="clear" w:color="auto" w:fill="auto"/>
            <w:vAlign w:val="top"/>
          </w:tcPr>
          <w:p w14:paraId="5A4BDF91">
            <w:pPr>
              <w:spacing w:line="251" w:lineRule="auto"/>
              <w:rPr>
                <w:rFonts w:ascii="Arial"/>
                <w:sz w:val="21"/>
                <w:szCs w:val="21"/>
              </w:rPr>
            </w:pPr>
          </w:p>
          <w:p w14:paraId="06F2C3BC">
            <w:pPr>
              <w:spacing w:line="251" w:lineRule="auto"/>
              <w:rPr>
                <w:rFonts w:ascii="Arial"/>
                <w:sz w:val="21"/>
                <w:szCs w:val="21"/>
                <w:lang w:val="en-US" w:eastAsia="en-US"/>
              </w:rPr>
            </w:pPr>
            <w:r>
              <w:rPr>
                <w:rFonts w:ascii="Arial"/>
                <w:sz w:val="21"/>
                <w:szCs w:val="21"/>
              </w:rPr>
              <w:t>装备已实现规模化、系列化生产，性能可靠，成本可控，形成了多个商业化运营案例。</w:t>
            </w:r>
          </w:p>
        </w:tc>
        <w:tc>
          <w:tcPr>
            <w:tcW w:w="2046" w:type="dxa"/>
            <w:shd w:val="clear" w:color="auto" w:fill="auto"/>
            <w:vAlign w:val="top"/>
          </w:tcPr>
          <w:p w14:paraId="6E282EF7">
            <w:pPr>
              <w:spacing w:line="251" w:lineRule="auto"/>
              <w:rPr>
                <w:rFonts w:ascii="Arial"/>
                <w:sz w:val="21"/>
                <w:szCs w:val="21"/>
              </w:rPr>
            </w:pPr>
          </w:p>
          <w:p w14:paraId="37F619F0">
            <w:pPr>
              <w:spacing w:line="251" w:lineRule="auto"/>
              <w:rPr>
                <w:rFonts w:ascii="Arial"/>
                <w:sz w:val="21"/>
                <w:szCs w:val="21"/>
              </w:rPr>
            </w:pPr>
          </w:p>
          <w:p w14:paraId="3809E787">
            <w:pPr>
              <w:spacing w:line="251" w:lineRule="auto"/>
              <w:rPr>
                <w:rFonts w:ascii="Arial"/>
                <w:sz w:val="21"/>
                <w:szCs w:val="21"/>
                <w:lang w:val="en-US" w:eastAsia="en-US"/>
              </w:rPr>
            </w:pPr>
            <w:r>
              <w:rPr>
                <w:rFonts w:ascii="Arial"/>
                <w:sz w:val="21"/>
                <w:szCs w:val="21"/>
              </w:rPr>
              <w:t>载荷高度模块化、标准化，可实现“即插即用”，满足不同任务需求。</w:t>
            </w:r>
          </w:p>
        </w:tc>
        <w:tc>
          <w:tcPr>
            <w:tcW w:w="2042" w:type="dxa"/>
            <w:shd w:val="clear" w:color="auto" w:fill="auto"/>
            <w:vAlign w:val="top"/>
          </w:tcPr>
          <w:p w14:paraId="489EF148">
            <w:pPr>
              <w:spacing w:line="251" w:lineRule="auto"/>
              <w:rPr>
                <w:rFonts w:ascii="Arial"/>
                <w:sz w:val="21"/>
                <w:szCs w:val="21"/>
              </w:rPr>
            </w:pPr>
          </w:p>
          <w:p w14:paraId="2E3CE742">
            <w:pPr>
              <w:spacing w:line="251" w:lineRule="auto"/>
              <w:rPr>
                <w:rFonts w:ascii="Arial"/>
                <w:sz w:val="21"/>
                <w:szCs w:val="21"/>
              </w:rPr>
            </w:pPr>
          </w:p>
          <w:p w14:paraId="6491856D">
            <w:pPr>
              <w:spacing w:line="251" w:lineRule="auto"/>
              <w:rPr>
                <w:rFonts w:ascii="Arial"/>
                <w:sz w:val="21"/>
                <w:szCs w:val="21"/>
                <w:lang w:val="en-US" w:eastAsia="en-US"/>
              </w:rPr>
            </w:pPr>
            <w:r>
              <w:rPr>
                <w:rFonts w:ascii="Arial"/>
                <w:sz w:val="21"/>
                <w:szCs w:val="21"/>
              </w:rPr>
              <w:t>关键技术成熟可靠，成本效益高，已逐步形成行业标准或规范。</w:t>
            </w:r>
          </w:p>
        </w:tc>
        <w:tc>
          <w:tcPr>
            <w:tcW w:w="2042" w:type="dxa"/>
            <w:shd w:val="clear" w:color="auto" w:fill="auto"/>
            <w:vAlign w:val="top"/>
          </w:tcPr>
          <w:p w14:paraId="6481F865">
            <w:pPr>
              <w:spacing w:line="251" w:lineRule="auto"/>
              <w:rPr>
                <w:rFonts w:ascii="Arial"/>
                <w:sz w:val="21"/>
                <w:szCs w:val="21"/>
              </w:rPr>
            </w:pPr>
          </w:p>
          <w:p w14:paraId="27C6325B">
            <w:pPr>
              <w:spacing w:line="251" w:lineRule="auto"/>
              <w:rPr>
                <w:rFonts w:ascii="Arial"/>
                <w:sz w:val="21"/>
                <w:szCs w:val="21"/>
              </w:rPr>
            </w:pPr>
          </w:p>
          <w:p w14:paraId="356BAE95">
            <w:pPr>
              <w:spacing w:line="251" w:lineRule="auto"/>
              <w:rPr>
                <w:rFonts w:ascii="Arial"/>
                <w:sz w:val="21"/>
                <w:szCs w:val="21"/>
                <w:lang w:val="en-US" w:eastAsia="en-US"/>
              </w:rPr>
            </w:pPr>
            <w:r>
              <w:rPr>
                <w:rFonts w:ascii="Arial"/>
                <w:sz w:val="21"/>
                <w:szCs w:val="21"/>
              </w:rPr>
              <w:t>数字化空域、可常态化申请使用的低空航路网。</w:t>
            </w:r>
          </w:p>
        </w:tc>
        <w:tc>
          <w:tcPr>
            <w:tcW w:w="2044" w:type="dxa"/>
            <w:shd w:val="clear" w:color="auto" w:fill="auto"/>
            <w:vAlign w:val="top"/>
          </w:tcPr>
          <w:p w14:paraId="55982DA2">
            <w:pPr>
              <w:spacing w:line="251" w:lineRule="auto"/>
              <w:rPr>
                <w:rFonts w:ascii="Arial"/>
                <w:sz w:val="21"/>
                <w:szCs w:val="21"/>
              </w:rPr>
            </w:pPr>
          </w:p>
          <w:p w14:paraId="3A230060">
            <w:pPr>
              <w:spacing w:line="251" w:lineRule="auto"/>
              <w:rPr>
                <w:rFonts w:ascii="Arial"/>
                <w:sz w:val="21"/>
                <w:szCs w:val="21"/>
                <w:lang w:val="en-US" w:eastAsia="en-US"/>
              </w:rPr>
            </w:pPr>
            <w:r>
              <w:rPr>
                <w:rFonts w:ascii="Arial"/>
                <w:sz w:val="21"/>
                <w:szCs w:val="21"/>
              </w:rPr>
              <w:t>物理和数字基础设施已大范围实现网络化覆盖，可支持高频次、大范围的飞行活动。</w:t>
            </w:r>
          </w:p>
        </w:tc>
        <w:tc>
          <w:tcPr>
            <w:tcW w:w="2090" w:type="dxa"/>
            <w:shd w:val="clear" w:color="auto" w:fill="auto"/>
            <w:vAlign w:val="top"/>
          </w:tcPr>
          <w:p w14:paraId="0CE23592">
            <w:pPr>
              <w:spacing w:line="251" w:lineRule="auto"/>
              <w:rPr>
                <w:rFonts w:ascii="Arial"/>
                <w:sz w:val="21"/>
                <w:szCs w:val="21"/>
                <w:lang w:val="en-US" w:eastAsia="en-US"/>
              </w:rPr>
            </w:pPr>
            <w:r>
              <w:rPr>
                <w:rFonts w:ascii="Arial"/>
                <w:sz w:val="21"/>
                <w:szCs w:val="21"/>
              </w:rPr>
              <w:t>装备、技术和设施已具备支持场景的跨区域复制和大规模市场推广，以“跨区域复制”、“市场渗透率快速提升”为代表。</w:t>
            </w:r>
          </w:p>
        </w:tc>
      </w:tr>
      <w:tr w14:paraId="0AB048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64" w:hRule="atLeast"/>
        </w:trPr>
        <w:tc>
          <w:tcPr>
            <w:tcW w:w="1560" w:type="dxa"/>
            <w:shd w:val="clear" w:color="auto" w:fill="auto"/>
            <w:vAlign w:val="top"/>
          </w:tcPr>
          <w:p w14:paraId="43A09AD5">
            <w:pPr>
              <w:spacing w:before="68" w:line="184" w:lineRule="auto"/>
              <w:ind w:left="679"/>
              <w:rPr>
                <w:rFonts w:ascii="黑体" w:hAnsi="黑体" w:eastAsia="黑体" w:cs="黑体"/>
                <w:spacing w:val="-2"/>
                <w:sz w:val="21"/>
                <w:szCs w:val="21"/>
              </w:rPr>
            </w:pPr>
          </w:p>
          <w:p w14:paraId="4EC614E7">
            <w:pPr>
              <w:spacing w:before="68" w:line="184" w:lineRule="auto"/>
              <w:ind w:left="679"/>
              <w:rPr>
                <w:rFonts w:ascii="黑体" w:hAnsi="黑体" w:eastAsia="黑体" w:cs="黑体"/>
                <w:spacing w:val="-2"/>
                <w:sz w:val="21"/>
                <w:szCs w:val="21"/>
              </w:rPr>
            </w:pPr>
          </w:p>
          <w:p w14:paraId="796DAD88">
            <w:pPr>
              <w:spacing w:before="68" w:line="184" w:lineRule="auto"/>
              <w:jc w:val="center"/>
              <w:rPr>
                <w:rFonts w:ascii="黑体" w:hAnsi="黑体" w:eastAsia="黑体" w:cs="黑体"/>
                <w:spacing w:val="-2"/>
                <w:sz w:val="21"/>
                <w:szCs w:val="21"/>
              </w:rPr>
            </w:pPr>
            <w:r>
              <w:rPr>
                <w:rFonts w:ascii="黑体" w:hAnsi="黑体" w:eastAsia="黑体" w:cs="黑体"/>
                <w:spacing w:val="-2"/>
                <w:sz w:val="21"/>
                <w:szCs w:val="21"/>
              </w:rPr>
              <w:t>S5</w:t>
            </w:r>
          </w:p>
          <w:p w14:paraId="5F70AF3D">
            <w:pPr>
              <w:spacing w:before="68" w:line="184" w:lineRule="auto"/>
              <w:jc w:val="center"/>
              <w:rPr>
                <w:rFonts w:ascii="黑体" w:hAnsi="黑体" w:eastAsia="黑体" w:cs="黑体"/>
                <w:spacing w:val="-2"/>
                <w:sz w:val="21"/>
                <w:szCs w:val="21"/>
                <w:lang w:val="en-US" w:eastAsia="en-US"/>
              </w:rPr>
            </w:pPr>
            <w:r>
              <w:rPr>
                <w:rFonts w:ascii="黑体" w:hAnsi="黑体" w:eastAsia="黑体" w:cs="黑体"/>
                <w:spacing w:val="-2"/>
                <w:sz w:val="21"/>
                <w:szCs w:val="21"/>
              </w:rPr>
              <w:t>(生态融合级)</w:t>
            </w:r>
          </w:p>
        </w:tc>
        <w:tc>
          <w:tcPr>
            <w:tcW w:w="2131" w:type="dxa"/>
            <w:shd w:val="clear" w:color="auto" w:fill="auto"/>
            <w:vAlign w:val="top"/>
          </w:tcPr>
          <w:p w14:paraId="4CECA50F">
            <w:pPr>
              <w:spacing w:line="251" w:lineRule="auto"/>
              <w:rPr>
                <w:rFonts w:ascii="Arial"/>
                <w:sz w:val="21"/>
                <w:szCs w:val="21"/>
                <w:lang w:val="en-US" w:eastAsia="en-US"/>
              </w:rPr>
            </w:pPr>
            <w:r>
              <w:rPr>
                <w:rFonts w:ascii="Arial"/>
                <w:sz w:val="21"/>
                <w:szCs w:val="21"/>
              </w:rPr>
              <w:t>装备已高度智能、无人自主，可根据不同场景需求进行快速定制和配置。</w:t>
            </w:r>
          </w:p>
        </w:tc>
        <w:tc>
          <w:tcPr>
            <w:tcW w:w="2046" w:type="dxa"/>
            <w:shd w:val="clear" w:color="auto" w:fill="auto"/>
            <w:vAlign w:val="top"/>
          </w:tcPr>
          <w:p w14:paraId="6650469E">
            <w:pPr>
              <w:spacing w:line="251" w:lineRule="auto"/>
              <w:rPr>
                <w:rFonts w:ascii="Arial"/>
                <w:sz w:val="21"/>
                <w:szCs w:val="21"/>
                <w:lang w:val="en-US" w:eastAsia="en-US"/>
              </w:rPr>
            </w:pPr>
            <w:r>
              <w:rPr>
                <w:rFonts w:ascii="Arial"/>
                <w:sz w:val="21"/>
                <w:szCs w:val="21"/>
              </w:rPr>
              <w:t>载荷生态系统丰富，实现一定程度的自感知、自决策、自执行，形成了开放的第三方开发者市场。</w:t>
            </w:r>
          </w:p>
        </w:tc>
        <w:tc>
          <w:tcPr>
            <w:tcW w:w="2042" w:type="dxa"/>
            <w:shd w:val="clear" w:color="auto" w:fill="auto"/>
            <w:vAlign w:val="top"/>
          </w:tcPr>
          <w:p w14:paraId="70DC2A60">
            <w:pPr>
              <w:spacing w:line="251" w:lineRule="auto"/>
              <w:rPr>
                <w:rFonts w:ascii="Arial"/>
                <w:sz w:val="21"/>
                <w:szCs w:val="21"/>
                <w:lang w:val="en-US" w:eastAsia="en-US"/>
              </w:rPr>
            </w:pPr>
            <w:r>
              <w:rPr>
                <w:rFonts w:ascii="Arial"/>
                <w:sz w:val="21"/>
                <w:szCs w:val="21"/>
              </w:rPr>
              <w:t>技术体系完备，形成了跨领域的技术融合与创新生态，在行业标准或规范方面引领世界。</w:t>
            </w:r>
          </w:p>
        </w:tc>
        <w:tc>
          <w:tcPr>
            <w:tcW w:w="2042" w:type="dxa"/>
            <w:shd w:val="clear" w:color="auto" w:fill="auto"/>
            <w:vAlign w:val="top"/>
          </w:tcPr>
          <w:p w14:paraId="1C171634">
            <w:pPr>
              <w:spacing w:line="251" w:lineRule="auto"/>
              <w:rPr>
                <w:rFonts w:ascii="Arial"/>
                <w:sz w:val="21"/>
                <w:szCs w:val="21"/>
              </w:rPr>
            </w:pPr>
          </w:p>
          <w:p w14:paraId="776F0AD2">
            <w:pPr>
              <w:spacing w:line="251" w:lineRule="auto"/>
              <w:rPr>
                <w:rFonts w:ascii="Arial"/>
                <w:sz w:val="21"/>
                <w:szCs w:val="21"/>
                <w:lang w:val="en-US" w:eastAsia="en-US"/>
              </w:rPr>
            </w:pPr>
            <w:r>
              <w:rPr>
                <w:rFonts w:ascii="Arial"/>
                <w:sz w:val="21"/>
                <w:szCs w:val="21"/>
              </w:rPr>
              <w:t>有人无人运行全域融合，空域实现动态使用、无缝衔接。</w:t>
            </w:r>
          </w:p>
        </w:tc>
        <w:tc>
          <w:tcPr>
            <w:tcW w:w="2044" w:type="dxa"/>
            <w:shd w:val="clear" w:color="auto" w:fill="auto"/>
            <w:vAlign w:val="top"/>
          </w:tcPr>
          <w:p w14:paraId="0618B1FA">
            <w:pPr>
              <w:spacing w:line="251" w:lineRule="auto"/>
              <w:rPr>
                <w:rFonts w:ascii="Arial"/>
                <w:sz w:val="21"/>
                <w:szCs w:val="21"/>
                <w:lang w:val="en-US" w:eastAsia="en-US"/>
              </w:rPr>
            </w:pPr>
            <w:r>
              <w:rPr>
                <w:rFonts w:ascii="Arial"/>
                <w:sz w:val="21"/>
                <w:szCs w:val="21"/>
              </w:rPr>
              <w:t>低空基础设施实现了与城市基础设施的深度融合，成为像道路、电网一样的通用基础设施。</w:t>
            </w:r>
          </w:p>
        </w:tc>
        <w:tc>
          <w:tcPr>
            <w:tcW w:w="2090" w:type="dxa"/>
            <w:shd w:val="clear" w:color="auto" w:fill="auto"/>
            <w:vAlign w:val="top"/>
          </w:tcPr>
          <w:p w14:paraId="42326B6B">
            <w:pPr>
              <w:spacing w:line="251" w:lineRule="auto"/>
              <w:rPr>
                <w:rFonts w:ascii="Arial"/>
                <w:sz w:val="21"/>
                <w:szCs w:val="21"/>
                <w:lang w:val="en-US" w:eastAsia="en-US"/>
              </w:rPr>
            </w:pPr>
            <w:r>
              <w:rPr>
                <w:rFonts w:ascii="Arial"/>
                <w:sz w:val="21"/>
                <w:szCs w:val="21"/>
              </w:rPr>
              <w:t>低空装备与技术体系深度融入社会生产生活，成为可靠、高效、泛在的基础性工具。</w:t>
            </w:r>
          </w:p>
        </w:tc>
      </w:tr>
    </w:tbl>
    <w:p w14:paraId="0C2634E6">
      <w:pPr>
        <w:rPr>
          <w:rFonts w:hint="default" w:ascii="Segoe UI" w:hAnsi="Segoe UI" w:eastAsia="宋体" w:cs="Segoe UI"/>
          <w:i w:val="0"/>
          <w:iCs w:val="0"/>
          <w:caps w:val="0"/>
          <w:spacing w:val="0"/>
          <w:sz w:val="24"/>
          <w:szCs w:val="24"/>
          <w:shd w:val="clear" w:fill="FFFFFF"/>
          <w:lang w:val="en-US" w:eastAsia="zh-CN"/>
        </w:rPr>
        <w:sectPr>
          <w:pgSz w:w="16838" w:h="11906" w:orient="landscape"/>
          <w:pgMar w:top="1800" w:right="1440" w:bottom="1800" w:left="1440" w:header="851" w:footer="992" w:gutter="0"/>
          <w:cols w:space="425" w:num="1"/>
          <w:docGrid w:type="lines" w:linePitch="312" w:charSpace="0"/>
        </w:sectPr>
      </w:pPr>
    </w:p>
    <w:p w14:paraId="1549F706">
      <w:pPr>
        <w:keepNext w:val="0"/>
        <w:keepLines w:val="0"/>
        <w:pageBreakBefore w:val="0"/>
        <w:widowControl/>
        <w:numPr>
          <w:ilvl w:val="2"/>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2"/>
        <w:rPr>
          <w:rFonts w:hint="eastAsia" w:ascii="Segoe UI" w:hAnsi="Segoe UI" w:eastAsia="Segoe UI" w:cs="Segoe UI"/>
          <w:b/>
          <w:bCs/>
          <w:i w:val="0"/>
          <w:iCs w:val="0"/>
          <w:caps w:val="0"/>
          <w:spacing w:val="0"/>
          <w:sz w:val="24"/>
          <w:szCs w:val="24"/>
          <w:shd w:val="clear" w:fill="FFFFFF"/>
          <w:lang w:val="en-US" w:eastAsia="zh-CN"/>
        </w:rPr>
      </w:pPr>
      <w:r>
        <w:rPr>
          <w:rFonts w:hint="eastAsia"/>
          <w:b/>
          <w:bCs/>
          <w:sz w:val="24"/>
          <w:szCs w:val="24"/>
          <w:lang w:val="en-US" w:eastAsia="zh-CN"/>
        </w:rPr>
        <w:t xml:space="preserve"> 需求侧成长度评价（D1-D5）</w:t>
      </w:r>
    </w:p>
    <w:p w14:paraId="38B16DE4">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需求侧成长度是衡量一个低空经济场景市场潜力与社会价值的核心指标，它综合反映了市场对场景的需求强度、政策支持力度以及社会对该场景的接纳意愿。场景需求强度主要由行业分类、实现功能的价值紧迫性决定，并受到政策法规、安全风险这两个要素的强烈影响。基于此，结合前文对场景各要素的解析，该评价体系选取行业分类、实现功能、政策法规、安全风险这四个要素，即围绕“行业—功能—政策—安全”四大需求影响动因展开评估。同时，为了将需求侧成长度进行量化，我们将其分为从需求萌芽到需求稳固的五级成长度模型（D1-D5），并尝试为每个等级给出较为明确的特征定义，详见表2。</w:t>
      </w:r>
    </w:p>
    <w:p w14:paraId="167B3F5A">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p>
    <w:p w14:paraId="5A648900">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p>
    <w:p w14:paraId="13ACB0B3">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p>
    <w:p w14:paraId="16EBC2F2">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p>
    <w:p w14:paraId="0D6365DD">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p>
    <w:p w14:paraId="26EFED84">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p>
    <w:p w14:paraId="22D50388">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p>
    <w:p w14:paraId="1C1C7AF9">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p>
    <w:p w14:paraId="03851BE6">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p>
    <w:p w14:paraId="22B024D2">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p>
    <w:p w14:paraId="404D49A6">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p>
    <w:p w14:paraId="1FF1BC3B">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p>
    <w:p w14:paraId="2C5AA443">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p>
    <w:p w14:paraId="7F0B2201">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p>
    <w:p w14:paraId="1564D4D0">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p>
    <w:p w14:paraId="412A7EFA">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p>
    <w:p w14:paraId="3FF9B0E8">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p>
    <w:p w14:paraId="72C5CC7B">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p>
    <w:p w14:paraId="3077A265">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p>
    <w:p w14:paraId="6E34AB5D">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p>
    <w:p w14:paraId="75AB90A4">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p>
    <w:p w14:paraId="2D5C735C">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default" w:ascii="Segoe UI" w:hAnsi="Segoe UI" w:eastAsia="宋体" w:cs="Segoe UI"/>
          <w:i w:val="0"/>
          <w:iCs w:val="0"/>
          <w:caps w:val="0"/>
          <w:spacing w:val="0"/>
          <w:sz w:val="24"/>
          <w:szCs w:val="24"/>
          <w:shd w:val="clear" w:fill="FFFFFF"/>
          <w:lang w:val="en-US" w:eastAsia="zh-CN"/>
        </w:rPr>
        <w:sectPr>
          <w:pgSz w:w="11906" w:h="16838"/>
          <w:pgMar w:top="1440" w:right="1800" w:bottom="1440" w:left="1800" w:header="851" w:footer="992" w:gutter="0"/>
          <w:cols w:space="425" w:num="1"/>
          <w:docGrid w:type="lines" w:linePitch="312" w:charSpace="0"/>
        </w:sectPr>
      </w:pPr>
    </w:p>
    <w:tbl>
      <w:tblPr>
        <w:tblStyle w:val="19"/>
        <w:tblW w:w="1584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Layout w:type="fixed"/>
        <w:tblCellMar>
          <w:top w:w="0" w:type="dxa"/>
          <w:left w:w="0" w:type="dxa"/>
          <w:bottom w:w="0" w:type="dxa"/>
          <w:right w:w="0" w:type="dxa"/>
        </w:tblCellMar>
      </w:tblPr>
      <w:tblGrid>
        <w:gridCol w:w="1505"/>
        <w:gridCol w:w="2869"/>
        <w:gridCol w:w="2872"/>
        <w:gridCol w:w="2959"/>
        <w:gridCol w:w="2786"/>
        <w:gridCol w:w="2853"/>
      </w:tblGrid>
      <w:tr w14:paraId="6C58EE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6" w:hRule="atLeast"/>
          <w:jc w:val="center"/>
        </w:trPr>
        <w:tc>
          <w:tcPr>
            <w:tcW w:w="1505" w:type="dxa"/>
            <w:vMerge w:val="restart"/>
            <w:tcBorders>
              <w:top w:val="single" w:color="000000" w:sz="2" w:space="0"/>
              <w:left w:val="single" w:color="000000" w:sz="2" w:space="0"/>
              <w:bottom w:val="nil"/>
              <w:right w:val="single" w:color="000000" w:sz="2" w:space="0"/>
            </w:tcBorders>
            <w:shd w:val="clear" w:color="auto" w:fill="auto"/>
            <w:vAlign w:val="top"/>
          </w:tcPr>
          <w:p w14:paraId="0FA3E88F">
            <w:pPr>
              <w:keepNext w:val="0"/>
              <w:keepLines w:val="0"/>
              <w:widowControl/>
              <w:suppressLineNumbers w:val="0"/>
              <w:kinsoku w:val="0"/>
              <w:autoSpaceDE w:val="0"/>
              <w:autoSpaceDN w:val="0"/>
              <w:adjustRightInd w:val="0"/>
              <w:snapToGrid w:val="0"/>
              <w:spacing w:before="308" w:beforeAutospacing="0" w:after="0" w:afterAutospacing="0"/>
              <w:ind w:left="229" w:right="0"/>
              <w:jc w:val="left"/>
              <w:textAlignment w:val="baseline"/>
              <w:rPr>
                <w:rFonts w:hint="eastAsia" w:ascii="黑体" w:hAnsi="宋体" w:eastAsia="黑体" w:cs="黑体"/>
                <w:color w:val="000000"/>
                <w:kern w:val="0"/>
                <w:sz w:val="21"/>
                <w:szCs w:val="21"/>
              </w:rPr>
            </w:pPr>
            <w:r>
              <w:rPr>
                <w:rFonts w:hint="eastAsia" w:ascii="黑体" w:hAnsi="宋体" w:eastAsia="黑体" w:cs="黑体"/>
                <w:snapToGrid w:val="0"/>
                <w:color w:val="000000"/>
                <w:spacing w:val="-1"/>
                <w:kern w:val="0"/>
                <w:sz w:val="21"/>
                <w:szCs w:val="21"/>
                <w:lang w:val="en-US" w:eastAsia="zh-CN" w:bidi="ar"/>
              </w:rPr>
              <w:t>成长度等级</w:t>
            </w:r>
          </w:p>
        </w:tc>
        <w:tc>
          <w:tcPr>
            <w:tcW w:w="11486" w:type="dxa"/>
            <w:gridSpan w:val="4"/>
            <w:tcBorders>
              <w:top w:val="single" w:color="000000" w:sz="2" w:space="0"/>
              <w:left w:val="single" w:color="000000" w:sz="2" w:space="0"/>
              <w:bottom w:val="single" w:color="000000" w:sz="2" w:space="0"/>
              <w:right w:val="single" w:color="000000" w:sz="2" w:space="0"/>
            </w:tcBorders>
            <w:shd w:val="clear" w:color="auto" w:fill="auto"/>
            <w:vAlign w:val="top"/>
          </w:tcPr>
          <w:p w14:paraId="69ADEAFF">
            <w:pPr>
              <w:keepNext w:val="0"/>
              <w:keepLines w:val="0"/>
              <w:widowControl/>
              <w:suppressLineNumbers w:val="0"/>
              <w:kinsoku w:val="0"/>
              <w:autoSpaceDE w:val="0"/>
              <w:autoSpaceDN w:val="0"/>
              <w:adjustRightInd w:val="0"/>
              <w:snapToGrid w:val="0"/>
              <w:spacing w:before="92" w:beforeAutospacing="0" w:after="0" w:afterAutospacing="0"/>
              <w:ind w:left="5222" w:right="0"/>
              <w:jc w:val="left"/>
              <w:textAlignment w:val="baseline"/>
              <w:rPr>
                <w:rFonts w:hint="eastAsia" w:ascii="黑体" w:hAnsi="宋体" w:eastAsia="黑体" w:cs="黑体"/>
                <w:color w:val="000000"/>
                <w:kern w:val="0"/>
                <w:sz w:val="21"/>
                <w:szCs w:val="21"/>
              </w:rPr>
            </w:pPr>
            <w:r>
              <w:rPr>
                <w:rFonts w:hint="eastAsia" w:ascii="黑体" w:hAnsi="宋体" w:eastAsia="黑体" w:cs="黑体"/>
                <w:snapToGrid w:val="0"/>
                <w:color w:val="000000"/>
                <w:spacing w:val="-2"/>
                <w:kern w:val="0"/>
                <w:sz w:val="21"/>
                <w:szCs w:val="21"/>
                <w:lang w:val="en-US" w:eastAsia="zh-CN" w:bidi="ar"/>
              </w:rPr>
              <w:t>各要素特征</w:t>
            </w:r>
          </w:p>
        </w:tc>
        <w:tc>
          <w:tcPr>
            <w:tcW w:w="2853" w:type="dxa"/>
            <w:vMerge w:val="restart"/>
            <w:tcBorders>
              <w:top w:val="single" w:color="000000" w:sz="2" w:space="0"/>
              <w:left w:val="single" w:color="000000" w:sz="2" w:space="0"/>
              <w:bottom w:val="nil"/>
              <w:right w:val="single" w:color="000000" w:sz="2" w:space="0"/>
            </w:tcBorders>
            <w:shd w:val="clear" w:color="auto" w:fill="auto"/>
            <w:vAlign w:val="top"/>
          </w:tcPr>
          <w:p w14:paraId="5FEE4B25">
            <w:pPr>
              <w:keepNext w:val="0"/>
              <w:keepLines w:val="0"/>
              <w:widowControl/>
              <w:suppressLineNumbers w:val="0"/>
              <w:kinsoku w:val="0"/>
              <w:autoSpaceDE w:val="0"/>
              <w:autoSpaceDN w:val="0"/>
              <w:adjustRightInd w:val="0"/>
              <w:snapToGrid w:val="0"/>
              <w:spacing w:before="308" w:beforeAutospacing="0" w:after="0" w:afterAutospacing="0"/>
              <w:ind w:left="1015" w:right="0"/>
              <w:jc w:val="left"/>
              <w:textAlignment w:val="baseline"/>
              <w:rPr>
                <w:rFonts w:hint="eastAsia" w:ascii="黑体" w:hAnsi="宋体" w:eastAsia="黑体" w:cs="黑体"/>
                <w:color w:val="000000"/>
                <w:kern w:val="0"/>
                <w:sz w:val="21"/>
                <w:szCs w:val="21"/>
              </w:rPr>
            </w:pPr>
            <w:r>
              <w:rPr>
                <w:rFonts w:hint="eastAsia" w:ascii="黑体" w:hAnsi="宋体" w:eastAsia="黑体" w:cs="黑体"/>
                <w:snapToGrid w:val="0"/>
                <w:color w:val="000000"/>
                <w:spacing w:val="-3"/>
                <w:kern w:val="0"/>
                <w:sz w:val="21"/>
                <w:szCs w:val="21"/>
                <w:lang w:val="en-US" w:eastAsia="zh-CN" w:bidi="ar"/>
              </w:rPr>
              <w:t>总体特征</w:t>
            </w:r>
          </w:p>
        </w:tc>
      </w:tr>
      <w:tr w14:paraId="3C1D78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0" w:type="dxa"/>
            <w:left w:w="0" w:type="dxa"/>
            <w:bottom w:w="0" w:type="dxa"/>
            <w:right w:w="0" w:type="dxa"/>
          </w:tblCellMar>
        </w:tblPrEx>
        <w:trPr>
          <w:trHeight w:val="429" w:hRule="atLeast"/>
          <w:jc w:val="center"/>
        </w:trPr>
        <w:tc>
          <w:tcPr>
            <w:tcW w:w="1505" w:type="dxa"/>
            <w:vMerge w:val="continue"/>
            <w:tcBorders>
              <w:top w:val="single" w:color="000000" w:sz="2" w:space="0"/>
              <w:left w:val="single" w:color="000000" w:sz="2" w:space="0"/>
              <w:bottom w:val="nil"/>
              <w:right w:val="single" w:color="000000" w:sz="2" w:space="0"/>
            </w:tcBorders>
            <w:shd w:val="clear" w:color="auto" w:fill="auto"/>
            <w:vAlign w:val="top"/>
          </w:tcPr>
          <w:p w14:paraId="0F7961B0">
            <w:pPr>
              <w:rPr>
                <w:rFonts w:hint="default" w:ascii="Times New Roman" w:hAnsi="Times New Roman" w:cs="Times New Roman"/>
                <w:sz w:val="20"/>
                <w:szCs w:val="20"/>
              </w:rPr>
            </w:pPr>
          </w:p>
        </w:tc>
        <w:tc>
          <w:tcPr>
            <w:tcW w:w="2869" w:type="dxa"/>
            <w:tcBorders>
              <w:top w:val="single" w:color="000000" w:sz="2" w:space="0"/>
              <w:left w:val="single" w:color="000000" w:sz="2" w:space="0"/>
              <w:bottom w:val="single" w:color="000000" w:sz="2" w:space="0"/>
              <w:right w:val="single" w:color="000000" w:sz="2" w:space="0"/>
            </w:tcBorders>
            <w:shd w:val="clear" w:color="auto" w:fill="auto"/>
            <w:vAlign w:val="top"/>
          </w:tcPr>
          <w:p w14:paraId="3487790B">
            <w:pPr>
              <w:keepNext w:val="0"/>
              <w:keepLines w:val="0"/>
              <w:widowControl/>
              <w:suppressLineNumbers w:val="0"/>
              <w:kinsoku w:val="0"/>
              <w:autoSpaceDE w:val="0"/>
              <w:autoSpaceDN w:val="0"/>
              <w:adjustRightInd w:val="0"/>
              <w:snapToGrid w:val="0"/>
              <w:spacing w:before="85" w:beforeAutospacing="0" w:after="0" w:afterAutospacing="0"/>
              <w:ind w:left="389" w:right="0"/>
              <w:jc w:val="left"/>
              <w:textAlignment w:val="baseline"/>
              <w:rPr>
                <w:rFonts w:hint="eastAsia" w:ascii="黑体" w:hAnsi="宋体" w:eastAsia="黑体" w:cs="黑体"/>
                <w:color w:val="000000"/>
                <w:kern w:val="0"/>
                <w:sz w:val="21"/>
                <w:szCs w:val="21"/>
              </w:rPr>
            </w:pPr>
            <w:r>
              <w:rPr>
                <w:rFonts w:hint="eastAsia" w:ascii="黑体" w:hAnsi="宋体" w:eastAsia="黑体" w:cs="黑体"/>
                <w:snapToGrid w:val="0"/>
                <w:color w:val="000000"/>
                <w:spacing w:val="-1"/>
                <w:kern w:val="0"/>
                <w:sz w:val="21"/>
                <w:szCs w:val="21"/>
                <w:lang w:val="en-US" w:eastAsia="zh-CN" w:bidi="ar"/>
              </w:rPr>
              <w:t>行业分类（痛点价值）</w:t>
            </w:r>
          </w:p>
        </w:tc>
        <w:tc>
          <w:tcPr>
            <w:tcW w:w="2872" w:type="dxa"/>
            <w:tcBorders>
              <w:top w:val="single" w:color="000000" w:sz="2" w:space="0"/>
              <w:left w:val="single" w:color="000000" w:sz="2" w:space="0"/>
              <w:bottom w:val="single" w:color="000000" w:sz="2" w:space="0"/>
              <w:right w:val="single" w:color="000000" w:sz="2" w:space="0"/>
            </w:tcBorders>
            <w:shd w:val="clear" w:color="auto" w:fill="auto"/>
            <w:vAlign w:val="top"/>
          </w:tcPr>
          <w:p w14:paraId="5D2DAF09">
            <w:pPr>
              <w:keepNext w:val="0"/>
              <w:keepLines w:val="0"/>
              <w:widowControl/>
              <w:suppressLineNumbers w:val="0"/>
              <w:kinsoku w:val="0"/>
              <w:autoSpaceDE w:val="0"/>
              <w:autoSpaceDN w:val="0"/>
              <w:adjustRightInd w:val="0"/>
              <w:snapToGrid w:val="0"/>
              <w:spacing w:before="85" w:beforeAutospacing="0" w:after="0" w:afterAutospacing="0"/>
              <w:ind w:left="294" w:right="0"/>
              <w:jc w:val="left"/>
              <w:textAlignment w:val="baseline"/>
              <w:rPr>
                <w:rFonts w:hint="eastAsia" w:ascii="黑体" w:hAnsi="宋体" w:eastAsia="黑体" w:cs="黑体"/>
                <w:color w:val="000000"/>
                <w:kern w:val="0"/>
                <w:sz w:val="21"/>
                <w:szCs w:val="21"/>
              </w:rPr>
            </w:pPr>
            <w:r>
              <w:rPr>
                <w:rFonts w:hint="eastAsia" w:ascii="黑体" w:hAnsi="宋体" w:eastAsia="黑体" w:cs="黑体"/>
                <w:snapToGrid w:val="0"/>
                <w:color w:val="000000"/>
                <w:spacing w:val="-2"/>
                <w:kern w:val="0"/>
                <w:sz w:val="21"/>
                <w:szCs w:val="21"/>
                <w:lang w:val="en-US" w:eastAsia="zh-CN" w:bidi="ar"/>
              </w:rPr>
              <w:t>实现功能（不可替代性）</w:t>
            </w:r>
          </w:p>
        </w:tc>
        <w:tc>
          <w:tcPr>
            <w:tcW w:w="2959" w:type="dxa"/>
            <w:tcBorders>
              <w:top w:val="single" w:color="000000" w:sz="2" w:space="0"/>
              <w:left w:val="single" w:color="000000" w:sz="2" w:space="0"/>
              <w:bottom w:val="single" w:color="000000" w:sz="2" w:space="0"/>
              <w:right w:val="single" w:color="000000" w:sz="2" w:space="0"/>
            </w:tcBorders>
            <w:shd w:val="clear" w:color="auto" w:fill="auto"/>
            <w:vAlign w:val="top"/>
          </w:tcPr>
          <w:p w14:paraId="4E10494E">
            <w:pPr>
              <w:keepNext w:val="0"/>
              <w:keepLines w:val="0"/>
              <w:widowControl/>
              <w:suppressLineNumbers w:val="0"/>
              <w:kinsoku w:val="0"/>
              <w:autoSpaceDE w:val="0"/>
              <w:autoSpaceDN w:val="0"/>
              <w:adjustRightInd w:val="0"/>
              <w:snapToGrid w:val="0"/>
              <w:spacing w:before="85" w:beforeAutospacing="0" w:after="0" w:afterAutospacing="0"/>
              <w:ind w:left="117" w:right="0"/>
              <w:jc w:val="left"/>
              <w:textAlignment w:val="baseline"/>
              <w:rPr>
                <w:rFonts w:hint="eastAsia" w:ascii="黑体" w:hAnsi="宋体" w:eastAsia="黑体" w:cs="黑体"/>
                <w:color w:val="000000"/>
                <w:kern w:val="0"/>
                <w:sz w:val="21"/>
                <w:szCs w:val="21"/>
              </w:rPr>
            </w:pPr>
            <w:r>
              <w:rPr>
                <w:rFonts w:hint="eastAsia" w:ascii="黑体" w:hAnsi="宋体" w:eastAsia="黑体" w:cs="黑体"/>
                <w:snapToGrid w:val="0"/>
                <w:color w:val="000000"/>
                <w:spacing w:val="-2"/>
                <w:kern w:val="0"/>
                <w:sz w:val="21"/>
                <w:szCs w:val="21"/>
                <w:lang w:val="en-US" w:eastAsia="zh-CN" w:bidi="ar"/>
              </w:rPr>
              <w:t>政策法规（支持与引导力度）</w:t>
            </w:r>
          </w:p>
        </w:tc>
        <w:tc>
          <w:tcPr>
            <w:tcW w:w="2786" w:type="dxa"/>
            <w:tcBorders>
              <w:top w:val="single" w:color="000000" w:sz="2" w:space="0"/>
              <w:left w:val="single" w:color="000000" w:sz="2" w:space="0"/>
              <w:bottom w:val="single" w:color="000000" w:sz="2" w:space="0"/>
              <w:right w:val="single" w:color="000000" w:sz="2" w:space="0"/>
            </w:tcBorders>
            <w:shd w:val="clear" w:color="auto" w:fill="auto"/>
            <w:vAlign w:val="top"/>
          </w:tcPr>
          <w:p w14:paraId="531D1002">
            <w:pPr>
              <w:keepNext w:val="0"/>
              <w:keepLines w:val="0"/>
              <w:widowControl/>
              <w:suppressLineNumbers w:val="0"/>
              <w:kinsoku w:val="0"/>
              <w:autoSpaceDE w:val="0"/>
              <w:autoSpaceDN w:val="0"/>
              <w:adjustRightInd w:val="0"/>
              <w:snapToGrid w:val="0"/>
              <w:spacing w:before="85" w:beforeAutospacing="0" w:after="0" w:afterAutospacing="0"/>
              <w:ind w:left="461" w:right="0"/>
              <w:jc w:val="left"/>
              <w:textAlignment w:val="baseline"/>
              <w:rPr>
                <w:rFonts w:hint="eastAsia" w:ascii="黑体" w:hAnsi="宋体" w:eastAsia="黑体" w:cs="黑体"/>
                <w:color w:val="000000"/>
                <w:kern w:val="0"/>
                <w:sz w:val="21"/>
                <w:szCs w:val="21"/>
              </w:rPr>
            </w:pPr>
            <w:r>
              <w:rPr>
                <w:rFonts w:hint="eastAsia" w:ascii="黑体" w:hAnsi="宋体" w:eastAsia="黑体" w:cs="黑体"/>
                <w:snapToGrid w:val="0"/>
                <w:color w:val="000000"/>
                <w:spacing w:val="-3"/>
                <w:kern w:val="0"/>
                <w:sz w:val="21"/>
                <w:szCs w:val="21"/>
                <w:lang w:val="en-US" w:eastAsia="zh-CN" w:bidi="ar"/>
              </w:rPr>
              <w:t>安全风险（可控性）</w:t>
            </w:r>
          </w:p>
        </w:tc>
        <w:tc>
          <w:tcPr>
            <w:tcW w:w="2853" w:type="dxa"/>
            <w:vMerge w:val="continue"/>
            <w:tcBorders>
              <w:top w:val="single" w:color="000000" w:sz="2" w:space="0"/>
              <w:left w:val="single" w:color="000000" w:sz="2" w:space="0"/>
              <w:bottom w:val="nil"/>
              <w:right w:val="single" w:color="000000" w:sz="2" w:space="0"/>
            </w:tcBorders>
            <w:shd w:val="clear" w:color="auto" w:fill="auto"/>
            <w:vAlign w:val="top"/>
          </w:tcPr>
          <w:p w14:paraId="4DF76C1A">
            <w:pPr>
              <w:rPr>
                <w:rFonts w:hint="default" w:ascii="Times New Roman" w:hAnsi="Times New Roman" w:cs="Times New Roman"/>
                <w:sz w:val="20"/>
                <w:szCs w:val="20"/>
              </w:rPr>
            </w:pPr>
          </w:p>
        </w:tc>
      </w:tr>
      <w:tr w14:paraId="616041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82" w:hRule="atLeast"/>
          <w:jc w:val="center"/>
        </w:trPr>
        <w:tc>
          <w:tcPr>
            <w:tcW w:w="1505" w:type="dxa"/>
            <w:tcBorders>
              <w:top w:val="single" w:color="000000" w:sz="2" w:space="0"/>
              <w:left w:val="single" w:color="000000" w:sz="2" w:space="0"/>
              <w:bottom w:val="single" w:color="000000" w:sz="2" w:space="0"/>
              <w:right w:val="single" w:color="000000" w:sz="2" w:space="0"/>
            </w:tcBorders>
            <w:shd w:val="clear" w:color="auto" w:fill="auto"/>
            <w:vAlign w:val="top"/>
          </w:tcPr>
          <w:p w14:paraId="4144476A">
            <w:pPr>
              <w:keepNext w:val="0"/>
              <w:keepLines w:val="0"/>
              <w:widowControl/>
              <w:suppressLineNumbers w:val="0"/>
              <w:kinsoku w:val="0"/>
              <w:autoSpaceDE w:val="0"/>
              <w:autoSpaceDN w:val="0"/>
              <w:adjustRightInd w:val="0"/>
              <w:snapToGrid w:val="0"/>
              <w:spacing w:before="0" w:beforeAutospacing="0" w:after="0" w:afterAutospacing="0" w:line="256" w:lineRule="auto"/>
              <w:ind w:left="0" w:right="0"/>
              <w:jc w:val="left"/>
              <w:textAlignment w:val="baseline"/>
              <w:rPr>
                <w:rFonts w:hint="default" w:ascii="Arial" w:hAnsi="Arial" w:cs="Arial"/>
                <w:color w:val="000000"/>
                <w:kern w:val="0"/>
                <w:sz w:val="21"/>
                <w:szCs w:val="21"/>
              </w:rPr>
            </w:pPr>
          </w:p>
          <w:p w14:paraId="2F24CE3E">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rPr>
            </w:pPr>
          </w:p>
          <w:p w14:paraId="43717242">
            <w:pPr>
              <w:keepNext w:val="0"/>
              <w:keepLines w:val="0"/>
              <w:widowControl/>
              <w:suppressLineNumbers w:val="0"/>
              <w:kinsoku w:val="0"/>
              <w:autoSpaceDE w:val="0"/>
              <w:autoSpaceDN w:val="0"/>
              <w:adjustRightInd w:val="0"/>
              <w:snapToGrid w:val="0"/>
              <w:spacing w:before="68" w:beforeAutospacing="0" w:after="0" w:afterAutospacing="0"/>
              <w:ind w:left="652" w:right="0"/>
              <w:jc w:val="left"/>
              <w:textAlignment w:val="baseline"/>
              <w:rPr>
                <w:rFonts w:hint="eastAsia" w:ascii="黑体" w:hAnsi="宋体" w:eastAsia="黑体" w:cs="黑体"/>
                <w:color w:val="000000"/>
                <w:kern w:val="0"/>
                <w:sz w:val="21"/>
                <w:szCs w:val="21"/>
              </w:rPr>
            </w:pPr>
            <w:r>
              <w:rPr>
                <w:rFonts w:hint="eastAsia" w:ascii="黑体" w:hAnsi="宋体" w:eastAsia="黑体" w:cs="黑体"/>
                <w:snapToGrid w:val="0"/>
                <w:color w:val="000000"/>
                <w:spacing w:val="-2"/>
                <w:kern w:val="0"/>
                <w:sz w:val="21"/>
                <w:szCs w:val="21"/>
                <w:lang w:val="en-US" w:eastAsia="zh-CN" w:bidi="ar"/>
              </w:rPr>
              <w:t>D1</w:t>
            </w:r>
          </w:p>
          <w:p w14:paraId="7803074F">
            <w:pPr>
              <w:keepNext w:val="0"/>
              <w:keepLines w:val="0"/>
              <w:widowControl/>
              <w:suppressLineNumbers w:val="0"/>
              <w:kinsoku w:val="0"/>
              <w:autoSpaceDE w:val="0"/>
              <w:autoSpaceDN w:val="0"/>
              <w:adjustRightInd w:val="0"/>
              <w:snapToGrid w:val="0"/>
              <w:spacing w:before="72" w:beforeAutospacing="0" w:after="0" w:afterAutospacing="0"/>
              <w:ind w:left="167" w:right="0"/>
              <w:jc w:val="left"/>
              <w:textAlignment w:val="baseline"/>
              <w:rPr>
                <w:rFonts w:hint="eastAsia" w:ascii="黑体" w:hAnsi="宋体" w:eastAsia="黑体" w:cs="黑体"/>
                <w:color w:val="000000"/>
                <w:kern w:val="0"/>
                <w:sz w:val="21"/>
                <w:szCs w:val="21"/>
              </w:rPr>
            </w:pPr>
            <w:r>
              <w:rPr>
                <w:rFonts w:hint="eastAsia" w:ascii="黑体" w:hAnsi="宋体" w:eastAsia="黑体" w:cs="黑体"/>
                <w:snapToGrid w:val="0"/>
                <w:color w:val="000000"/>
                <w:spacing w:val="-7"/>
                <w:kern w:val="0"/>
                <w:sz w:val="21"/>
                <w:szCs w:val="21"/>
                <w:lang w:val="en-US" w:eastAsia="zh-CN" w:bidi="ar"/>
              </w:rPr>
              <w:t>(需求萌芽级)</w:t>
            </w:r>
          </w:p>
        </w:tc>
        <w:tc>
          <w:tcPr>
            <w:tcW w:w="2869" w:type="dxa"/>
            <w:tcBorders>
              <w:top w:val="single" w:color="000000" w:sz="2" w:space="0"/>
              <w:left w:val="single" w:color="000000" w:sz="2" w:space="0"/>
              <w:bottom w:val="single" w:color="000000" w:sz="2" w:space="0"/>
              <w:right w:val="single" w:color="000000" w:sz="2" w:space="0"/>
            </w:tcBorders>
            <w:shd w:val="clear" w:color="auto" w:fill="auto"/>
            <w:vAlign w:val="top"/>
          </w:tcPr>
          <w:p w14:paraId="7591A833">
            <w:pPr>
              <w:pStyle w:val="12"/>
              <w:keepNext w:val="0"/>
              <w:keepLines w:val="0"/>
              <w:widowControl/>
              <w:suppressLineNumbers w:val="0"/>
              <w:kinsoku w:val="0"/>
              <w:autoSpaceDE w:val="0"/>
              <w:autoSpaceDN w:val="0"/>
              <w:adjustRightInd w:val="0"/>
              <w:snapToGrid w:val="0"/>
              <w:spacing w:before="85" w:beforeAutospacing="0" w:after="0" w:afterAutospacing="0" w:line="273" w:lineRule="auto"/>
              <w:ind w:left="99" w:right="250"/>
              <w:jc w:val="both"/>
              <w:textAlignment w:val="baseline"/>
              <w:rPr>
                <w:rFonts w:hint="eastAsia" w:ascii="仿宋" w:hAnsi="仿宋" w:eastAsia="仿宋" w:cs="仿宋"/>
                <w:color w:val="000000"/>
                <w:kern w:val="0"/>
                <w:sz w:val="21"/>
                <w:szCs w:val="21"/>
              </w:rPr>
            </w:pPr>
            <w:r>
              <w:rPr>
                <w:rFonts w:hint="eastAsia" w:ascii="仿宋" w:hAnsi="仿宋" w:eastAsia="仿宋" w:cs="仿宋"/>
                <w:snapToGrid/>
                <w:color w:val="000000"/>
                <w:spacing w:val="-1"/>
                <w:kern w:val="0"/>
                <w:sz w:val="21"/>
                <w:szCs w:val="21"/>
                <w:lang w:val="en-US" w:eastAsia="zh-CN" w:bidi="ar"/>
              </w:rPr>
              <w:t>解决的痛点较为边缘，或解决方案的价值不明确，指向未来产业或宏观概念，与当前国民经济行业分类结合松</w:t>
            </w:r>
            <w:r>
              <w:rPr>
                <w:rFonts w:hint="eastAsia" w:ascii="仿宋" w:hAnsi="仿宋" w:eastAsia="仿宋" w:cs="仿宋"/>
                <w:snapToGrid/>
                <w:color w:val="000000"/>
                <w:spacing w:val="-13"/>
                <w:kern w:val="0"/>
                <w:sz w:val="21"/>
                <w:szCs w:val="21"/>
                <w:lang w:val="en-US" w:eastAsia="zh-CN" w:bidi="ar"/>
              </w:rPr>
              <w:t>散。</w:t>
            </w:r>
          </w:p>
        </w:tc>
        <w:tc>
          <w:tcPr>
            <w:tcW w:w="2872" w:type="dxa"/>
            <w:tcBorders>
              <w:top w:val="single" w:color="000000" w:sz="2" w:space="0"/>
              <w:left w:val="single" w:color="000000" w:sz="2" w:space="0"/>
              <w:bottom w:val="single" w:color="000000" w:sz="2" w:space="0"/>
              <w:right w:val="single" w:color="000000" w:sz="2" w:space="0"/>
            </w:tcBorders>
            <w:shd w:val="clear" w:color="auto" w:fill="auto"/>
            <w:vAlign w:val="top"/>
          </w:tcPr>
          <w:p w14:paraId="42BF0800">
            <w:pPr>
              <w:pStyle w:val="12"/>
              <w:keepNext w:val="0"/>
              <w:keepLines w:val="0"/>
              <w:widowControl/>
              <w:suppressLineNumbers w:val="0"/>
              <w:kinsoku w:val="0"/>
              <w:autoSpaceDE w:val="0"/>
              <w:autoSpaceDN w:val="0"/>
              <w:adjustRightInd w:val="0"/>
              <w:snapToGrid w:val="0"/>
              <w:spacing w:before="245" w:beforeAutospacing="0" w:after="0" w:afterAutospacing="0" w:line="273" w:lineRule="auto"/>
              <w:ind w:left="102" w:right="248" w:firstLine="44"/>
              <w:jc w:val="both"/>
              <w:textAlignment w:val="baseline"/>
              <w:rPr>
                <w:rFonts w:hint="eastAsia" w:ascii="仿宋" w:hAnsi="仿宋" w:eastAsia="仿宋" w:cs="仿宋"/>
                <w:color w:val="000000"/>
                <w:kern w:val="0"/>
                <w:sz w:val="21"/>
                <w:szCs w:val="21"/>
              </w:rPr>
            </w:pPr>
            <w:r>
              <w:rPr>
                <w:rFonts w:hint="eastAsia" w:ascii="仿宋" w:hAnsi="仿宋" w:eastAsia="仿宋" w:cs="仿宋"/>
                <w:snapToGrid/>
                <w:color w:val="000000"/>
                <w:spacing w:val="-5"/>
                <w:kern w:val="0"/>
                <w:sz w:val="21"/>
                <w:szCs w:val="21"/>
                <w:lang w:val="en-US" w:eastAsia="zh-CN" w:bidi="ar"/>
              </w:rPr>
              <w:t>旨在解决的理论痛点尚未被</w:t>
            </w:r>
            <w:r>
              <w:rPr>
                <w:rFonts w:hint="eastAsia" w:ascii="仿宋" w:hAnsi="仿宋" w:eastAsia="仿宋" w:cs="仿宋"/>
                <w:snapToGrid/>
                <w:color w:val="000000"/>
                <w:spacing w:val="-1"/>
                <w:kern w:val="0"/>
                <w:sz w:val="21"/>
                <w:szCs w:val="21"/>
                <w:lang w:val="en-US" w:eastAsia="zh-CN" w:bidi="ar"/>
              </w:rPr>
              <w:t>社会广泛感知，存在多种替代解决方案，低空技术或许并非最优选。</w:t>
            </w:r>
          </w:p>
        </w:tc>
        <w:tc>
          <w:tcPr>
            <w:tcW w:w="2959" w:type="dxa"/>
            <w:tcBorders>
              <w:top w:val="single" w:color="000000" w:sz="2" w:space="0"/>
              <w:left w:val="single" w:color="000000" w:sz="2" w:space="0"/>
              <w:bottom w:val="single" w:color="000000" w:sz="2" w:space="0"/>
              <w:right w:val="single" w:color="000000" w:sz="2" w:space="0"/>
            </w:tcBorders>
            <w:shd w:val="clear" w:color="auto" w:fill="auto"/>
            <w:vAlign w:val="top"/>
          </w:tcPr>
          <w:p w14:paraId="27E86C83">
            <w:pPr>
              <w:keepNext w:val="0"/>
              <w:keepLines w:val="0"/>
              <w:widowControl/>
              <w:suppressLineNumbers w:val="0"/>
              <w:kinsoku w:val="0"/>
              <w:autoSpaceDE w:val="0"/>
              <w:autoSpaceDN w:val="0"/>
              <w:adjustRightInd w:val="0"/>
              <w:snapToGrid w:val="0"/>
              <w:spacing w:before="0" w:beforeAutospacing="0" w:after="0" w:afterAutospacing="0" w:line="328" w:lineRule="auto"/>
              <w:ind w:left="0" w:right="0"/>
              <w:jc w:val="left"/>
              <w:textAlignment w:val="baseline"/>
              <w:rPr>
                <w:rFonts w:hint="default" w:ascii="Arial" w:hAnsi="Arial" w:cs="Arial"/>
                <w:color w:val="000000"/>
                <w:kern w:val="0"/>
                <w:sz w:val="21"/>
                <w:szCs w:val="21"/>
              </w:rPr>
            </w:pPr>
          </w:p>
          <w:p w14:paraId="167C8C66">
            <w:pPr>
              <w:pStyle w:val="12"/>
              <w:keepNext w:val="0"/>
              <w:keepLines w:val="0"/>
              <w:widowControl/>
              <w:suppressLineNumbers w:val="0"/>
              <w:kinsoku w:val="0"/>
              <w:autoSpaceDE w:val="0"/>
              <w:autoSpaceDN w:val="0"/>
              <w:adjustRightInd w:val="0"/>
              <w:snapToGrid w:val="0"/>
              <w:spacing w:before="68" w:beforeAutospacing="0" w:after="0" w:afterAutospacing="0" w:line="273" w:lineRule="auto"/>
              <w:ind w:left="108" w:right="126"/>
              <w:jc w:val="both"/>
              <w:textAlignment w:val="baseline"/>
              <w:rPr>
                <w:rFonts w:hint="eastAsia" w:ascii="仿宋" w:hAnsi="仿宋" w:eastAsia="仿宋" w:cs="仿宋"/>
                <w:color w:val="000000"/>
                <w:kern w:val="0"/>
                <w:sz w:val="21"/>
                <w:szCs w:val="21"/>
              </w:rPr>
            </w:pPr>
            <w:r>
              <w:rPr>
                <w:rFonts w:hint="eastAsia" w:ascii="仿宋" w:hAnsi="仿宋" w:eastAsia="仿宋" w:cs="仿宋"/>
                <w:snapToGrid/>
                <w:color w:val="000000"/>
                <w:spacing w:val="-1"/>
                <w:kern w:val="0"/>
                <w:sz w:val="21"/>
                <w:szCs w:val="21"/>
                <w:lang w:val="en-US" w:eastAsia="zh-CN" w:bidi="ar"/>
              </w:rPr>
              <w:t>监管态度以观望和研究为主，尚未有任何针对性的支持或限</w:t>
            </w:r>
            <w:r>
              <w:rPr>
                <w:rFonts w:hint="eastAsia" w:ascii="仿宋" w:hAnsi="仿宋" w:eastAsia="仿宋" w:cs="仿宋"/>
                <w:snapToGrid/>
                <w:color w:val="000000"/>
                <w:spacing w:val="-2"/>
                <w:kern w:val="0"/>
                <w:sz w:val="21"/>
                <w:szCs w:val="21"/>
                <w:lang w:val="en-US" w:eastAsia="zh-CN" w:bidi="ar"/>
              </w:rPr>
              <w:t>制政策出台。</w:t>
            </w:r>
          </w:p>
        </w:tc>
        <w:tc>
          <w:tcPr>
            <w:tcW w:w="2786" w:type="dxa"/>
            <w:tcBorders>
              <w:top w:val="single" w:color="000000" w:sz="2" w:space="0"/>
              <w:left w:val="single" w:color="000000" w:sz="2" w:space="0"/>
              <w:bottom w:val="single" w:color="000000" w:sz="2" w:space="0"/>
              <w:right w:val="single" w:color="000000" w:sz="2" w:space="0"/>
            </w:tcBorders>
            <w:shd w:val="clear" w:color="auto" w:fill="auto"/>
            <w:vAlign w:val="top"/>
          </w:tcPr>
          <w:p w14:paraId="205049AC">
            <w:pPr>
              <w:keepNext w:val="0"/>
              <w:keepLines w:val="0"/>
              <w:widowControl/>
              <w:suppressLineNumbers w:val="0"/>
              <w:kinsoku w:val="0"/>
              <w:autoSpaceDE w:val="0"/>
              <w:autoSpaceDN w:val="0"/>
              <w:adjustRightInd w:val="0"/>
              <w:snapToGrid w:val="0"/>
              <w:spacing w:before="0" w:beforeAutospacing="0" w:after="0" w:afterAutospacing="0" w:line="328" w:lineRule="auto"/>
              <w:ind w:left="0" w:right="0"/>
              <w:jc w:val="left"/>
              <w:textAlignment w:val="baseline"/>
              <w:rPr>
                <w:rFonts w:hint="default" w:ascii="Arial" w:hAnsi="Arial" w:cs="Arial"/>
                <w:color w:val="000000"/>
                <w:kern w:val="0"/>
                <w:sz w:val="21"/>
                <w:szCs w:val="21"/>
              </w:rPr>
            </w:pPr>
          </w:p>
          <w:p w14:paraId="4759E99F">
            <w:pPr>
              <w:pStyle w:val="12"/>
              <w:keepNext w:val="0"/>
              <w:keepLines w:val="0"/>
              <w:widowControl/>
              <w:suppressLineNumbers w:val="0"/>
              <w:kinsoku w:val="0"/>
              <w:autoSpaceDE w:val="0"/>
              <w:autoSpaceDN w:val="0"/>
              <w:adjustRightInd w:val="0"/>
              <w:snapToGrid w:val="0"/>
              <w:spacing w:before="69" w:beforeAutospacing="0" w:after="0" w:afterAutospacing="0" w:line="273" w:lineRule="auto"/>
              <w:ind w:left="101" w:right="163" w:firstLine="6"/>
              <w:jc w:val="both"/>
              <w:textAlignment w:val="baseline"/>
              <w:rPr>
                <w:rFonts w:hint="eastAsia" w:ascii="仿宋" w:hAnsi="仿宋" w:eastAsia="仿宋" w:cs="仿宋"/>
                <w:color w:val="000000"/>
                <w:kern w:val="0"/>
                <w:sz w:val="21"/>
                <w:szCs w:val="21"/>
              </w:rPr>
            </w:pPr>
            <w:r>
              <w:rPr>
                <w:rFonts w:hint="eastAsia" w:ascii="仿宋" w:hAnsi="仿宋" w:eastAsia="仿宋" w:cs="仿宋"/>
                <w:snapToGrid/>
                <w:color w:val="000000"/>
                <w:spacing w:val="-1"/>
                <w:kern w:val="0"/>
                <w:sz w:val="21"/>
                <w:szCs w:val="21"/>
                <w:lang w:val="en-US" w:eastAsia="zh-CN" w:bidi="ar"/>
              </w:rPr>
              <w:t>安全风险认知模糊，缺乏有效的管控手段，社会接受度</w:t>
            </w:r>
            <w:r>
              <w:rPr>
                <w:rFonts w:hint="eastAsia" w:ascii="仿宋" w:hAnsi="仿宋" w:eastAsia="仿宋" w:cs="仿宋"/>
                <w:snapToGrid/>
                <w:color w:val="000000"/>
                <w:spacing w:val="-12"/>
                <w:kern w:val="0"/>
                <w:sz w:val="21"/>
                <w:szCs w:val="21"/>
                <w:lang w:val="en-US" w:eastAsia="zh-CN" w:bidi="ar"/>
              </w:rPr>
              <w:t>低。</w:t>
            </w:r>
          </w:p>
        </w:tc>
        <w:tc>
          <w:tcPr>
            <w:tcW w:w="2853" w:type="dxa"/>
            <w:tcBorders>
              <w:top w:val="single" w:color="000000" w:sz="2" w:space="0"/>
              <w:left w:val="single" w:color="000000" w:sz="2" w:space="0"/>
              <w:bottom w:val="single" w:color="000000" w:sz="2" w:space="0"/>
              <w:right w:val="single" w:color="000000" w:sz="2" w:space="0"/>
            </w:tcBorders>
            <w:shd w:val="clear" w:color="auto" w:fill="auto"/>
            <w:vAlign w:val="top"/>
          </w:tcPr>
          <w:p w14:paraId="154F9504">
            <w:pPr>
              <w:pStyle w:val="12"/>
              <w:keepNext w:val="0"/>
              <w:keepLines w:val="0"/>
              <w:widowControl/>
              <w:suppressLineNumbers w:val="0"/>
              <w:kinsoku w:val="0"/>
              <w:autoSpaceDE w:val="0"/>
              <w:autoSpaceDN w:val="0"/>
              <w:adjustRightInd w:val="0"/>
              <w:snapToGrid w:val="0"/>
              <w:spacing w:before="86" w:beforeAutospacing="0" w:after="0" w:afterAutospacing="0" w:line="276" w:lineRule="auto"/>
              <w:ind w:left="104" w:right="229" w:firstLine="10"/>
              <w:jc w:val="both"/>
              <w:textAlignment w:val="baseline"/>
              <w:rPr>
                <w:rFonts w:hint="eastAsia" w:ascii="仿宋" w:hAnsi="仿宋" w:eastAsia="仿宋" w:cs="仿宋"/>
                <w:color w:val="000000"/>
                <w:kern w:val="0"/>
                <w:sz w:val="21"/>
                <w:szCs w:val="21"/>
              </w:rPr>
            </w:pPr>
            <w:r>
              <w:rPr>
                <w:rFonts w:hint="eastAsia" w:ascii="仿宋" w:hAnsi="仿宋" w:eastAsia="仿宋" w:cs="仿宋"/>
                <w:snapToGrid/>
                <w:color w:val="000000"/>
                <w:spacing w:val="-2"/>
                <w:kern w:val="0"/>
                <w:sz w:val="21"/>
                <w:szCs w:val="21"/>
                <w:lang w:val="en-US" w:eastAsia="zh-CN" w:bidi="ar"/>
              </w:rPr>
              <w:t>此阶段的需求模糊、抽象，</w:t>
            </w:r>
            <w:r>
              <w:rPr>
                <w:rFonts w:hint="eastAsia" w:ascii="仿宋" w:hAnsi="仿宋" w:eastAsia="仿宋" w:cs="仿宋"/>
                <w:snapToGrid/>
                <w:color w:val="000000"/>
                <w:spacing w:val="-1"/>
                <w:kern w:val="0"/>
                <w:sz w:val="21"/>
                <w:szCs w:val="21"/>
                <w:lang w:val="en-US" w:eastAsia="zh-CN" w:bidi="ar"/>
              </w:rPr>
              <w:t>更多是技术驱动下的未来构想，而非市场痛点的直接反映，大部分公众只有关注意</w:t>
            </w:r>
            <w:r>
              <w:rPr>
                <w:rFonts w:hint="eastAsia" w:ascii="仿宋" w:hAnsi="仿宋" w:eastAsia="仿宋" w:cs="仿宋"/>
                <w:snapToGrid/>
                <w:color w:val="000000"/>
                <w:spacing w:val="-13"/>
                <w:kern w:val="0"/>
                <w:sz w:val="21"/>
                <w:szCs w:val="21"/>
                <w:lang w:val="en-US" w:eastAsia="zh-CN" w:bidi="ar"/>
              </w:rPr>
              <w:t>愿。</w:t>
            </w:r>
          </w:p>
        </w:tc>
      </w:tr>
      <w:tr w14:paraId="26F6F8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0" w:type="dxa"/>
            <w:left w:w="0" w:type="dxa"/>
            <w:bottom w:w="0" w:type="dxa"/>
            <w:right w:w="0" w:type="dxa"/>
          </w:tblCellMar>
        </w:tblPrEx>
        <w:trPr>
          <w:trHeight w:val="2310" w:hRule="atLeast"/>
          <w:jc w:val="center"/>
        </w:trPr>
        <w:tc>
          <w:tcPr>
            <w:tcW w:w="1505" w:type="dxa"/>
            <w:tcBorders>
              <w:top w:val="single" w:color="000000" w:sz="2" w:space="0"/>
              <w:left w:val="single" w:color="000000" w:sz="2" w:space="0"/>
              <w:bottom w:val="single" w:color="000000" w:sz="2" w:space="0"/>
              <w:right w:val="single" w:color="000000" w:sz="2" w:space="0"/>
            </w:tcBorders>
            <w:shd w:val="clear" w:color="auto" w:fill="auto"/>
            <w:vAlign w:val="top"/>
          </w:tcPr>
          <w:p w14:paraId="77741C90">
            <w:pPr>
              <w:keepNext w:val="0"/>
              <w:keepLines w:val="0"/>
              <w:widowControl/>
              <w:suppressLineNumbers w:val="0"/>
              <w:kinsoku w:val="0"/>
              <w:autoSpaceDE w:val="0"/>
              <w:autoSpaceDN w:val="0"/>
              <w:adjustRightInd w:val="0"/>
              <w:snapToGrid w:val="0"/>
              <w:spacing w:before="0" w:beforeAutospacing="0" w:after="0" w:afterAutospacing="0" w:line="276" w:lineRule="auto"/>
              <w:ind w:left="0" w:right="0"/>
              <w:jc w:val="left"/>
              <w:textAlignment w:val="baseline"/>
              <w:rPr>
                <w:rFonts w:hint="default" w:ascii="Arial" w:hAnsi="Arial" w:cs="Arial"/>
                <w:color w:val="000000"/>
                <w:kern w:val="0"/>
                <w:sz w:val="21"/>
                <w:szCs w:val="21"/>
              </w:rPr>
            </w:pPr>
          </w:p>
          <w:p w14:paraId="26919FA6">
            <w:pPr>
              <w:keepNext w:val="0"/>
              <w:keepLines w:val="0"/>
              <w:widowControl/>
              <w:suppressLineNumbers w:val="0"/>
              <w:kinsoku w:val="0"/>
              <w:autoSpaceDE w:val="0"/>
              <w:autoSpaceDN w:val="0"/>
              <w:adjustRightInd w:val="0"/>
              <w:snapToGrid w:val="0"/>
              <w:spacing w:before="0" w:beforeAutospacing="0" w:after="0" w:afterAutospacing="0" w:line="276" w:lineRule="auto"/>
              <w:ind w:left="0" w:right="0"/>
              <w:jc w:val="left"/>
              <w:textAlignment w:val="baseline"/>
              <w:rPr>
                <w:rFonts w:hint="default" w:ascii="Arial" w:hAnsi="Arial" w:cs="Arial"/>
                <w:color w:val="000000"/>
                <w:kern w:val="0"/>
                <w:sz w:val="21"/>
                <w:szCs w:val="21"/>
              </w:rPr>
            </w:pPr>
          </w:p>
          <w:p w14:paraId="6DBBF8D6">
            <w:pPr>
              <w:keepNext w:val="0"/>
              <w:keepLines w:val="0"/>
              <w:widowControl/>
              <w:suppressLineNumbers w:val="0"/>
              <w:kinsoku w:val="0"/>
              <w:autoSpaceDE w:val="0"/>
              <w:autoSpaceDN w:val="0"/>
              <w:adjustRightInd w:val="0"/>
              <w:snapToGrid w:val="0"/>
              <w:spacing w:before="0" w:beforeAutospacing="0" w:after="0" w:afterAutospacing="0" w:line="276" w:lineRule="auto"/>
              <w:ind w:left="0" w:right="0"/>
              <w:jc w:val="left"/>
              <w:textAlignment w:val="baseline"/>
              <w:rPr>
                <w:rFonts w:hint="default" w:ascii="Arial" w:hAnsi="Arial" w:cs="Arial"/>
                <w:color w:val="000000"/>
                <w:kern w:val="0"/>
                <w:sz w:val="21"/>
                <w:szCs w:val="21"/>
              </w:rPr>
            </w:pPr>
          </w:p>
          <w:p w14:paraId="4C5A110B">
            <w:pPr>
              <w:keepNext w:val="0"/>
              <w:keepLines w:val="0"/>
              <w:widowControl/>
              <w:suppressLineNumbers w:val="0"/>
              <w:kinsoku w:val="0"/>
              <w:autoSpaceDE w:val="0"/>
              <w:autoSpaceDN w:val="0"/>
              <w:adjustRightInd w:val="0"/>
              <w:snapToGrid w:val="0"/>
              <w:spacing w:before="68" w:beforeAutospacing="0" w:after="0" w:afterAutospacing="0"/>
              <w:ind w:left="652" w:right="0"/>
              <w:jc w:val="left"/>
              <w:textAlignment w:val="baseline"/>
              <w:rPr>
                <w:rFonts w:hint="eastAsia" w:ascii="黑体" w:hAnsi="宋体" w:eastAsia="黑体" w:cs="黑体"/>
                <w:color w:val="000000"/>
                <w:kern w:val="0"/>
                <w:sz w:val="21"/>
                <w:szCs w:val="21"/>
              </w:rPr>
            </w:pPr>
            <w:r>
              <w:rPr>
                <w:rFonts w:hint="eastAsia" w:ascii="黑体" w:hAnsi="宋体" w:eastAsia="黑体" w:cs="黑体"/>
                <w:snapToGrid w:val="0"/>
                <w:color w:val="000000"/>
                <w:spacing w:val="-2"/>
                <w:kern w:val="0"/>
                <w:sz w:val="21"/>
                <w:szCs w:val="21"/>
                <w:lang w:val="en-US" w:eastAsia="zh-CN" w:bidi="ar"/>
              </w:rPr>
              <w:t>D2</w:t>
            </w:r>
          </w:p>
          <w:p w14:paraId="7E4BC5C4">
            <w:pPr>
              <w:keepNext w:val="0"/>
              <w:keepLines w:val="0"/>
              <w:widowControl/>
              <w:suppressLineNumbers w:val="0"/>
              <w:kinsoku w:val="0"/>
              <w:autoSpaceDE w:val="0"/>
              <w:autoSpaceDN w:val="0"/>
              <w:adjustRightInd w:val="0"/>
              <w:snapToGrid w:val="0"/>
              <w:spacing w:before="72" w:beforeAutospacing="0" w:after="0" w:afterAutospacing="0"/>
              <w:ind w:left="167" w:right="0"/>
              <w:jc w:val="left"/>
              <w:textAlignment w:val="baseline"/>
              <w:rPr>
                <w:rFonts w:hint="eastAsia" w:ascii="黑体" w:hAnsi="宋体" w:eastAsia="黑体" w:cs="黑体"/>
                <w:color w:val="000000"/>
                <w:kern w:val="0"/>
                <w:sz w:val="21"/>
                <w:szCs w:val="21"/>
              </w:rPr>
            </w:pPr>
            <w:r>
              <w:rPr>
                <w:rFonts w:hint="eastAsia" w:ascii="黑体" w:hAnsi="宋体" w:eastAsia="黑体" w:cs="黑体"/>
                <w:snapToGrid w:val="0"/>
                <w:color w:val="000000"/>
                <w:spacing w:val="-7"/>
                <w:kern w:val="0"/>
                <w:sz w:val="21"/>
                <w:szCs w:val="21"/>
                <w:lang w:val="en-US" w:eastAsia="zh-CN" w:bidi="ar"/>
              </w:rPr>
              <w:t>(政策探索级)</w:t>
            </w:r>
          </w:p>
        </w:tc>
        <w:tc>
          <w:tcPr>
            <w:tcW w:w="2869" w:type="dxa"/>
            <w:tcBorders>
              <w:top w:val="single" w:color="000000" w:sz="2" w:space="0"/>
              <w:left w:val="single" w:color="000000" w:sz="2" w:space="0"/>
              <w:bottom w:val="single" w:color="000000" w:sz="2" w:space="0"/>
              <w:right w:val="single" w:color="000000" w:sz="2" w:space="0"/>
            </w:tcBorders>
            <w:shd w:val="clear" w:color="auto" w:fill="auto"/>
            <w:vAlign w:val="top"/>
          </w:tcPr>
          <w:p w14:paraId="045A6496">
            <w:pPr>
              <w:keepNext w:val="0"/>
              <w:keepLines w:val="0"/>
              <w:widowControl/>
              <w:suppressLineNumbers w:val="0"/>
              <w:kinsoku w:val="0"/>
              <w:autoSpaceDE w:val="0"/>
              <w:autoSpaceDN w:val="0"/>
              <w:adjustRightInd w:val="0"/>
              <w:snapToGrid w:val="0"/>
              <w:spacing w:before="0" w:beforeAutospacing="0" w:after="0" w:afterAutospacing="0" w:line="321" w:lineRule="auto"/>
              <w:ind w:left="0" w:right="0"/>
              <w:jc w:val="left"/>
              <w:textAlignment w:val="baseline"/>
              <w:rPr>
                <w:rFonts w:hint="default" w:ascii="Arial" w:hAnsi="Arial" w:cs="Arial"/>
                <w:color w:val="000000"/>
                <w:kern w:val="0"/>
                <w:sz w:val="21"/>
                <w:szCs w:val="21"/>
              </w:rPr>
            </w:pPr>
          </w:p>
          <w:p w14:paraId="7AEEB00D">
            <w:pPr>
              <w:keepNext w:val="0"/>
              <w:keepLines w:val="0"/>
              <w:widowControl/>
              <w:suppressLineNumbers w:val="0"/>
              <w:kinsoku w:val="0"/>
              <w:autoSpaceDE w:val="0"/>
              <w:autoSpaceDN w:val="0"/>
              <w:adjustRightInd w:val="0"/>
              <w:snapToGrid w:val="0"/>
              <w:spacing w:before="0" w:beforeAutospacing="0" w:after="0" w:afterAutospacing="0" w:line="321" w:lineRule="auto"/>
              <w:ind w:left="0" w:right="0"/>
              <w:jc w:val="left"/>
              <w:textAlignment w:val="baseline"/>
              <w:rPr>
                <w:rFonts w:hint="default" w:ascii="Arial" w:hAnsi="Arial" w:cs="Arial"/>
                <w:color w:val="000000"/>
                <w:kern w:val="0"/>
                <w:sz w:val="21"/>
                <w:szCs w:val="21"/>
              </w:rPr>
            </w:pPr>
          </w:p>
          <w:p w14:paraId="5824A91B">
            <w:pPr>
              <w:pStyle w:val="12"/>
              <w:keepNext w:val="0"/>
              <w:keepLines w:val="0"/>
              <w:widowControl/>
              <w:suppressLineNumbers w:val="0"/>
              <w:kinsoku w:val="0"/>
              <w:autoSpaceDE w:val="0"/>
              <w:autoSpaceDN w:val="0"/>
              <w:adjustRightInd w:val="0"/>
              <w:snapToGrid w:val="0"/>
              <w:spacing w:before="68" w:beforeAutospacing="0" w:after="0" w:afterAutospacing="0" w:line="273" w:lineRule="auto"/>
              <w:ind w:left="102" w:right="250" w:hanging="1"/>
              <w:jc w:val="left"/>
              <w:textAlignment w:val="baseline"/>
              <w:rPr>
                <w:rFonts w:hint="eastAsia" w:ascii="仿宋" w:hAnsi="仿宋" w:eastAsia="仿宋" w:cs="仿宋"/>
                <w:color w:val="000000"/>
                <w:kern w:val="0"/>
                <w:sz w:val="21"/>
                <w:szCs w:val="21"/>
              </w:rPr>
            </w:pPr>
            <w:r>
              <w:rPr>
                <w:rFonts w:hint="eastAsia" w:ascii="仿宋" w:hAnsi="仿宋" w:eastAsia="仿宋" w:cs="仿宋"/>
                <w:snapToGrid/>
                <w:color w:val="000000"/>
                <w:spacing w:val="-1"/>
                <w:kern w:val="0"/>
                <w:sz w:val="21"/>
                <w:szCs w:val="21"/>
                <w:lang w:val="en-US" w:eastAsia="zh-CN" w:bidi="ar"/>
              </w:rPr>
              <w:t>痛点开始被行业关注，低空方案的潜在价值被初步认</w:t>
            </w:r>
          </w:p>
          <w:p w14:paraId="53DAF577">
            <w:pPr>
              <w:pStyle w:val="12"/>
              <w:keepNext w:val="0"/>
              <w:keepLines w:val="0"/>
              <w:widowControl/>
              <w:suppressLineNumbers w:val="0"/>
              <w:kinsoku w:val="0"/>
              <w:autoSpaceDE w:val="0"/>
              <w:autoSpaceDN w:val="0"/>
              <w:adjustRightInd w:val="0"/>
              <w:snapToGrid w:val="0"/>
              <w:spacing w:before="2" w:beforeAutospacing="0" w:after="0" w:afterAutospacing="0"/>
              <w:ind w:left="108" w:right="0"/>
              <w:jc w:val="left"/>
              <w:textAlignment w:val="baseline"/>
              <w:rPr>
                <w:rFonts w:hint="eastAsia" w:ascii="仿宋" w:hAnsi="仿宋" w:eastAsia="仿宋" w:cs="仿宋"/>
                <w:color w:val="000000"/>
                <w:kern w:val="0"/>
                <w:sz w:val="21"/>
                <w:szCs w:val="21"/>
              </w:rPr>
            </w:pPr>
            <w:r>
              <w:rPr>
                <w:rFonts w:hint="eastAsia" w:ascii="仿宋" w:hAnsi="仿宋" w:eastAsia="仿宋" w:cs="仿宋"/>
                <w:snapToGrid/>
                <w:color w:val="000000"/>
                <w:spacing w:val="-15"/>
                <w:kern w:val="0"/>
                <w:sz w:val="21"/>
                <w:szCs w:val="21"/>
                <w:lang w:val="en-US" w:eastAsia="zh-CN" w:bidi="ar"/>
              </w:rPr>
              <w:t>识。</w:t>
            </w:r>
          </w:p>
        </w:tc>
        <w:tc>
          <w:tcPr>
            <w:tcW w:w="2872" w:type="dxa"/>
            <w:tcBorders>
              <w:top w:val="single" w:color="000000" w:sz="2" w:space="0"/>
              <w:left w:val="single" w:color="000000" w:sz="2" w:space="0"/>
              <w:bottom w:val="single" w:color="000000" w:sz="2" w:space="0"/>
              <w:right w:val="single" w:color="000000" w:sz="2" w:space="0"/>
            </w:tcBorders>
            <w:shd w:val="clear" w:color="auto" w:fill="auto"/>
            <w:vAlign w:val="top"/>
          </w:tcPr>
          <w:p w14:paraId="08C8D089">
            <w:pPr>
              <w:pStyle w:val="12"/>
              <w:keepNext w:val="0"/>
              <w:keepLines w:val="0"/>
              <w:widowControl/>
              <w:suppressLineNumbers w:val="0"/>
              <w:kinsoku w:val="0"/>
              <w:autoSpaceDE w:val="0"/>
              <w:autoSpaceDN w:val="0"/>
              <w:adjustRightInd w:val="0"/>
              <w:snapToGrid w:val="0"/>
              <w:spacing w:before="87" w:beforeAutospacing="0" w:after="0" w:afterAutospacing="0" w:line="273" w:lineRule="auto"/>
              <w:ind w:left="107" w:right="248" w:firstLine="14"/>
              <w:jc w:val="both"/>
              <w:textAlignment w:val="baseline"/>
              <w:rPr>
                <w:rFonts w:hint="eastAsia" w:ascii="仿宋" w:hAnsi="仿宋" w:eastAsia="仿宋" w:cs="仿宋"/>
                <w:color w:val="000000"/>
                <w:kern w:val="0"/>
                <w:sz w:val="21"/>
                <w:szCs w:val="21"/>
              </w:rPr>
            </w:pPr>
            <w:r>
              <w:rPr>
                <w:rFonts w:hint="eastAsia" w:ascii="仿宋" w:hAnsi="仿宋" w:eastAsia="仿宋" w:cs="仿宋"/>
                <w:snapToGrid/>
                <w:color w:val="000000"/>
                <w:spacing w:val="-2"/>
                <w:kern w:val="0"/>
                <w:sz w:val="21"/>
                <w:szCs w:val="21"/>
                <w:lang w:val="en-US" w:eastAsia="zh-CN" w:bidi="ar"/>
              </w:rPr>
              <w:t>能够解决行业核心痛点（如</w:t>
            </w:r>
            <w:r>
              <w:rPr>
                <w:rFonts w:hint="eastAsia" w:ascii="仿宋" w:hAnsi="仿宋" w:eastAsia="仿宋" w:cs="仿宋"/>
                <w:snapToGrid/>
                <w:color w:val="000000"/>
                <w:spacing w:val="-1"/>
                <w:kern w:val="0"/>
                <w:sz w:val="21"/>
                <w:szCs w:val="21"/>
                <w:lang w:val="en-US" w:eastAsia="zh-CN" w:bidi="ar"/>
              </w:rPr>
              <w:t>替代人工作业、突破地理限</w:t>
            </w:r>
            <w:r>
              <w:rPr>
                <w:rFonts w:hint="eastAsia" w:ascii="仿宋" w:hAnsi="仿宋" w:eastAsia="仿宋" w:cs="仿宋"/>
                <w:snapToGrid/>
                <w:color w:val="000000"/>
                <w:spacing w:val="-2"/>
                <w:kern w:val="0"/>
                <w:sz w:val="21"/>
                <w:szCs w:val="21"/>
                <w:lang w:val="en-US" w:eastAsia="zh-CN" w:bidi="ar"/>
              </w:rPr>
              <w:t>制</w:t>
            </w:r>
            <w:r>
              <w:rPr>
                <w:rFonts w:hint="eastAsia" w:ascii="仿宋" w:hAnsi="仿宋" w:eastAsia="仿宋" w:cs="仿宋"/>
                <w:snapToGrid/>
                <w:color w:val="000000"/>
                <w:spacing w:val="5"/>
                <w:kern w:val="0"/>
                <w:sz w:val="21"/>
                <w:szCs w:val="21"/>
                <w:lang w:val="en-US" w:eastAsia="zh-CN" w:bidi="ar"/>
              </w:rPr>
              <w:t>），</w:t>
            </w:r>
            <w:r>
              <w:rPr>
                <w:rFonts w:hint="eastAsia" w:ascii="仿宋" w:hAnsi="仿宋" w:eastAsia="仿宋" w:cs="仿宋"/>
                <w:snapToGrid/>
                <w:color w:val="000000"/>
                <w:spacing w:val="-2"/>
                <w:kern w:val="0"/>
                <w:sz w:val="21"/>
                <w:szCs w:val="21"/>
                <w:lang w:val="en-US" w:eastAsia="zh-CN" w:bidi="ar"/>
              </w:rPr>
              <w:t>且价值易于理解，但</w:t>
            </w:r>
            <w:r>
              <w:rPr>
                <w:rFonts w:hint="eastAsia" w:ascii="仿宋" w:hAnsi="仿宋" w:eastAsia="仿宋" w:cs="仿宋"/>
                <w:snapToGrid/>
                <w:color w:val="000000"/>
                <w:spacing w:val="-1"/>
                <w:kern w:val="0"/>
                <w:sz w:val="21"/>
                <w:szCs w:val="21"/>
                <w:lang w:val="en-US" w:eastAsia="zh-CN" w:bidi="ar"/>
              </w:rPr>
              <w:t>当前解决方案的成本或技术门槛较高，在特定条件下具有不可替代性，但应用场景</w:t>
            </w:r>
            <w:r>
              <w:rPr>
                <w:rFonts w:hint="eastAsia" w:ascii="仿宋" w:hAnsi="仿宋" w:eastAsia="仿宋" w:cs="仿宋"/>
                <w:snapToGrid/>
                <w:color w:val="000000"/>
                <w:spacing w:val="-12"/>
                <w:kern w:val="0"/>
                <w:sz w:val="21"/>
                <w:szCs w:val="21"/>
                <w:lang w:val="en-US" w:eastAsia="zh-CN" w:bidi="ar"/>
              </w:rPr>
              <w:t>有限。</w:t>
            </w:r>
          </w:p>
        </w:tc>
        <w:tc>
          <w:tcPr>
            <w:tcW w:w="2959" w:type="dxa"/>
            <w:tcBorders>
              <w:top w:val="single" w:color="000000" w:sz="2" w:space="0"/>
              <w:left w:val="single" w:color="000000" w:sz="2" w:space="0"/>
              <w:bottom w:val="single" w:color="000000" w:sz="2" w:space="0"/>
              <w:right w:val="single" w:color="000000" w:sz="2" w:space="0"/>
            </w:tcBorders>
            <w:shd w:val="clear" w:color="auto" w:fill="auto"/>
            <w:vAlign w:val="top"/>
          </w:tcPr>
          <w:p w14:paraId="4757C903">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rPr>
            </w:pPr>
          </w:p>
          <w:p w14:paraId="260A69E7">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rPr>
            </w:pPr>
          </w:p>
          <w:p w14:paraId="0344277A">
            <w:pPr>
              <w:pStyle w:val="12"/>
              <w:keepNext w:val="0"/>
              <w:keepLines w:val="0"/>
              <w:widowControl/>
              <w:suppressLineNumbers w:val="0"/>
              <w:kinsoku w:val="0"/>
              <w:autoSpaceDE w:val="0"/>
              <w:autoSpaceDN w:val="0"/>
              <w:adjustRightInd w:val="0"/>
              <w:snapToGrid w:val="0"/>
              <w:spacing w:before="69" w:beforeAutospacing="0" w:after="0" w:afterAutospacing="0" w:line="273" w:lineRule="auto"/>
              <w:ind w:left="99" w:right="126" w:firstLine="9"/>
              <w:jc w:val="both"/>
              <w:textAlignment w:val="baseline"/>
              <w:rPr>
                <w:rFonts w:hint="eastAsia" w:ascii="仿宋" w:hAnsi="仿宋" w:eastAsia="仿宋" w:cs="仿宋"/>
                <w:color w:val="000000"/>
                <w:kern w:val="0"/>
                <w:sz w:val="21"/>
                <w:szCs w:val="21"/>
              </w:rPr>
            </w:pPr>
            <w:r>
              <w:rPr>
                <w:rFonts w:hint="eastAsia" w:ascii="仿宋" w:hAnsi="仿宋" w:eastAsia="仿宋" w:cs="仿宋"/>
                <w:snapToGrid/>
                <w:color w:val="000000"/>
                <w:spacing w:val="-1"/>
                <w:kern w:val="0"/>
                <w:sz w:val="21"/>
                <w:szCs w:val="21"/>
                <w:lang w:val="en-US" w:eastAsia="zh-CN" w:bidi="ar"/>
              </w:rPr>
              <w:t>监管部门开始鼓励试点，通过“监管沙盒”等方式为需求验证开辟有限空间，但尚未大规模放开。</w:t>
            </w:r>
          </w:p>
        </w:tc>
        <w:tc>
          <w:tcPr>
            <w:tcW w:w="2786" w:type="dxa"/>
            <w:tcBorders>
              <w:top w:val="single" w:color="000000" w:sz="2" w:space="0"/>
              <w:left w:val="single" w:color="000000" w:sz="2" w:space="0"/>
              <w:bottom w:val="single" w:color="000000" w:sz="2" w:space="0"/>
              <w:right w:val="single" w:color="000000" w:sz="2" w:space="0"/>
            </w:tcBorders>
            <w:shd w:val="clear" w:color="auto" w:fill="auto"/>
            <w:vAlign w:val="top"/>
          </w:tcPr>
          <w:p w14:paraId="5E71BB00">
            <w:pPr>
              <w:keepNext w:val="0"/>
              <w:keepLines w:val="0"/>
              <w:widowControl/>
              <w:suppressLineNumbers w:val="0"/>
              <w:kinsoku w:val="0"/>
              <w:autoSpaceDE w:val="0"/>
              <w:autoSpaceDN w:val="0"/>
              <w:adjustRightInd w:val="0"/>
              <w:snapToGrid w:val="0"/>
              <w:spacing w:before="0" w:beforeAutospacing="0" w:after="0" w:afterAutospacing="0" w:line="331" w:lineRule="auto"/>
              <w:ind w:left="0" w:right="0"/>
              <w:jc w:val="left"/>
              <w:textAlignment w:val="baseline"/>
              <w:rPr>
                <w:rFonts w:hint="default" w:ascii="Arial" w:hAnsi="Arial" w:cs="Arial"/>
                <w:color w:val="000000"/>
                <w:kern w:val="0"/>
                <w:sz w:val="21"/>
                <w:szCs w:val="21"/>
              </w:rPr>
            </w:pPr>
          </w:p>
          <w:p w14:paraId="720633F2">
            <w:pPr>
              <w:pStyle w:val="12"/>
              <w:keepNext w:val="0"/>
              <w:keepLines w:val="0"/>
              <w:widowControl/>
              <w:suppressLineNumbers w:val="0"/>
              <w:kinsoku w:val="0"/>
              <w:autoSpaceDE w:val="0"/>
              <w:autoSpaceDN w:val="0"/>
              <w:adjustRightInd w:val="0"/>
              <w:snapToGrid w:val="0"/>
              <w:spacing w:before="68" w:beforeAutospacing="0" w:after="0" w:afterAutospacing="0" w:line="273" w:lineRule="auto"/>
              <w:ind w:left="100" w:right="163" w:firstLine="9"/>
              <w:jc w:val="left"/>
              <w:textAlignment w:val="baseline"/>
              <w:rPr>
                <w:rFonts w:hint="eastAsia" w:ascii="仿宋" w:hAnsi="仿宋" w:eastAsia="仿宋" w:cs="仿宋"/>
                <w:color w:val="000000"/>
                <w:kern w:val="0"/>
                <w:sz w:val="21"/>
                <w:szCs w:val="21"/>
              </w:rPr>
            </w:pPr>
            <w:r>
              <w:rPr>
                <w:rFonts w:hint="eastAsia" w:ascii="仿宋" w:hAnsi="仿宋" w:eastAsia="仿宋" w:cs="仿宋"/>
                <w:snapToGrid/>
                <w:color w:val="000000"/>
                <w:spacing w:val="-1"/>
                <w:kern w:val="0"/>
                <w:sz w:val="21"/>
                <w:szCs w:val="21"/>
                <w:lang w:val="en-US" w:eastAsia="zh-CN" w:bidi="ar"/>
              </w:rPr>
              <w:t>开始建立基本的安全规范和应急预案，但体系不完善。行业内部接受度较高，但公众和监管层或对其安全性仍</w:t>
            </w:r>
            <w:r>
              <w:rPr>
                <w:rFonts w:hint="eastAsia" w:ascii="仿宋" w:hAnsi="仿宋" w:eastAsia="仿宋" w:cs="仿宋"/>
                <w:snapToGrid/>
                <w:color w:val="000000"/>
                <w:spacing w:val="-4"/>
                <w:kern w:val="0"/>
                <w:sz w:val="21"/>
                <w:szCs w:val="21"/>
                <w:lang w:val="en-US" w:eastAsia="zh-CN" w:bidi="ar"/>
              </w:rPr>
              <w:t>存有较大疑虑。</w:t>
            </w:r>
          </w:p>
        </w:tc>
        <w:tc>
          <w:tcPr>
            <w:tcW w:w="2853" w:type="dxa"/>
            <w:tcBorders>
              <w:top w:val="single" w:color="000000" w:sz="2" w:space="0"/>
              <w:left w:val="single" w:color="000000" w:sz="2" w:space="0"/>
              <w:bottom w:val="single" w:color="000000" w:sz="2" w:space="0"/>
              <w:right w:val="single" w:color="000000" w:sz="2" w:space="0"/>
            </w:tcBorders>
            <w:shd w:val="clear" w:color="auto" w:fill="auto"/>
            <w:vAlign w:val="top"/>
          </w:tcPr>
          <w:p w14:paraId="27DFB5BE">
            <w:pPr>
              <w:keepNext w:val="0"/>
              <w:keepLines w:val="0"/>
              <w:widowControl/>
              <w:suppressLineNumbers w:val="0"/>
              <w:kinsoku w:val="0"/>
              <w:autoSpaceDE w:val="0"/>
              <w:autoSpaceDN w:val="0"/>
              <w:adjustRightInd w:val="0"/>
              <w:snapToGrid w:val="0"/>
              <w:spacing w:before="0" w:beforeAutospacing="0" w:after="0" w:afterAutospacing="0" w:line="328" w:lineRule="auto"/>
              <w:ind w:left="0" w:right="0"/>
              <w:jc w:val="left"/>
              <w:textAlignment w:val="baseline"/>
              <w:rPr>
                <w:rFonts w:hint="default" w:ascii="Arial" w:hAnsi="Arial" w:cs="Arial"/>
                <w:color w:val="000000"/>
                <w:kern w:val="0"/>
                <w:sz w:val="21"/>
                <w:szCs w:val="21"/>
              </w:rPr>
            </w:pPr>
          </w:p>
          <w:p w14:paraId="709FF9F9">
            <w:pPr>
              <w:pStyle w:val="12"/>
              <w:keepNext w:val="0"/>
              <w:keepLines w:val="0"/>
              <w:widowControl/>
              <w:suppressLineNumbers w:val="0"/>
              <w:kinsoku w:val="0"/>
              <w:autoSpaceDE w:val="0"/>
              <w:autoSpaceDN w:val="0"/>
              <w:adjustRightInd w:val="0"/>
              <w:snapToGrid w:val="0"/>
              <w:spacing w:before="68" w:beforeAutospacing="0" w:after="0" w:afterAutospacing="0" w:line="273" w:lineRule="auto"/>
              <w:ind w:left="101" w:right="229" w:firstLine="14"/>
              <w:jc w:val="left"/>
              <w:textAlignment w:val="baseline"/>
              <w:rPr>
                <w:rFonts w:hint="eastAsia" w:ascii="仿宋" w:hAnsi="仿宋" w:eastAsia="仿宋" w:cs="仿宋"/>
                <w:color w:val="000000"/>
                <w:kern w:val="0"/>
                <w:sz w:val="21"/>
                <w:szCs w:val="21"/>
              </w:rPr>
            </w:pPr>
            <w:r>
              <w:rPr>
                <w:rFonts w:hint="eastAsia" w:ascii="仿宋" w:hAnsi="仿宋" w:eastAsia="仿宋" w:cs="仿宋"/>
                <w:snapToGrid/>
                <w:color w:val="000000"/>
                <w:spacing w:val="-2"/>
                <w:kern w:val="0"/>
                <w:sz w:val="21"/>
                <w:szCs w:val="21"/>
                <w:lang w:val="en-US" w:eastAsia="zh-CN" w:bidi="ar"/>
              </w:rPr>
              <w:t>需求已经明确存在于特定行</w:t>
            </w:r>
            <w:r>
              <w:rPr>
                <w:rFonts w:hint="eastAsia" w:ascii="仿宋" w:hAnsi="仿宋" w:eastAsia="仿宋" w:cs="仿宋"/>
                <w:snapToGrid/>
                <w:color w:val="000000"/>
                <w:spacing w:val="-1"/>
                <w:kern w:val="0"/>
                <w:sz w:val="21"/>
                <w:szCs w:val="21"/>
                <w:lang w:val="en-US" w:eastAsia="zh-CN" w:bidi="ar"/>
              </w:rPr>
              <w:t>业或领域，但受限于客观条件，尚未被有效激活和释</w:t>
            </w:r>
          </w:p>
          <w:p w14:paraId="6E91A265">
            <w:pPr>
              <w:pStyle w:val="12"/>
              <w:keepNext w:val="0"/>
              <w:keepLines w:val="0"/>
              <w:widowControl/>
              <w:suppressLineNumbers w:val="0"/>
              <w:kinsoku w:val="0"/>
              <w:autoSpaceDE w:val="0"/>
              <w:autoSpaceDN w:val="0"/>
              <w:adjustRightInd w:val="0"/>
              <w:snapToGrid w:val="0"/>
              <w:spacing w:before="0" w:beforeAutospacing="0" w:after="0" w:afterAutospacing="0" w:line="276" w:lineRule="auto"/>
              <w:ind w:left="104" w:right="229"/>
              <w:jc w:val="left"/>
              <w:textAlignment w:val="baseline"/>
              <w:rPr>
                <w:rFonts w:hint="eastAsia" w:ascii="仿宋" w:hAnsi="仿宋" w:eastAsia="仿宋" w:cs="仿宋"/>
                <w:color w:val="000000"/>
                <w:kern w:val="0"/>
                <w:sz w:val="21"/>
                <w:szCs w:val="21"/>
              </w:rPr>
            </w:pPr>
            <w:r>
              <w:rPr>
                <w:rFonts w:hint="eastAsia" w:ascii="仿宋" w:hAnsi="仿宋" w:eastAsia="仿宋" w:cs="仿宋"/>
                <w:snapToGrid/>
                <w:color w:val="000000"/>
                <w:spacing w:val="-1"/>
                <w:kern w:val="0"/>
                <w:sz w:val="21"/>
                <w:szCs w:val="21"/>
                <w:lang w:val="en-US" w:eastAsia="zh-CN" w:bidi="ar"/>
              </w:rPr>
              <w:t>放，公众已开始产生互动意</w:t>
            </w:r>
            <w:r>
              <w:rPr>
                <w:rFonts w:hint="eastAsia" w:ascii="仿宋" w:hAnsi="仿宋" w:eastAsia="仿宋" w:cs="仿宋"/>
                <w:snapToGrid/>
                <w:color w:val="000000"/>
                <w:spacing w:val="-13"/>
                <w:kern w:val="0"/>
                <w:sz w:val="21"/>
                <w:szCs w:val="21"/>
                <w:lang w:val="en-US" w:eastAsia="zh-CN" w:bidi="ar"/>
              </w:rPr>
              <w:t>愿。</w:t>
            </w:r>
          </w:p>
        </w:tc>
      </w:tr>
      <w:tr w14:paraId="46B998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0" w:type="dxa"/>
            <w:left w:w="0" w:type="dxa"/>
            <w:bottom w:w="0" w:type="dxa"/>
            <w:right w:w="0" w:type="dxa"/>
          </w:tblCellMar>
        </w:tblPrEx>
        <w:trPr>
          <w:trHeight w:val="1993" w:hRule="atLeast"/>
          <w:jc w:val="center"/>
        </w:trPr>
        <w:tc>
          <w:tcPr>
            <w:tcW w:w="1505" w:type="dxa"/>
            <w:tcBorders>
              <w:top w:val="single" w:color="000000" w:sz="2" w:space="0"/>
              <w:left w:val="single" w:color="000000" w:sz="2" w:space="0"/>
              <w:bottom w:val="single" w:color="000000" w:sz="2" w:space="0"/>
              <w:right w:val="single" w:color="000000" w:sz="2" w:space="0"/>
            </w:tcBorders>
            <w:shd w:val="clear" w:color="auto" w:fill="auto"/>
            <w:vAlign w:val="top"/>
          </w:tcPr>
          <w:p w14:paraId="17D4DB17">
            <w:pPr>
              <w:keepNext w:val="0"/>
              <w:keepLines w:val="0"/>
              <w:widowControl/>
              <w:suppressLineNumbers w:val="0"/>
              <w:kinsoku w:val="0"/>
              <w:autoSpaceDE w:val="0"/>
              <w:autoSpaceDN w:val="0"/>
              <w:adjustRightInd w:val="0"/>
              <w:snapToGrid w:val="0"/>
              <w:spacing w:before="0" w:beforeAutospacing="0" w:after="0" w:afterAutospacing="0" w:line="336" w:lineRule="auto"/>
              <w:ind w:left="0" w:right="0"/>
              <w:jc w:val="left"/>
              <w:textAlignment w:val="baseline"/>
              <w:rPr>
                <w:rFonts w:hint="default" w:ascii="Arial" w:hAnsi="Arial" w:cs="Arial"/>
                <w:color w:val="000000"/>
                <w:kern w:val="0"/>
                <w:sz w:val="21"/>
                <w:szCs w:val="21"/>
              </w:rPr>
            </w:pPr>
          </w:p>
          <w:p w14:paraId="6B2C9040">
            <w:pPr>
              <w:keepNext w:val="0"/>
              <w:keepLines w:val="0"/>
              <w:widowControl/>
              <w:suppressLineNumbers w:val="0"/>
              <w:kinsoku w:val="0"/>
              <w:autoSpaceDE w:val="0"/>
              <w:autoSpaceDN w:val="0"/>
              <w:adjustRightInd w:val="0"/>
              <w:snapToGrid w:val="0"/>
              <w:spacing w:before="0" w:beforeAutospacing="0" w:after="0" w:afterAutospacing="0" w:line="336" w:lineRule="auto"/>
              <w:ind w:left="0" w:right="0"/>
              <w:jc w:val="left"/>
              <w:textAlignment w:val="baseline"/>
              <w:rPr>
                <w:rFonts w:hint="default" w:ascii="Arial" w:hAnsi="Arial" w:cs="Arial"/>
                <w:color w:val="000000"/>
                <w:kern w:val="0"/>
                <w:sz w:val="21"/>
                <w:szCs w:val="21"/>
              </w:rPr>
            </w:pPr>
          </w:p>
          <w:p w14:paraId="3AA3F1D0">
            <w:pPr>
              <w:keepNext w:val="0"/>
              <w:keepLines w:val="0"/>
              <w:widowControl/>
              <w:suppressLineNumbers w:val="0"/>
              <w:kinsoku w:val="0"/>
              <w:autoSpaceDE w:val="0"/>
              <w:autoSpaceDN w:val="0"/>
              <w:adjustRightInd w:val="0"/>
              <w:snapToGrid w:val="0"/>
              <w:spacing w:before="68" w:beforeAutospacing="0" w:after="0" w:afterAutospacing="0"/>
              <w:ind w:left="652" w:right="0"/>
              <w:jc w:val="left"/>
              <w:textAlignment w:val="baseline"/>
              <w:rPr>
                <w:rFonts w:hint="eastAsia" w:ascii="黑体" w:hAnsi="宋体" w:eastAsia="黑体" w:cs="黑体"/>
                <w:color w:val="000000"/>
                <w:kern w:val="0"/>
                <w:sz w:val="21"/>
                <w:szCs w:val="21"/>
              </w:rPr>
            </w:pPr>
            <w:r>
              <w:rPr>
                <w:rFonts w:hint="eastAsia" w:ascii="黑体" w:hAnsi="宋体" w:eastAsia="黑体" w:cs="黑体"/>
                <w:snapToGrid w:val="0"/>
                <w:color w:val="000000"/>
                <w:spacing w:val="-2"/>
                <w:kern w:val="0"/>
                <w:sz w:val="21"/>
                <w:szCs w:val="21"/>
                <w:lang w:val="en-US" w:eastAsia="zh-CN" w:bidi="ar"/>
              </w:rPr>
              <w:t>D3</w:t>
            </w:r>
          </w:p>
          <w:p w14:paraId="39877C33">
            <w:pPr>
              <w:keepNext w:val="0"/>
              <w:keepLines w:val="0"/>
              <w:widowControl/>
              <w:suppressLineNumbers w:val="0"/>
              <w:kinsoku w:val="0"/>
              <w:autoSpaceDE w:val="0"/>
              <w:autoSpaceDN w:val="0"/>
              <w:adjustRightInd w:val="0"/>
              <w:snapToGrid w:val="0"/>
              <w:spacing w:before="72" w:beforeAutospacing="0" w:after="0" w:afterAutospacing="0"/>
              <w:ind w:left="167" w:right="0"/>
              <w:jc w:val="left"/>
              <w:textAlignment w:val="baseline"/>
              <w:rPr>
                <w:rFonts w:hint="eastAsia" w:ascii="黑体" w:hAnsi="宋体" w:eastAsia="黑体" w:cs="黑体"/>
                <w:color w:val="000000"/>
                <w:kern w:val="0"/>
                <w:sz w:val="21"/>
                <w:szCs w:val="21"/>
              </w:rPr>
            </w:pPr>
            <w:r>
              <w:rPr>
                <w:rFonts w:hint="eastAsia" w:ascii="黑体" w:hAnsi="宋体" w:eastAsia="黑体" w:cs="黑体"/>
                <w:snapToGrid w:val="0"/>
                <w:color w:val="000000"/>
                <w:spacing w:val="-7"/>
                <w:kern w:val="0"/>
                <w:sz w:val="21"/>
                <w:szCs w:val="21"/>
                <w:lang w:val="en-US" w:eastAsia="zh-CN" w:bidi="ar"/>
              </w:rPr>
              <w:t>(市场起步级)</w:t>
            </w:r>
          </w:p>
        </w:tc>
        <w:tc>
          <w:tcPr>
            <w:tcW w:w="2869" w:type="dxa"/>
            <w:tcBorders>
              <w:top w:val="single" w:color="000000" w:sz="2" w:space="0"/>
              <w:left w:val="single" w:color="000000" w:sz="2" w:space="0"/>
              <w:bottom w:val="single" w:color="000000" w:sz="2" w:space="0"/>
              <w:right w:val="single" w:color="000000" w:sz="2" w:space="0"/>
            </w:tcBorders>
            <w:shd w:val="clear" w:color="auto" w:fill="auto"/>
            <w:vAlign w:val="top"/>
          </w:tcPr>
          <w:p w14:paraId="644CDC6E">
            <w:pPr>
              <w:pStyle w:val="12"/>
              <w:keepNext w:val="0"/>
              <w:keepLines w:val="0"/>
              <w:widowControl/>
              <w:suppressLineNumbers w:val="0"/>
              <w:kinsoku w:val="0"/>
              <w:autoSpaceDE w:val="0"/>
              <w:autoSpaceDN w:val="0"/>
              <w:adjustRightInd w:val="0"/>
              <w:snapToGrid w:val="0"/>
              <w:spacing w:before="243" w:beforeAutospacing="0" w:after="0" w:afterAutospacing="0" w:line="273" w:lineRule="auto"/>
              <w:ind w:left="110" w:right="250" w:hanging="9"/>
              <w:jc w:val="left"/>
              <w:textAlignment w:val="baseline"/>
              <w:rPr>
                <w:rFonts w:hint="eastAsia" w:ascii="仿宋" w:hAnsi="仿宋" w:eastAsia="仿宋" w:cs="仿宋"/>
                <w:color w:val="000000"/>
                <w:kern w:val="0"/>
                <w:sz w:val="21"/>
                <w:szCs w:val="21"/>
              </w:rPr>
            </w:pPr>
            <w:r>
              <w:rPr>
                <w:rFonts w:hint="eastAsia" w:ascii="仿宋" w:hAnsi="仿宋" w:eastAsia="仿宋" w:cs="仿宋"/>
                <w:snapToGrid/>
                <w:color w:val="000000"/>
                <w:spacing w:val="-1"/>
                <w:kern w:val="0"/>
                <w:sz w:val="21"/>
                <w:szCs w:val="21"/>
                <w:lang w:val="en-US" w:eastAsia="zh-CN" w:bidi="ar"/>
              </w:rPr>
              <w:t>痛点明确，在特定区域（如</w:t>
            </w:r>
            <w:r>
              <w:rPr>
                <w:rFonts w:hint="eastAsia" w:ascii="仿宋" w:hAnsi="仿宋" w:eastAsia="仿宋" w:cs="仿宋"/>
                <w:snapToGrid/>
                <w:color w:val="000000"/>
                <w:spacing w:val="-2"/>
                <w:kern w:val="0"/>
                <w:sz w:val="21"/>
                <w:szCs w:val="21"/>
                <w:lang w:val="en-US" w:eastAsia="zh-CN" w:bidi="ar"/>
              </w:rPr>
              <w:t>示范城市、园区）的一个或多个行业中，出现早期用</w:t>
            </w:r>
          </w:p>
          <w:p w14:paraId="4FCC89C6">
            <w:pPr>
              <w:pStyle w:val="12"/>
              <w:keepNext w:val="0"/>
              <w:keepLines w:val="0"/>
              <w:widowControl/>
              <w:suppressLineNumbers w:val="0"/>
              <w:kinsoku w:val="0"/>
              <w:autoSpaceDE w:val="0"/>
              <w:autoSpaceDN w:val="0"/>
              <w:adjustRightInd w:val="0"/>
              <w:snapToGrid w:val="0"/>
              <w:spacing w:before="2" w:beforeAutospacing="0" w:after="0" w:afterAutospacing="0" w:line="273" w:lineRule="auto"/>
              <w:ind w:left="103" w:right="250" w:firstLine="5"/>
              <w:jc w:val="left"/>
              <w:textAlignment w:val="baseline"/>
              <w:rPr>
                <w:rFonts w:hint="eastAsia" w:ascii="仿宋" w:hAnsi="仿宋" w:eastAsia="仿宋" w:cs="仿宋"/>
                <w:color w:val="000000"/>
                <w:kern w:val="0"/>
                <w:sz w:val="21"/>
                <w:szCs w:val="21"/>
              </w:rPr>
            </w:pPr>
            <w:r>
              <w:rPr>
                <w:rFonts w:hint="eastAsia" w:ascii="仿宋" w:hAnsi="仿宋" w:eastAsia="仿宋" w:cs="仿宋"/>
                <w:snapToGrid/>
                <w:color w:val="000000"/>
                <w:spacing w:val="-2"/>
                <w:kern w:val="0"/>
                <w:sz w:val="21"/>
                <w:szCs w:val="21"/>
                <w:lang w:val="en-US" w:eastAsia="zh-CN" w:bidi="ar"/>
              </w:rPr>
              <w:t>户，形成了稳定的采购或服务购买意愿。</w:t>
            </w:r>
          </w:p>
        </w:tc>
        <w:tc>
          <w:tcPr>
            <w:tcW w:w="2872" w:type="dxa"/>
            <w:tcBorders>
              <w:top w:val="single" w:color="000000" w:sz="2" w:space="0"/>
              <w:left w:val="single" w:color="000000" w:sz="2" w:space="0"/>
              <w:bottom w:val="single" w:color="000000" w:sz="2" w:space="0"/>
              <w:right w:val="single" w:color="000000" w:sz="2" w:space="0"/>
            </w:tcBorders>
            <w:shd w:val="clear" w:color="auto" w:fill="auto"/>
            <w:vAlign w:val="top"/>
          </w:tcPr>
          <w:p w14:paraId="31857F56">
            <w:pPr>
              <w:pStyle w:val="12"/>
              <w:keepNext w:val="0"/>
              <w:keepLines w:val="0"/>
              <w:widowControl/>
              <w:suppressLineNumbers w:val="0"/>
              <w:kinsoku w:val="0"/>
              <w:autoSpaceDE w:val="0"/>
              <w:autoSpaceDN w:val="0"/>
              <w:adjustRightInd w:val="0"/>
              <w:snapToGrid w:val="0"/>
              <w:spacing w:before="86" w:beforeAutospacing="0" w:after="0" w:afterAutospacing="0" w:line="273" w:lineRule="auto"/>
              <w:ind w:left="96" w:right="248" w:firstLine="10"/>
              <w:jc w:val="both"/>
              <w:textAlignment w:val="baseline"/>
              <w:rPr>
                <w:rFonts w:hint="eastAsia" w:ascii="仿宋" w:hAnsi="仿宋" w:eastAsia="仿宋" w:cs="仿宋"/>
                <w:color w:val="000000"/>
                <w:kern w:val="0"/>
                <w:sz w:val="21"/>
                <w:szCs w:val="21"/>
              </w:rPr>
            </w:pPr>
            <w:r>
              <w:rPr>
                <w:rFonts w:hint="eastAsia" w:ascii="仿宋" w:hAnsi="仿宋" w:eastAsia="仿宋" w:cs="仿宋"/>
                <w:snapToGrid/>
                <w:color w:val="000000"/>
                <w:spacing w:val="-1"/>
                <w:kern w:val="0"/>
                <w:sz w:val="21"/>
                <w:szCs w:val="21"/>
                <w:lang w:val="en-US" w:eastAsia="zh-CN" w:bidi="ar"/>
              </w:rPr>
              <w:t>服务已开始被用户付费购买（可能伴有补贴</w:t>
            </w:r>
            <w:r>
              <w:rPr>
                <w:rFonts w:hint="eastAsia" w:ascii="仿宋" w:hAnsi="仿宋" w:eastAsia="仿宋" w:cs="仿宋"/>
                <w:snapToGrid/>
                <w:color w:val="000000"/>
                <w:spacing w:val="5"/>
                <w:kern w:val="0"/>
                <w:sz w:val="21"/>
                <w:szCs w:val="21"/>
                <w:lang w:val="en-US" w:eastAsia="zh-CN" w:bidi="ar"/>
              </w:rPr>
              <w:t>），</w:t>
            </w:r>
            <w:r>
              <w:rPr>
                <w:rFonts w:hint="eastAsia" w:ascii="仿宋" w:hAnsi="仿宋" w:eastAsia="仿宋" w:cs="仿宋"/>
                <w:snapToGrid/>
                <w:color w:val="000000"/>
                <w:spacing w:val="-1"/>
                <w:kern w:val="0"/>
                <w:sz w:val="21"/>
                <w:szCs w:val="21"/>
                <w:lang w:val="en-US" w:eastAsia="zh-CN" w:bidi="ar"/>
              </w:rPr>
              <w:t>用户复</w:t>
            </w:r>
            <w:r>
              <w:rPr>
                <w:rFonts w:hint="eastAsia" w:ascii="仿宋" w:hAnsi="仿宋" w:eastAsia="仿宋" w:cs="仿宋"/>
                <w:snapToGrid/>
                <w:color w:val="000000"/>
                <w:kern w:val="0"/>
                <w:sz w:val="21"/>
                <w:szCs w:val="21"/>
                <w:lang w:val="en-US" w:eastAsia="zh-CN" w:bidi="ar"/>
              </w:rPr>
              <w:t>购率提升，证明其功能价值得到了市场认可，在核心应用场景中表现出较强的不可替代性。</w:t>
            </w:r>
          </w:p>
        </w:tc>
        <w:tc>
          <w:tcPr>
            <w:tcW w:w="2959" w:type="dxa"/>
            <w:tcBorders>
              <w:top w:val="single" w:color="000000" w:sz="2" w:space="0"/>
              <w:left w:val="single" w:color="000000" w:sz="2" w:space="0"/>
              <w:bottom w:val="single" w:color="000000" w:sz="2" w:space="0"/>
              <w:right w:val="single" w:color="000000" w:sz="2" w:space="0"/>
            </w:tcBorders>
            <w:shd w:val="clear" w:color="auto" w:fill="auto"/>
            <w:vAlign w:val="top"/>
          </w:tcPr>
          <w:p w14:paraId="670D1FCE">
            <w:pPr>
              <w:pStyle w:val="12"/>
              <w:keepNext w:val="0"/>
              <w:keepLines w:val="0"/>
              <w:widowControl/>
              <w:suppressLineNumbers w:val="0"/>
              <w:kinsoku w:val="0"/>
              <w:autoSpaceDE w:val="0"/>
              <w:autoSpaceDN w:val="0"/>
              <w:adjustRightInd w:val="0"/>
              <w:snapToGrid w:val="0"/>
              <w:spacing w:before="88" w:beforeAutospacing="0" w:after="0" w:afterAutospacing="0" w:line="273" w:lineRule="auto"/>
              <w:ind w:left="137" w:right="126" w:hanging="37"/>
              <w:jc w:val="left"/>
              <w:textAlignment w:val="baseline"/>
              <w:rPr>
                <w:rFonts w:hint="eastAsia" w:ascii="仿宋" w:hAnsi="仿宋" w:eastAsia="仿宋" w:cs="仿宋"/>
                <w:color w:val="000000"/>
                <w:kern w:val="0"/>
                <w:sz w:val="21"/>
                <w:szCs w:val="21"/>
              </w:rPr>
            </w:pPr>
            <w:r>
              <w:rPr>
                <w:rFonts w:hint="eastAsia" w:ascii="仿宋" w:hAnsi="仿宋" w:eastAsia="仿宋" w:cs="仿宋"/>
                <w:snapToGrid/>
                <w:color w:val="000000"/>
                <w:spacing w:val="-1"/>
                <w:kern w:val="0"/>
                <w:sz w:val="21"/>
                <w:szCs w:val="21"/>
                <w:lang w:val="en-US" w:eastAsia="zh-CN" w:bidi="ar"/>
              </w:rPr>
              <w:t>地方政府或行业主管部门出台</w:t>
            </w:r>
            <w:r>
              <w:rPr>
                <w:rFonts w:hint="eastAsia" w:ascii="仿宋" w:hAnsi="仿宋" w:eastAsia="仿宋" w:cs="仿宋"/>
                <w:snapToGrid/>
                <w:color w:val="000000"/>
                <w:spacing w:val="-4"/>
                <w:kern w:val="0"/>
                <w:sz w:val="21"/>
                <w:szCs w:val="21"/>
                <w:lang w:val="en-US" w:eastAsia="zh-CN" w:bidi="ar"/>
              </w:rPr>
              <w:t>了初步的扶持政策如资金补</w:t>
            </w:r>
          </w:p>
          <w:p w14:paraId="5DDA1F15">
            <w:pPr>
              <w:pStyle w:val="12"/>
              <w:keepNext w:val="0"/>
              <w:keepLines w:val="0"/>
              <w:widowControl/>
              <w:suppressLineNumbers w:val="0"/>
              <w:kinsoku w:val="0"/>
              <w:autoSpaceDE w:val="0"/>
              <w:autoSpaceDN w:val="0"/>
              <w:adjustRightInd w:val="0"/>
              <w:snapToGrid w:val="0"/>
              <w:spacing w:before="4" w:beforeAutospacing="0" w:after="0" w:afterAutospacing="0" w:line="273" w:lineRule="auto"/>
              <w:ind w:left="98" w:right="126" w:firstLine="3"/>
              <w:jc w:val="left"/>
              <w:textAlignment w:val="baseline"/>
              <w:rPr>
                <w:rFonts w:hint="eastAsia" w:ascii="仿宋" w:hAnsi="仿宋" w:eastAsia="仿宋" w:cs="仿宋"/>
                <w:color w:val="000000"/>
                <w:kern w:val="0"/>
                <w:sz w:val="21"/>
                <w:szCs w:val="21"/>
              </w:rPr>
            </w:pPr>
            <w:r>
              <w:rPr>
                <w:rFonts w:hint="eastAsia" w:ascii="仿宋" w:hAnsi="仿宋" w:eastAsia="仿宋" w:cs="仿宋"/>
                <w:snapToGrid/>
                <w:color w:val="000000"/>
                <w:spacing w:val="-1"/>
                <w:kern w:val="0"/>
                <w:sz w:val="21"/>
                <w:szCs w:val="21"/>
                <w:lang w:val="en-US" w:eastAsia="zh-CN" w:bidi="ar"/>
              </w:rPr>
              <w:t>贴、采购清单）或试点项目，鼓励企业进行探索，清除了该场景下的主要法规障碍，需求被政策显性激发。</w:t>
            </w:r>
          </w:p>
        </w:tc>
        <w:tc>
          <w:tcPr>
            <w:tcW w:w="2786" w:type="dxa"/>
            <w:tcBorders>
              <w:top w:val="single" w:color="000000" w:sz="2" w:space="0"/>
              <w:left w:val="single" w:color="000000" w:sz="2" w:space="0"/>
              <w:bottom w:val="single" w:color="000000" w:sz="2" w:space="0"/>
              <w:right w:val="single" w:color="000000" w:sz="2" w:space="0"/>
            </w:tcBorders>
            <w:shd w:val="clear" w:color="auto" w:fill="auto"/>
            <w:vAlign w:val="top"/>
          </w:tcPr>
          <w:p w14:paraId="6C20F569">
            <w:pPr>
              <w:pStyle w:val="12"/>
              <w:keepNext w:val="0"/>
              <w:keepLines w:val="0"/>
              <w:widowControl/>
              <w:suppressLineNumbers w:val="0"/>
              <w:kinsoku w:val="0"/>
              <w:autoSpaceDE w:val="0"/>
              <w:autoSpaceDN w:val="0"/>
              <w:adjustRightInd w:val="0"/>
              <w:snapToGrid w:val="0"/>
              <w:spacing w:before="87" w:beforeAutospacing="0" w:after="0" w:afterAutospacing="0" w:line="273" w:lineRule="auto"/>
              <w:ind w:left="105" w:right="163"/>
              <w:jc w:val="left"/>
              <w:textAlignment w:val="baseline"/>
              <w:rPr>
                <w:rFonts w:hint="eastAsia" w:ascii="仿宋" w:hAnsi="仿宋" w:eastAsia="仿宋" w:cs="仿宋"/>
                <w:color w:val="000000"/>
                <w:kern w:val="0"/>
                <w:sz w:val="21"/>
                <w:szCs w:val="21"/>
              </w:rPr>
            </w:pPr>
            <w:r>
              <w:rPr>
                <w:rFonts w:hint="eastAsia" w:ascii="仿宋" w:hAnsi="仿宋" w:eastAsia="仿宋" w:cs="仿宋"/>
                <w:snapToGrid/>
                <w:color w:val="000000"/>
                <w:spacing w:val="-1"/>
                <w:kern w:val="0"/>
                <w:sz w:val="21"/>
                <w:szCs w:val="21"/>
                <w:lang w:val="en-US" w:eastAsia="zh-CN" w:bidi="ar"/>
              </w:rPr>
              <w:t>在试点范围内建立了可接受的安全记录和管理规范，获得了局部区域的“社会许</w:t>
            </w:r>
          </w:p>
          <w:p w14:paraId="79BBE01A">
            <w:pPr>
              <w:pStyle w:val="12"/>
              <w:keepNext w:val="0"/>
              <w:keepLines w:val="0"/>
              <w:widowControl/>
              <w:suppressLineNumbers w:val="0"/>
              <w:kinsoku w:val="0"/>
              <w:autoSpaceDE w:val="0"/>
              <w:autoSpaceDN w:val="0"/>
              <w:adjustRightInd w:val="0"/>
              <w:snapToGrid w:val="0"/>
              <w:spacing w:before="1" w:beforeAutospacing="0" w:after="0" w:afterAutospacing="0" w:line="273" w:lineRule="auto"/>
              <w:ind w:left="103" w:right="163" w:firstLine="8"/>
              <w:jc w:val="left"/>
              <w:textAlignment w:val="baseline"/>
              <w:rPr>
                <w:rFonts w:hint="eastAsia" w:ascii="仿宋" w:hAnsi="仿宋" w:eastAsia="仿宋" w:cs="仿宋"/>
                <w:color w:val="000000"/>
                <w:kern w:val="0"/>
                <w:sz w:val="21"/>
                <w:szCs w:val="21"/>
              </w:rPr>
            </w:pPr>
            <w:r>
              <w:rPr>
                <w:rFonts w:hint="eastAsia" w:ascii="仿宋" w:hAnsi="仿宋" w:eastAsia="仿宋" w:cs="仿宋"/>
                <w:snapToGrid/>
                <w:color w:val="000000"/>
                <w:spacing w:val="-2"/>
                <w:kern w:val="0"/>
                <w:sz w:val="21"/>
                <w:szCs w:val="21"/>
                <w:lang w:val="en-US" w:eastAsia="zh-CN" w:bidi="ar"/>
              </w:rPr>
              <w:t>可”，技术和管理手段得到</w:t>
            </w:r>
            <w:r>
              <w:rPr>
                <w:rFonts w:hint="eastAsia" w:ascii="仿宋" w:hAnsi="仿宋" w:eastAsia="仿宋" w:cs="仿宋"/>
                <w:snapToGrid/>
                <w:color w:val="000000"/>
                <w:spacing w:val="-1"/>
                <w:kern w:val="0"/>
                <w:sz w:val="21"/>
                <w:szCs w:val="21"/>
                <w:lang w:val="en-US" w:eastAsia="zh-CN" w:bidi="ar"/>
              </w:rPr>
              <w:t>验证，但大规模推广仍需应</w:t>
            </w:r>
            <w:r>
              <w:rPr>
                <w:rFonts w:hint="eastAsia" w:ascii="仿宋" w:hAnsi="仿宋" w:eastAsia="仿宋" w:cs="仿宋"/>
                <w:snapToGrid/>
                <w:color w:val="000000"/>
                <w:spacing w:val="-3"/>
                <w:kern w:val="0"/>
                <w:sz w:val="21"/>
                <w:szCs w:val="21"/>
                <w:lang w:val="en-US" w:eastAsia="zh-CN" w:bidi="ar"/>
              </w:rPr>
              <w:t>对更广泛的安全性质疑。</w:t>
            </w:r>
          </w:p>
        </w:tc>
        <w:tc>
          <w:tcPr>
            <w:tcW w:w="2853" w:type="dxa"/>
            <w:tcBorders>
              <w:top w:val="single" w:color="000000" w:sz="2" w:space="0"/>
              <w:left w:val="single" w:color="000000" w:sz="2" w:space="0"/>
              <w:bottom w:val="single" w:color="000000" w:sz="2" w:space="0"/>
              <w:right w:val="single" w:color="000000" w:sz="2" w:space="0"/>
            </w:tcBorders>
            <w:shd w:val="clear" w:color="auto" w:fill="auto"/>
            <w:vAlign w:val="top"/>
          </w:tcPr>
          <w:p w14:paraId="4C357349">
            <w:pPr>
              <w:pStyle w:val="12"/>
              <w:keepNext w:val="0"/>
              <w:keepLines w:val="0"/>
              <w:widowControl/>
              <w:suppressLineNumbers w:val="0"/>
              <w:kinsoku w:val="0"/>
              <w:autoSpaceDE w:val="0"/>
              <w:autoSpaceDN w:val="0"/>
              <w:adjustRightInd w:val="0"/>
              <w:snapToGrid w:val="0"/>
              <w:spacing w:before="88" w:beforeAutospacing="0" w:after="0" w:afterAutospacing="0" w:line="273" w:lineRule="auto"/>
              <w:ind w:left="115" w:right="278" w:hanging="9"/>
              <w:jc w:val="left"/>
              <w:textAlignment w:val="baseline"/>
              <w:rPr>
                <w:rFonts w:hint="eastAsia" w:ascii="仿宋" w:hAnsi="仿宋" w:eastAsia="仿宋" w:cs="仿宋"/>
                <w:color w:val="000000"/>
                <w:kern w:val="0"/>
                <w:sz w:val="21"/>
                <w:szCs w:val="21"/>
              </w:rPr>
            </w:pPr>
            <w:r>
              <w:rPr>
                <w:rFonts w:hint="eastAsia" w:ascii="仿宋" w:hAnsi="仿宋" w:eastAsia="仿宋" w:cs="仿宋"/>
                <w:snapToGrid/>
                <w:color w:val="000000"/>
                <w:spacing w:val="-5"/>
                <w:kern w:val="0"/>
                <w:sz w:val="21"/>
                <w:szCs w:val="21"/>
                <w:lang w:val="en-US" w:eastAsia="zh-CN" w:bidi="ar"/>
              </w:rPr>
              <w:t>在特定区域或限定场景下，</w:t>
            </w:r>
            <w:r>
              <w:rPr>
                <w:rFonts w:hint="eastAsia" w:ascii="仿宋" w:hAnsi="仿宋" w:eastAsia="仿宋" w:cs="仿宋"/>
                <w:snapToGrid/>
                <w:color w:val="000000"/>
                <w:spacing w:val="-2"/>
                <w:kern w:val="0"/>
                <w:sz w:val="21"/>
                <w:szCs w:val="21"/>
                <w:lang w:val="en-US" w:eastAsia="zh-CN" w:bidi="ar"/>
              </w:rPr>
              <w:t>需求从“潜在”变为“实</w:t>
            </w:r>
          </w:p>
          <w:p w14:paraId="051E8BE1">
            <w:pPr>
              <w:pStyle w:val="12"/>
              <w:keepNext w:val="0"/>
              <w:keepLines w:val="0"/>
              <w:widowControl/>
              <w:suppressLineNumbers w:val="0"/>
              <w:kinsoku w:val="0"/>
              <w:autoSpaceDE w:val="0"/>
              <w:autoSpaceDN w:val="0"/>
              <w:adjustRightInd w:val="0"/>
              <w:snapToGrid w:val="0"/>
              <w:spacing w:before="0" w:beforeAutospacing="0" w:after="0" w:afterAutospacing="0" w:line="276" w:lineRule="auto"/>
              <w:ind w:left="106" w:right="229"/>
              <w:jc w:val="left"/>
              <w:textAlignment w:val="baseline"/>
              <w:rPr>
                <w:rFonts w:hint="eastAsia" w:ascii="仿宋" w:hAnsi="仿宋" w:eastAsia="仿宋" w:cs="仿宋"/>
                <w:color w:val="000000"/>
                <w:kern w:val="0"/>
                <w:sz w:val="21"/>
                <w:szCs w:val="21"/>
              </w:rPr>
            </w:pPr>
            <w:r>
              <w:rPr>
                <w:rFonts w:hint="eastAsia" w:ascii="仿宋" w:hAnsi="仿宋" w:eastAsia="仿宋" w:cs="仿宋"/>
                <w:snapToGrid/>
                <w:color w:val="000000"/>
                <w:spacing w:val="-1"/>
                <w:kern w:val="0"/>
                <w:sz w:val="21"/>
                <w:szCs w:val="21"/>
                <w:lang w:val="en-US" w:eastAsia="zh-CN" w:bidi="ar"/>
              </w:rPr>
              <w:t>在”，形成了可度量的市场规模，并进入良性循环的早期阶段，公众已开始产生购</w:t>
            </w:r>
            <w:r>
              <w:rPr>
                <w:rFonts w:hint="eastAsia" w:ascii="仿宋" w:hAnsi="仿宋" w:eastAsia="仿宋" w:cs="仿宋"/>
                <w:snapToGrid/>
                <w:color w:val="000000"/>
                <w:spacing w:val="-3"/>
                <w:kern w:val="0"/>
                <w:sz w:val="21"/>
                <w:szCs w:val="21"/>
                <w:lang w:val="en-US" w:eastAsia="zh-CN" w:bidi="ar"/>
              </w:rPr>
              <w:t>买意愿。</w:t>
            </w:r>
          </w:p>
        </w:tc>
      </w:tr>
      <w:tr w14:paraId="7C3A05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0" w:type="dxa"/>
            <w:left w:w="0" w:type="dxa"/>
            <w:bottom w:w="0" w:type="dxa"/>
            <w:right w:w="0" w:type="dxa"/>
          </w:tblCellMar>
        </w:tblPrEx>
        <w:trPr>
          <w:trHeight w:val="347" w:hRule="atLeast"/>
          <w:jc w:val="center"/>
        </w:trPr>
        <w:tc>
          <w:tcPr>
            <w:tcW w:w="1505" w:type="dxa"/>
            <w:tcBorders>
              <w:top w:val="single" w:color="000000" w:sz="2" w:space="0"/>
              <w:left w:val="single" w:color="000000" w:sz="2" w:space="0"/>
              <w:bottom w:val="nil"/>
              <w:right w:val="single" w:color="000000" w:sz="2" w:space="0"/>
            </w:tcBorders>
            <w:shd w:val="clear" w:color="auto" w:fill="auto"/>
            <w:vAlign w:val="top"/>
          </w:tcPr>
          <w:p w14:paraId="6B92789E">
            <w:pPr>
              <w:keepNext w:val="0"/>
              <w:keepLines w:val="0"/>
              <w:widowControl/>
              <w:suppressLineNumbers w:val="0"/>
              <w:kinsoku w:val="0"/>
              <w:autoSpaceDE w:val="0"/>
              <w:autoSpaceDN w:val="0"/>
              <w:adjustRightInd w:val="0"/>
              <w:snapToGrid w:val="0"/>
              <w:spacing w:before="126" w:beforeAutospacing="0" w:after="0" w:afterAutospacing="0"/>
              <w:ind w:left="652" w:right="0"/>
              <w:jc w:val="left"/>
              <w:textAlignment w:val="baseline"/>
              <w:rPr>
                <w:rFonts w:hint="eastAsia" w:ascii="黑体" w:hAnsi="宋体" w:eastAsia="黑体" w:cs="黑体"/>
                <w:color w:val="000000"/>
                <w:kern w:val="0"/>
                <w:sz w:val="21"/>
                <w:szCs w:val="21"/>
              </w:rPr>
            </w:pPr>
            <w:r>
              <w:rPr>
                <w:rFonts w:hint="eastAsia" w:ascii="黑体" w:hAnsi="宋体" w:eastAsia="黑体" w:cs="黑体"/>
                <w:snapToGrid w:val="0"/>
                <w:color w:val="000000"/>
                <w:spacing w:val="-2"/>
                <w:kern w:val="0"/>
                <w:sz w:val="21"/>
                <w:szCs w:val="21"/>
                <w:lang w:val="en-US" w:eastAsia="zh-CN" w:bidi="ar"/>
              </w:rPr>
              <w:t>D4</w:t>
            </w:r>
          </w:p>
        </w:tc>
        <w:tc>
          <w:tcPr>
            <w:tcW w:w="2869" w:type="dxa"/>
            <w:tcBorders>
              <w:top w:val="single" w:color="000000" w:sz="2" w:space="0"/>
              <w:left w:val="single" w:color="000000" w:sz="2" w:space="0"/>
              <w:bottom w:val="nil"/>
              <w:right w:val="single" w:color="000000" w:sz="2" w:space="0"/>
            </w:tcBorders>
            <w:shd w:val="clear" w:color="auto" w:fill="auto"/>
            <w:vAlign w:val="top"/>
          </w:tcPr>
          <w:p w14:paraId="4ED98DEB">
            <w:pPr>
              <w:pStyle w:val="12"/>
              <w:keepNext w:val="0"/>
              <w:keepLines w:val="0"/>
              <w:widowControl/>
              <w:suppressLineNumbers w:val="0"/>
              <w:kinsoku w:val="0"/>
              <w:autoSpaceDE w:val="0"/>
              <w:autoSpaceDN w:val="0"/>
              <w:adjustRightInd w:val="0"/>
              <w:snapToGrid w:val="0"/>
              <w:spacing w:before="92" w:beforeAutospacing="0" w:after="0" w:afterAutospacing="0"/>
              <w:ind w:left="101" w:right="0"/>
              <w:jc w:val="left"/>
              <w:textAlignment w:val="baseline"/>
              <w:rPr>
                <w:rFonts w:hint="eastAsia" w:ascii="仿宋" w:hAnsi="仿宋" w:eastAsia="仿宋" w:cs="仿宋"/>
                <w:color w:val="000000"/>
                <w:kern w:val="0"/>
                <w:sz w:val="21"/>
                <w:szCs w:val="21"/>
              </w:rPr>
            </w:pPr>
            <w:r>
              <w:rPr>
                <w:rFonts w:hint="eastAsia" w:ascii="仿宋" w:hAnsi="仿宋" w:eastAsia="仿宋" w:cs="仿宋"/>
                <w:snapToGrid/>
                <w:color w:val="000000"/>
                <w:spacing w:val="-1"/>
                <w:kern w:val="0"/>
                <w:sz w:val="21"/>
                <w:szCs w:val="21"/>
                <w:lang w:val="en-US" w:eastAsia="zh-CN" w:bidi="ar"/>
              </w:rPr>
              <w:t>痛点成为行业共识，低空方</w:t>
            </w:r>
          </w:p>
        </w:tc>
        <w:tc>
          <w:tcPr>
            <w:tcW w:w="2872" w:type="dxa"/>
            <w:tcBorders>
              <w:top w:val="single" w:color="000000" w:sz="2" w:space="0"/>
              <w:left w:val="single" w:color="000000" w:sz="2" w:space="0"/>
              <w:bottom w:val="nil"/>
              <w:right w:val="single" w:color="000000" w:sz="2" w:space="0"/>
            </w:tcBorders>
            <w:shd w:val="clear" w:color="auto" w:fill="auto"/>
            <w:vAlign w:val="top"/>
          </w:tcPr>
          <w:p w14:paraId="46BF28FD">
            <w:pPr>
              <w:pStyle w:val="12"/>
              <w:keepNext w:val="0"/>
              <w:keepLines w:val="0"/>
              <w:widowControl/>
              <w:suppressLineNumbers w:val="0"/>
              <w:kinsoku w:val="0"/>
              <w:autoSpaceDE w:val="0"/>
              <w:autoSpaceDN w:val="0"/>
              <w:adjustRightInd w:val="0"/>
              <w:snapToGrid w:val="0"/>
              <w:spacing w:before="92" w:beforeAutospacing="0" w:after="0" w:afterAutospacing="0"/>
              <w:ind w:left="106" w:right="0"/>
              <w:jc w:val="left"/>
              <w:textAlignment w:val="baseline"/>
              <w:rPr>
                <w:rFonts w:hint="eastAsia" w:ascii="仿宋" w:hAnsi="仿宋" w:eastAsia="仿宋" w:cs="仿宋"/>
                <w:color w:val="000000"/>
                <w:kern w:val="0"/>
                <w:sz w:val="21"/>
                <w:szCs w:val="21"/>
              </w:rPr>
            </w:pPr>
            <w:r>
              <w:rPr>
                <w:rFonts w:hint="eastAsia" w:ascii="仿宋" w:hAnsi="仿宋" w:eastAsia="仿宋" w:cs="仿宋"/>
                <w:snapToGrid/>
                <w:color w:val="000000"/>
                <w:spacing w:val="-1"/>
                <w:kern w:val="0"/>
                <w:sz w:val="21"/>
                <w:szCs w:val="21"/>
                <w:lang w:val="en-US" w:eastAsia="zh-CN" w:bidi="ar"/>
              </w:rPr>
              <w:t>服务性价比具有显著竞争</w:t>
            </w:r>
          </w:p>
        </w:tc>
        <w:tc>
          <w:tcPr>
            <w:tcW w:w="2959" w:type="dxa"/>
            <w:tcBorders>
              <w:top w:val="single" w:color="000000" w:sz="2" w:space="0"/>
              <w:left w:val="single" w:color="000000" w:sz="2" w:space="0"/>
              <w:bottom w:val="nil"/>
              <w:right w:val="single" w:color="000000" w:sz="2" w:space="0"/>
            </w:tcBorders>
            <w:shd w:val="clear" w:color="auto" w:fill="auto"/>
            <w:vAlign w:val="top"/>
          </w:tcPr>
          <w:p w14:paraId="4934365A">
            <w:pPr>
              <w:pStyle w:val="12"/>
              <w:keepNext w:val="0"/>
              <w:keepLines w:val="0"/>
              <w:widowControl/>
              <w:suppressLineNumbers w:val="0"/>
              <w:kinsoku w:val="0"/>
              <w:autoSpaceDE w:val="0"/>
              <w:autoSpaceDN w:val="0"/>
              <w:adjustRightInd w:val="0"/>
              <w:snapToGrid w:val="0"/>
              <w:spacing w:before="92" w:beforeAutospacing="0" w:after="0" w:afterAutospacing="0"/>
              <w:ind w:left="120" w:right="0"/>
              <w:jc w:val="left"/>
              <w:textAlignment w:val="baseline"/>
              <w:rPr>
                <w:rFonts w:hint="eastAsia" w:ascii="仿宋" w:hAnsi="仿宋" w:eastAsia="仿宋" w:cs="仿宋"/>
                <w:color w:val="000000"/>
                <w:kern w:val="0"/>
                <w:sz w:val="21"/>
                <w:szCs w:val="21"/>
              </w:rPr>
            </w:pPr>
            <w:r>
              <w:rPr>
                <w:rFonts w:hint="eastAsia" w:ascii="仿宋" w:hAnsi="仿宋" w:eastAsia="仿宋" w:cs="仿宋"/>
                <w:snapToGrid/>
                <w:color w:val="000000"/>
                <w:spacing w:val="-2"/>
                <w:kern w:val="0"/>
                <w:sz w:val="21"/>
                <w:szCs w:val="21"/>
                <w:lang w:val="en-US" w:eastAsia="zh-CN" w:bidi="ar"/>
              </w:rPr>
              <w:t>国家层面形成鼓励性政策体</w:t>
            </w:r>
          </w:p>
        </w:tc>
        <w:tc>
          <w:tcPr>
            <w:tcW w:w="2786" w:type="dxa"/>
            <w:tcBorders>
              <w:top w:val="single" w:color="000000" w:sz="2" w:space="0"/>
              <w:left w:val="single" w:color="000000" w:sz="2" w:space="0"/>
              <w:bottom w:val="nil"/>
              <w:right w:val="single" w:color="000000" w:sz="2" w:space="0"/>
            </w:tcBorders>
            <w:shd w:val="clear" w:color="auto" w:fill="auto"/>
            <w:vAlign w:val="top"/>
          </w:tcPr>
          <w:p w14:paraId="7D5E1A30">
            <w:pPr>
              <w:pStyle w:val="12"/>
              <w:keepNext w:val="0"/>
              <w:keepLines w:val="0"/>
              <w:widowControl/>
              <w:suppressLineNumbers w:val="0"/>
              <w:kinsoku w:val="0"/>
              <w:autoSpaceDE w:val="0"/>
              <w:autoSpaceDN w:val="0"/>
              <w:adjustRightInd w:val="0"/>
              <w:snapToGrid w:val="0"/>
              <w:spacing w:before="92" w:beforeAutospacing="0" w:after="0" w:afterAutospacing="0"/>
              <w:ind w:left="107" w:right="0"/>
              <w:jc w:val="left"/>
              <w:textAlignment w:val="baseline"/>
              <w:rPr>
                <w:rFonts w:hint="eastAsia" w:ascii="仿宋" w:hAnsi="仿宋" w:eastAsia="仿宋" w:cs="仿宋"/>
                <w:color w:val="000000"/>
                <w:kern w:val="0"/>
                <w:sz w:val="21"/>
                <w:szCs w:val="21"/>
              </w:rPr>
            </w:pPr>
            <w:r>
              <w:rPr>
                <w:rFonts w:hint="eastAsia" w:ascii="仿宋" w:hAnsi="仿宋" w:eastAsia="仿宋" w:cs="仿宋"/>
                <w:snapToGrid/>
                <w:color w:val="000000"/>
                <w:spacing w:val="-1"/>
                <w:kern w:val="0"/>
                <w:sz w:val="21"/>
                <w:szCs w:val="21"/>
                <w:lang w:val="en-US" w:eastAsia="zh-CN" w:bidi="ar"/>
              </w:rPr>
              <w:t>安全保障体系基本成熟，公</w:t>
            </w:r>
          </w:p>
        </w:tc>
        <w:tc>
          <w:tcPr>
            <w:tcW w:w="2853" w:type="dxa"/>
            <w:tcBorders>
              <w:top w:val="single" w:color="000000" w:sz="2" w:space="0"/>
              <w:left w:val="single" w:color="000000" w:sz="2" w:space="0"/>
              <w:bottom w:val="nil"/>
              <w:right w:val="single" w:color="000000" w:sz="2" w:space="0"/>
            </w:tcBorders>
            <w:shd w:val="clear" w:color="auto" w:fill="auto"/>
            <w:vAlign w:val="top"/>
          </w:tcPr>
          <w:p w14:paraId="2B65DD1D">
            <w:pPr>
              <w:pStyle w:val="12"/>
              <w:keepNext w:val="0"/>
              <w:keepLines w:val="0"/>
              <w:widowControl/>
              <w:suppressLineNumbers w:val="0"/>
              <w:kinsoku w:val="0"/>
              <w:autoSpaceDE w:val="0"/>
              <w:autoSpaceDN w:val="0"/>
              <w:adjustRightInd w:val="0"/>
              <w:snapToGrid w:val="0"/>
              <w:spacing w:before="92" w:beforeAutospacing="0" w:after="0" w:afterAutospacing="0"/>
              <w:ind w:left="115" w:right="0"/>
              <w:jc w:val="left"/>
              <w:textAlignment w:val="baseline"/>
              <w:rPr>
                <w:rFonts w:hint="eastAsia" w:ascii="仿宋" w:hAnsi="仿宋" w:eastAsia="仿宋" w:cs="仿宋"/>
                <w:color w:val="000000"/>
                <w:kern w:val="0"/>
                <w:sz w:val="21"/>
                <w:szCs w:val="21"/>
              </w:rPr>
            </w:pPr>
            <w:r>
              <w:rPr>
                <w:rFonts w:hint="eastAsia" w:ascii="仿宋" w:hAnsi="仿宋" w:eastAsia="仿宋" w:cs="仿宋"/>
                <w:snapToGrid/>
                <w:color w:val="000000"/>
                <w:spacing w:val="-2"/>
                <w:kern w:val="0"/>
                <w:sz w:val="21"/>
                <w:szCs w:val="21"/>
                <w:lang w:val="en-US" w:eastAsia="zh-CN" w:bidi="ar"/>
              </w:rPr>
              <w:t>需求从区域性试点走向跨区</w:t>
            </w:r>
          </w:p>
        </w:tc>
      </w:tr>
      <w:tr w14:paraId="7E34E2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0" w:type="dxa"/>
            <w:left w:w="0" w:type="dxa"/>
            <w:bottom w:w="0" w:type="dxa"/>
            <w:right w:w="0" w:type="dxa"/>
          </w:tblCellMar>
        </w:tblPrEx>
        <w:trPr>
          <w:trHeight w:val="401" w:hRule="atLeast"/>
          <w:jc w:val="center"/>
        </w:trPr>
        <w:tc>
          <w:tcPr>
            <w:tcW w:w="1505" w:type="dxa"/>
            <w:tcBorders>
              <w:top w:val="nil"/>
              <w:left w:val="single" w:color="000000" w:sz="2" w:space="0"/>
              <w:bottom w:val="single" w:color="000000" w:sz="2" w:space="0"/>
              <w:right w:val="single" w:color="000000" w:sz="2" w:space="0"/>
            </w:tcBorders>
            <w:shd w:val="clear" w:color="auto" w:fill="auto"/>
            <w:vAlign w:val="top"/>
          </w:tcPr>
          <w:p w14:paraId="7D68E13A">
            <w:pPr>
              <w:keepNext w:val="0"/>
              <w:keepLines w:val="0"/>
              <w:widowControl/>
              <w:suppressLineNumbers w:val="0"/>
              <w:kinsoku w:val="0"/>
              <w:autoSpaceDE w:val="0"/>
              <w:autoSpaceDN w:val="0"/>
              <w:adjustRightInd w:val="0"/>
              <w:snapToGrid w:val="0"/>
              <w:spacing w:before="57" w:beforeAutospacing="0" w:after="0" w:afterAutospacing="0"/>
              <w:ind w:left="167" w:right="0"/>
              <w:jc w:val="left"/>
              <w:textAlignment w:val="baseline"/>
              <w:rPr>
                <w:rFonts w:hint="eastAsia" w:ascii="黑体" w:hAnsi="宋体" w:eastAsia="黑体" w:cs="黑体"/>
                <w:color w:val="000000"/>
                <w:kern w:val="0"/>
                <w:sz w:val="21"/>
                <w:szCs w:val="21"/>
              </w:rPr>
            </w:pPr>
            <w:r>
              <w:rPr>
                <w:rFonts w:hint="eastAsia" w:ascii="黑体" w:hAnsi="宋体" w:eastAsia="黑体" w:cs="黑体"/>
                <w:snapToGrid w:val="0"/>
                <w:color w:val="000000"/>
                <w:spacing w:val="-7"/>
                <w:kern w:val="0"/>
                <w:sz w:val="21"/>
                <w:szCs w:val="21"/>
                <w:lang w:val="en-US" w:eastAsia="zh-CN" w:bidi="ar"/>
              </w:rPr>
              <w:t>(需求增长级)</w:t>
            </w:r>
          </w:p>
        </w:tc>
        <w:tc>
          <w:tcPr>
            <w:tcW w:w="2869" w:type="dxa"/>
            <w:tcBorders>
              <w:top w:val="nil"/>
              <w:left w:val="single" w:color="000000" w:sz="2" w:space="0"/>
              <w:bottom w:val="single" w:color="000000" w:sz="2" w:space="0"/>
              <w:right w:val="single" w:color="000000" w:sz="2" w:space="0"/>
            </w:tcBorders>
            <w:shd w:val="clear" w:color="auto" w:fill="auto"/>
            <w:vAlign w:val="top"/>
          </w:tcPr>
          <w:p w14:paraId="560CCB13">
            <w:pPr>
              <w:pStyle w:val="12"/>
              <w:keepNext w:val="0"/>
              <w:keepLines w:val="0"/>
              <w:widowControl/>
              <w:suppressLineNumbers w:val="0"/>
              <w:kinsoku w:val="0"/>
              <w:autoSpaceDE w:val="0"/>
              <w:autoSpaceDN w:val="0"/>
              <w:adjustRightInd w:val="0"/>
              <w:snapToGrid w:val="0"/>
              <w:spacing w:before="57" w:beforeAutospacing="0" w:after="0" w:afterAutospacing="0"/>
              <w:ind w:left="104" w:right="0"/>
              <w:jc w:val="left"/>
              <w:textAlignment w:val="baseline"/>
              <w:rPr>
                <w:rFonts w:hint="eastAsia" w:ascii="仿宋" w:hAnsi="仿宋" w:eastAsia="仿宋" w:cs="仿宋"/>
                <w:color w:val="000000"/>
                <w:kern w:val="0"/>
                <w:sz w:val="21"/>
                <w:szCs w:val="21"/>
              </w:rPr>
            </w:pPr>
            <w:r>
              <w:rPr>
                <w:rFonts w:hint="eastAsia" w:ascii="仿宋" w:hAnsi="仿宋" w:eastAsia="仿宋" w:cs="仿宋"/>
                <w:snapToGrid/>
                <w:color w:val="000000"/>
                <w:spacing w:val="-1"/>
                <w:kern w:val="0"/>
                <w:sz w:val="21"/>
                <w:szCs w:val="21"/>
                <w:lang w:val="en-US" w:eastAsia="zh-CN" w:bidi="ar"/>
              </w:rPr>
              <w:t>案成为主流解决方案之一，</w:t>
            </w:r>
          </w:p>
        </w:tc>
        <w:tc>
          <w:tcPr>
            <w:tcW w:w="2872" w:type="dxa"/>
            <w:tcBorders>
              <w:top w:val="nil"/>
              <w:left w:val="single" w:color="000000" w:sz="2" w:space="0"/>
              <w:bottom w:val="single" w:color="000000" w:sz="2" w:space="0"/>
              <w:right w:val="single" w:color="000000" w:sz="2" w:space="0"/>
            </w:tcBorders>
            <w:shd w:val="clear" w:color="auto" w:fill="auto"/>
            <w:vAlign w:val="top"/>
          </w:tcPr>
          <w:p w14:paraId="147E166C">
            <w:pPr>
              <w:pStyle w:val="12"/>
              <w:keepNext w:val="0"/>
              <w:keepLines w:val="0"/>
              <w:widowControl/>
              <w:suppressLineNumbers w:val="0"/>
              <w:kinsoku w:val="0"/>
              <w:autoSpaceDE w:val="0"/>
              <w:autoSpaceDN w:val="0"/>
              <w:adjustRightInd w:val="0"/>
              <w:snapToGrid w:val="0"/>
              <w:spacing w:before="57" w:beforeAutospacing="0" w:after="0" w:afterAutospacing="0"/>
              <w:ind w:left="108" w:right="0"/>
              <w:jc w:val="left"/>
              <w:textAlignment w:val="baseline"/>
              <w:rPr>
                <w:rFonts w:hint="eastAsia" w:ascii="仿宋" w:hAnsi="仿宋" w:eastAsia="仿宋" w:cs="仿宋"/>
                <w:color w:val="000000"/>
                <w:kern w:val="0"/>
                <w:sz w:val="21"/>
                <w:szCs w:val="21"/>
              </w:rPr>
            </w:pPr>
            <w:r>
              <w:rPr>
                <w:rFonts w:hint="eastAsia" w:ascii="仿宋" w:hAnsi="仿宋" w:eastAsia="仿宋" w:cs="仿宋"/>
                <w:snapToGrid/>
                <w:color w:val="000000"/>
                <w:spacing w:val="-1"/>
                <w:kern w:val="0"/>
                <w:sz w:val="21"/>
                <w:szCs w:val="21"/>
                <w:lang w:val="en-US" w:eastAsia="zh-CN" w:bidi="ar"/>
              </w:rPr>
              <w:t>力，成为用户的首选方案之</w:t>
            </w:r>
          </w:p>
        </w:tc>
        <w:tc>
          <w:tcPr>
            <w:tcW w:w="2959" w:type="dxa"/>
            <w:tcBorders>
              <w:top w:val="nil"/>
              <w:left w:val="single" w:color="000000" w:sz="2" w:space="0"/>
              <w:bottom w:val="single" w:color="000000" w:sz="2" w:space="0"/>
              <w:right w:val="single" w:color="000000" w:sz="2" w:space="0"/>
            </w:tcBorders>
            <w:shd w:val="clear" w:color="auto" w:fill="auto"/>
            <w:vAlign w:val="top"/>
          </w:tcPr>
          <w:p w14:paraId="50AF0830">
            <w:pPr>
              <w:pStyle w:val="12"/>
              <w:keepNext w:val="0"/>
              <w:keepLines w:val="0"/>
              <w:widowControl/>
              <w:suppressLineNumbers w:val="0"/>
              <w:kinsoku w:val="0"/>
              <w:autoSpaceDE w:val="0"/>
              <w:autoSpaceDN w:val="0"/>
              <w:adjustRightInd w:val="0"/>
              <w:snapToGrid w:val="0"/>
              <w:spacing w:before="56" w:beforeAutospacing="0" w:after="0" w:afterAutospacing="0"/>
              <w:ind w:left="112" w:right="0"/>
              <w:jc w:val="left"/>
              <w:textAlignment w:val="baseline"/>
              <w:rPr>
                <w:rFonts w:hint="eastAsia" w:ascii="仿宋" w:hAnsi="仿宋" w:eastAsia="仿宋" w:cs="仿宋"/>
                <w:color w:val="000000"/>
                <w:kern w:val="0"/>
                <w:sz w:val="21"/>
                <w:szCs w:val="21"/>
              </w:rPr>
            </w:pPr>
            <w:r>
              <w:rPr>
                <w:rFonts w:hint="eastAsia" w:ascii="仿宋" w:hAnsi="仿宋" w:eastAsia="仿宋" w:cs="仿宋"/>
                <w:snapToGrid/>
                <w:color w:val="000000"/>
                <w:spacing w:val="-2"/>
                <w:kern w:val="0"/>
                <w:sz w:val="21"/>
                <w:szCs w:val="21"/>
                <w:lang w:val="en-US" w:eastAsia="zh-CN" w:bidi="ar"/>
              </w:rPr>
              <w:t>系，已逐步形成行业标准或规</w:t>
            </w:r>
          </w:p>
        </w:tc>
        <w:tc>
          <w:tcPr>
            <w:tcW w:w="2786" w:type="dxa"/>
            <w:tcBorders>
              <w:top w:val="nil"/>
              <w:left w:val="single" w:color="000000" w:sz="2" w:space="0"/>
              <w:bottom w:val="single" w:color="000000" w:sz="2" w:space="0"/>
              <w:right w:val="single" w:color="000000" w:sz="2" w:space="0"/>
            </w:tcBorders>
            <w:shd w:val="clear" w:color="auto" w:fill="auto"/>
            <w:vAlign w:val="top"/>
          </w:tcPr>
          <w:p w14:paraId="369AB53F">
            <w:pPr>
              <w:pStyle w:val="12"/>
              <w:keepNext w:val="0"/>
              <w:keepLines w:val="0"/>
              <w:widowControl/>
              <w:suppressLineNumbers w:val="0"/>
              <w:kinsoku w:val="0"/>
              <w:autoSpaceDE w:val="0"/>
              <w:autoSpaceDN w:val="0"/>
              <w:adjustRightInd w:val="0"/>
              <w:snapToGrid w:val="0"/>
              <w:spacing w:before="57" w:beforeAutospacing="0" w:after="0" w:afterAutospacing="0"/>
              <w:ind w:left="104" w:right="0"/>
              <w:jc w:val="left"/>
              <w:textAlignment w:val="baseline"/>
              <w:rPr>
                <w:rFonts w:hint="eastAsia" w:ascii="仿宋" w:hAnsi="仿宋" w:eastAsia="仿宋" w:cs="仿宋"/>
                <w:color w:val="000000"/>
                <w:kern w:val="0"/>
                <w:sz w:val="21"/>
                <w:szCs w:val="21"/>
              </w:rPr>
            </w:pPr>
            <w:r>
              <w:rPr>
                <w:rFonts w:hint="eastAsia" w:ascii="仿宋" w:hAnsi="仿宋" w:eastAsia="仿宋" w:cs="仿宋"/>
                <w:snapToGrid/>
                <w:color w:val="000000"/>
                <w:spacing w:val="-1"/>
                <w:kern w:val="0"/>
                <w:sz w:val="21"/>
                <w:szCs w:val="21"/>
                <w:lang w:val="en-US" w:eastAsia="zh-CN" w:bidi="ar"/>
              </w:rPr>
              <w:t>众对该场景的安全性有较高</w:t>
            </w:r>
          </w:p>
        </w:tc>
        <w:tc>
          <w:tcPr>
            <w:tcW w:w="2853" w:type="dxa"/>
            <w:tcBorders>
              <w:top w:val="nil"/>
              <w:left w:val="single" w:color="000000" w:sz="2" w:space="0"/>
              <w:bottom w:val="single" w:color="000000" w:sz="2" w:space="0"/>
              <w:right w:val="single" w:color="000000" w:sz="2" w:space="0"/>
            </w:tcBorders>
            <w:shd w:val="clear" w:color="auto" w:fill="auto"/>
            <w:vAlign w:val="top"/>
          </w:tcPr>
          <w:p w14:paraId="785823AA">
            <w:pPr>
              <w:pStyle w:val="12"/>
              <w:keepNext w:val="0"/>
              <w:keepLines w:val="0"/>
              <w:widowControl/>
              <w:suppressLineNumbers w:val="0"/>
              <w:kinsoku w:val="0"/>
              <w:autoSpaceDE w:val="0"/>
              <w:autoSpaceDN w:val="0"/>
              <w:adjustRightInd w:val="0"/>
              <w:snapToGrid w:val="0"/>
              <w:spacing w:before="56" w:beforeAutospacing="0" w:after="0" w:afterAutospacing="0"/>
              <w:ind w:left="103" w:right="0"/>
              <w:jc w:val="left"/>
              <w:textAlignment w:val="baseline"/>
              <w:rPr>
                <w:rFonts w:hint="eastAsia" w:ascii="仿宋" w:hAnsi="仿宋" w:eastAsia="仿宋" w:cs="仿宋"/>
                <w:color w:val="000000"/>
                <w:kern w:val="0"/>
                <w:sz w:val="21"/>
                <w:szCs w:val="21"/>
              </w:rPr>
            </w:pPr>
            <w:r>
              <w:rPr>
                <w:rFonts w:hint="eastAsia" w:ascii="仿宋" w:hAnsi="仿宋" w:eastAsia="仿宋" w:cs="仿宋"/>
                <w:snapToGrid/>
                <w:color w:val="000000"/>
                <w:spacing w:val="-1"/>
                <w:kern w:val="0"/>
                <w:sz w:val="21"/>
                <w:szCs w:val="21"/>
                <w:lang w:val="en-US" w:eastAsia="zh-CN" w:bidi="ar"/>
              </w:rPr>
              <w:t>域、跨行业的规模化增长，</w:t>
            </w:r>
          </w:p>
        </w:tc>
      </w:tr>
    </w:tbl>
    <w:p w14:paraId="647EFC15">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default" w:ascii="Segoe UI" w:hAnsi="Segoe UI" w:eastAsia="宋体" w:cs="Segoe UI"/>
          <w:i w:val="0"/>
          <w:iCs w:val="0"/>
          <w:caps w:val="0"/>
          <w:spacing w:val="0"/>
          <w:sz w:val="24"/>
          <w:szCs w:val="24"/>
          <w:shd w:val="clear" w:fill="FFFFFF"/>
          <w:lang w:val="en-US" w:eastAsia="zh-CN"/>
        </w:rPr>
        <w:sectPr>
          <w:pgSz w:w="16838" w:h="11906" w:orient="landscape"/>
          <w:pgMar w:top="1800" w:right="1440" w:bottom="1800" w:left="1440" w:header="851" w:footer="992" w:gutter="0"/>
          <w:cols w:space="425" w:num="1"/>
          <w:docGrid w:type="lines" w:linePitch="312" w:charSpace="0"/>
        </w:sectPr>
      </w:pPr>
    </w:p>
    <w:p w14:paraId="222790A5">
      <w:pPr>
        <w:keepNext w:val="0"/>
        <w:keepLines w:val="0"/>
        <w:pageBreakBefore w:val="0"/>
        <w:widowControl/>
        <w:numPr>
          <w:ilvl w:val="2"/>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2"/>
        <w:rPr>
          <w:rFonts w:hint="eastAsia" w:ascii="Segoe UI" w:hAnsi="Segoe UI" w:eastAsia="Segoe UI" w:cs="Segoe UI"/>
          <w:b/>
          <w:bCs/>
          <w:i w:val="0"/>
          <w:iCs w:val="0"/>
          <w:caps w:val="0"/>
          <w:spacing w:val="0"/>
          <w:sz w:val="24"/>
          <w:szCs w:val="24"/>
          <w:shd w:val="clear" w:fill="FFFFFF"/>
          <w:lang w:val="en-US" w:eastAsia="zh-CN"/>
        </w:rPr>
      </w:pPr>
      <w:r>
        <w:rPr>
          <w:rFonts w:hint="eastAsia"/>
          <w:b/>
          <w:bCs/>
          <w:sz w:val="24"/>
          <w:szCs w:val="24"/>
          <w:lang w:val="en-US" w:eastAsia="zh-CN"/>
        </w:rPr>
        <w:t xml:space="preserve"> 价值矩阵与象限</w:t>
      </w:r>
    </w:p>
    <w:p w14:paraId="036AFB06">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将供给与需求两个维度组合，构建低空经济场景价值矩阵。该矩阵以供给侧成熟度为横轴，需求侧成长度为纵轴，对每一个具体的低空经济场景进行评价后，便可将其定位到矩阵中的一个特定位置。</w:t>
      </w:r>
    </w:p>
    <w:p w14:paraId="5C337A13">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center"/>
        <w:textAlignment w:val="baseline"/>
        <w:outlineLvl w:val="9"/>
        <w:rPr>
          <w:rFonts w:hint="default" w:ascii="Segoe UI" w:hAnsi="Segoe UI" w:eastAsia="宋体" w:cs="Segoe UI"/>
          <w:i w:val="0"/>
          <w:iCs w:val="0"/>
          <w:caps w:val="0"/>
          <w:spacing w:val="0"/>
          <w:sz w:val="24"/>
          <w:szCs w:val="24"/>
          <w:shd w:val="clear" w:fill="FFFFFF"/>
          <w:lang w:val="en-US" w:eastAsia="zh-CN"/>
        </w:rPr>
      </w:pPr>
      <w:r>
        <w:rPr>
          <w:position w:val="-166"/>
        </w:rPr>
        <w:drawing>
          <wp:inline distT="0" distB="0" distL="0" distR="0">
            <wp:extent cx="5312410" cy="5273675"/>
            <wp:effectExtent l="0" t="0" r="2540" b="3175"/>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13"/>
                    <a:stretch>
                      <a:fillRect/>
                    </a:stretch>
                  </pic:blipFill>
                  <pic:spPr>
                    <a:xfrm>
                      <a:off x="0" y="0"/>
                      <a:ext cx="5312912" cy="5273810"/>
                    </a:xfrm>
                    <a:prstGeom prst="rect">
                      <a:avLst/>
                    </a:prstGeom>
                  </pic:spPr>
                </pic:pic>
              </a:graphicData>
            </a:graphic>
          </wp:inline>
        </w:drawing>
      </w:r>
    </w:p>
    <w:p w14:paraId="39957F1D">
      <w:pPr>
        <w:spacing w:before="101" w:line="321" w:lineRule="auto"/>
        <w:ind w:left="24" w:right="17" w:firstLine="638"/>
        <w:jc w:val="both"/>
        <w:rPr>
          <w:rFonts w:ascii="仿宋" w:hAnsi="仿宋" w:eastAsia="仿宋" w:cs="仿宋"/>
          <w:sz w:val="31"/>
          <w:szCs w:val="31"/>
        </w:rPr>
      </w:pPr>
      <w:r>
        <w:rPr>
          <w:rFonts w:ascii="仿宋" w:hAnsi="仿宋" w:eastAsia="仿宋" w:cs="仿宋"/>
          <w:spacing w:val="9"/>
          <w:sz w:val="31"/>
          <w:szCs w:val="31"/>
        </w:rPr>
        <w:t>基于构建的场景价值矩阵，本白皮书定义出四个</w:t>
      </w:r>
      <w:r>
        <w:rPr>
          <w:rFonts w:ascii="仿宋" w:hAnsi="仿宋" w:eastAsia="仿宋" w:cs="仿宋"/>
          <w:spacing w:val="8"/>
          <w:sz w:val="31"/>
          <w:szCs w:val="31"/>
        </w:rPr>
        <w:t>具有不</w:t>
      </w:r>
      <w:r>
        <w:rPr>
          <w:rFonts w:ascii="仿宋" w:hAnsi="仿宋" w:eastAsia="仿宋" w:cs="仿宋"/>
          <w:spacing w:val="9"/>
          <w:sz w:val="31"/>
          <w:szCs w:val="31"/>
        </w:rPr>
        <w:t>同战略含义的象限，并为每个象限的场景提供针对性</w:t>
      </w:r>
      <w:r>
        <w:rPr>
          <w:rFonts w:ascii="仿宋" w:hAnsi="仿宋" w:eastAsia="仿宋" w:cs="仿宋"/>
          <w:spacing w:val="8"/>
          <w:sz w:val="31"/>
          <w:szCs w:val="31"/>
        </w:rPr>
        <w:t>的发展</w:t>
      </w:r>
      <w:r>
        <w:rPr>
          <w:rFonts w:ascii="仿宋" w:hAnsi="仿宋" w:eastAsia="仿宋" w:cs="仿宋"/>
          <w:spacing w:val="1"/>
          <w:sz w:val="31"/>
          <w:szCs w:val="31"/>
        </w:rPr>
        <w:t>建议，详见表</w:t>
      </w:r>
      <w:r>
        <w:rPr>
          <w:rFonts w:ascii="仿宋" w:hAnsi="仿宋" w:eastAsia="仿宋" w:cs="仿宋"/>
          <w:spacing w:val="-32"/>
          <w:sz w:val="31"/>
          <w:szCs w:val="31"/>
        </w:rPr>
        <w:t xml:space="preserve"> </w:t>
      </w:r>
      <w:r>
        <w:rPr>
          <w:rFonts w:ascii="仿宋" w:hAnsi="仿宋" w:eastAsia="仿宋" w:cs="仿宋"/>
          <w:spacing w:val="1"/>
          <w:sz w:val="31"/>
          <w:szCs w:val="31"/>
        </w:rPr>
        <w:t>3。</w:t>
      </w:r>
    </w:p>
    <w:p w14:paraId="41D1CDD9">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p>
    <w:p w14:paraId="72322B69">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p>
    <w:p w14:paraId="3D0510D4">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p>
    <w:p w14:paraId="277887E3">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p>
    <w:tbl>
      <w:tblPr>
        <w:tblStyle w:val="13"/>
        <w:tblW w:w="8302" w:type="dxa"/>
        <w:tblInd w:w="1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01"/>
        <w:gridCol w:w="1557"/>
        <w:gridCol w:w="1756"/>
        <w:gridCol w:w="1964"/>
        <w:gridCol w:w="2224"/>
      </w:tblGrid>
      <w:tr w14:paraId="2D168F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0" w:hRule="atLeast"/>
        </w:trPr>
        <w:tc>
          <w:tcPr>
            <w:tcW w:w="801" w:type="dxa"/>
            <w:tcBorders>
              <w:top w:val="single" w:color="000000" w:sz="2" w:space="0"/>
              <w:left w:val="single" w:color="000000" w:sz="2" w:space="0"/>
              <w:bottom w:val="single" w:color="000000" w:sz="2" w:space="0"/>
              <w:right w:val="single" w:color="000000" w:sz="2" w:space="0"/>
              <w:tl2br w:val="nil"/>
              <w:tr2bl w:val="nil"/>
            </w:tcBorders>
            <w:noWrap w:val="0"/>
            <w:vAlign w:val="top"/>
          </w:tcPr>
          <w:p w14:paraId="2C4A2BA3">
            <w:pPr>
              <w:spacing w:before="104" w:beforeLines="0" w:afterLines="0" w:line="219" w:lineRule="auto"/>
              <w:ind w:left="130"/>
              <w:rPr>
                <w:rFonts w:hint="eastAsia" w:ascii="黑体" w:hAnsi="黑体" w:eastAsia="黑体" w:cs="黑体"/>
                <w:sz w:val="24"/>
                <w:szCs w:val="24"/>
              </w:rPr>
            </w:pPr>
            <w:r>
              <w:rPr>
                <w:rFonts w:hint="eastAsia" w:ascii="黑体" w:hAnsi="黑体" w:eastAsia="黑体" w:cs="黑体"/>
                <w:spacing w:val="-3"/>
                <w:sz w:val="24"/>
                <w:szCs w:val="24"/>
              </w:rPr>
              <w:t>名称</w:t>
            </w:r>
          </w:p>
        </w:tc>
        <w:tc>
          <w:tcPr>
            <w:tcW w:w="1557" w:type="dxa"/>
            <w:tcBorders>
              <w:top w:val="single" w:color="000000" w:sz="2" w:space="0"/>
              <w:left w:val="single" w:color="000000" w:sz="2" w:space="0"/>
              <w:bottom w:val="single" w:color="000000" w:sz="2" w:space="0"/>
              <w:right w:val="single" w:color="000000" w:sz="2" w:space="0"/>
              <w:tl2br w:val="nil"/>
              <w:tr2bl w:val="nil"/>
            </w:tcBorders>
            <w:noWrap w:val="0"/>
            <w:vAlign w:val="top"/>
          </w:tcPr>
          <w:p w14:paraId="14E0DC46">
            <w:pPr>
              <w:spacing w:before="104" w:beforeLines="0" w:afterLines="0" w:line="220" w:lineRule="auto"/>
              <w:ind w:left="504"/>
              <w:rPr>
                <w:rFonts w:hint="eastAsia" w:ascii="黑体" w:hAnsi="黑体" w:eastAsia="黑体" w:cs="黑体"/>
                <w:sz w:val="24"/>
                <w:szCs w:val="24"/>
              </w:rPr>
            </w:pPr>
            <w:r>
              <w:rPr>
                <w:rFonts w:hint="eastAsia" w:ascii="黑体" w:hAnsi="黑体" w:eastAsia="黑体" w:cs="黑体"/>
                <w:spacing w:val="-3"/>
                <w:sz w:val="24"/>
                <w:szCs w:val="24"/>
              </w:rPr>
              <w:t>象限</w:t>
            </w:r>
          </w:p>
        </w:tc>
        <w:tc>
          <w:tcPr>
            <w:tcW w:w="1756" w:type="dxa"/>
            <w:tcBorders>
              <w:top w:val="single" w:color="000000" w:sz="2" w:space="0"/>
              <w:left w:val="single" w:color="000000" w:sz="2" w:space="0"/>
              <w:bottom w:val="single" w:color="000000" w:sz="2" w:space="0"/>
              <w:right w:val="single" w:color="000000" w:sz="2" w:space="0"/>
              <w:tl2br w:val="nil"/>
              <w:tr2bl w:val="nil"/>
            </w:tcBorders>
            <w:noWrap w:val="0"/>
            <w:vAlign w:val="top"/>
          </w:tcPr>
          <w:p w14:paraId="60DED0A0">
            <w:pPr>
              <w:spacing w:before="103" w:beforeLines="0" w:afterLines="0" w:line="219" w:lineRule="auto"/>
              <w:ind w:left="601"/>
              <w:rPr>
                <w:rFonts w:hint="eastAsia" w:ascii="黑体" w:hAnsi="黑体" w:eastAsia="黑体" w:cs="黑体"/>
                <w:sz w:val="24"/>
                <w:szCs w:val="24"/>
              </w:rPr>
            </w:pPr>
            <w:r>
              <w:rPr>
                <w:rFonts w:hint="eastAsia" w:ascii="黑体" w:hAnsi="黑体" w:eastAsia="黑体" w:cs="黑体"/>
                <w:spacing w:val="-3"/>
                <w:sz w:val="24"/>
                <w:szCs w:val="24"/>
              </w:rPr>
              <w:t>特征</w:t>
            </w:r>
          </w:p>
        </w:tc>
        <w:tc>
          <w:tcPr>
            <w:tcW w:w="1964" w:type="dxa"/>
            <w:tcBorders>
              <w:top w:val="single" w:color="000000" w:sz="2" w:space="0"/>
              <w:left w:val="single" w:color="000000" w:sz="2" w:space="0"/>
              <w:bottom w:val="single" w:color="000000" w:sz="2" w:space="0"/>
              <w:right w:val="single" w:color="000000" w:sz="2" w:space="0"/>
              <w:tl2br w:val="nil"/>
              <w:tr2bl w:val="nil"/>
            </w:tcBorders>
            <w:noWrap w:val="0"/>
            <w:vAlign w:val="top"/>
          </w:tcPr>
          <w:p w14:paraId="7510D9EA">
            <w:pPr>
              <w:spacing w:before="103" w:beforeLines="0" w:afterLines="0" w:line="219" w:lineRule="auto"/>
              <w:ind w:left="433"/>
              <w:rPr>
                <w:rFonts w:hint="eastAsia" w:ascii="黑体" w:hAnsi="黑体" w:eastAsia="黑体" w:cs="黑体"/>
                <w:sz w:val="24"/>
                <w:szCs w:val="24"/>
              </w:rPr>
            </w:pPr>
            <w:r>
              <w:rPr>
                <w:rFonts w:hint="eastAsia" w:ascii="黑体" w:hAnsi="黑体" w:eastAsia="黑体" w:cs="黑体"/>
                <w:spacing w:val="-2"/>
                <w:sz w:val="24"/>
                <w:szCs w:val="24"/>
              </w:rPr>
              <w:t>发展建议</w:t>
            </w:r>
          </w:p>
        </w:tc>
        <w:tc>
          <w:tcPr>
            <w:tcW w:w="2224" w:type="dxa"/>
            <w:tcBorders>
              <w:top w:val="single" w:color="000000" w:sz="2" w:space="0"/>
              <w:left w:val="single" w:color="000000" w:sz="2" w:space="0"/>
              <w:bottom w:val="single" w:color="000000" w:sz="2" w:space="0"/>
              <w:right w:val="single" w:color="000000" w:sz="2" w:space="0"/>
              <w:tl2br w:val="nil"/>
              <w:tr2bl w:val="nil"/>
            </w:tcBorders>
            <w:noWrap w:val="0"/>
            <w:vAlign w:val="top"/>
          </w:tcPr>
          <w:p w14:paraId="7DE0D5BF">
            <w:pPr>
              <w:spacing w:before="103" w:beforeLines="0" w:afterLines="0" w:line="221" w:lineRule="auto"/>
              <w:ind w:left="566"/>
              <w:rPr>
                <w:rFonts w:hint="eastAsia" w:ascii="黑体" w:hAnsi="黑体" w:eastAsia="黑体" w:cs="黑体"/>
                <w:sz w:val="24"/>
                <w:szCs w:val="24"/>
              </w:rPr>
            </w:pPr>
            <w:r>
              <w:rPr>
                <w:rFonts w:hint="eastAsia" w:ascii="黑体" w:hAnsi="黑体" w:eastAsia="黑体" w:cs="黑体"/>
                <w:spacing w:val="-3"/>
                <w:sz w:val="24"/>
                <w:szCs w:val="24"/>
              </w:rPr>
              <w:t>典型案例</w:t>
            </w:r>
          </w:p>
        </w:tc>
      </w:tr>
      <w:tr w14:paraId="443C07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37" w:hRule="atLeast"/>
        </w:trPr>
        <w:tc>
          <w:tcPr>
            <w:tcW w:w="801" w:type="dxa"/>
            <w:tcBorders>
              <w:top w:val="single" w:color="000000" w:sz="2" w:space="0"/>
              <w:left w:val="single" w:color="000000" w:sz="2" w:space="0"/>
              <w:bottom w:val="single" w:color="000000" w:sz="2" w:space="0"/>
              <w:right w:val="single" w:color="000000" w:sz="2" w:space="0"/>
              <w:tl2br w:val="nil"/>
              <w:tr2bl w:val="nil"/>
            </w:tcBorders>
            <w:noWrap w:val="0"/>
            <w:vAlign w:val="top"/>
          </w:tcPr>
          <w:p w14:paraId="6304CE82">
            <w:pPr>
              <w:spacing w:beforeLines="0" w:afterLines="0" w:line="298" w:lineRule="auto"/>
              <w:rPr>
                <w:rFonts w:hint="default"/>
                <w:sz w:val="24"/>
                <w:szCs w:val="24"/>
              </w:rPr>
            </w:pPr>
          </w:p>
          <w:p w14:paraId="19A91B6A">
            <w:pPr>
              <w:spacing w:beforeLines="0" w:afterLines="0" w:line="298" w:lineRule="auto"/>
              <w:rPr>
                <w:rFonts w:hint="default"/>
                <w:sz w:val="24"/>
                <w:szCs w:val="24"/>
              </w:rPr>
            </w:pPr>
          </w:p>
          <w:p w14:paraId="0F0DC127">
            <w:pPr>
              <w:spacing w:beforeLines="0" w:afterLines="0" w:line="298" w:lineRule="auto"/>
              <w:rPr>
                <w:rFonts w:hint="default"/>
                <w:sz w:val="24"/>
                <w:szCs w:val="24"/>
              </w:rPr>
            </w:pPr>
          </w:p>
          <w:p w14:paraId="2A2BD3E4">
            <w:pPr>
              <w:spacing w:beforeLines="0" w:afterLines="0" w:line="299" w:lineRule="auto"/>
              <w:rPr>
                <w:rFonts w:hint="default"/>
                <w:sz w:val="24"/>
                <w:szCs w:val="24"/>
              </w:rPr>
            </w:pPr>
          </w:p>
          <w:p w14:paraId="1F8B48DA">
            <w:pPr>
              <w:spacing w:before="91" w:beforeLines="0" w:afterLines="0" w:line="277" w:lineRule="auto"/>
              <w:ind w:left="126" w:right="116" w:firstLine="15"/>
              <w:rPr>
                <w:rFonts w:hint="eastAsia" w:ascii="黑体" w:hAnsi="黑体" w:eastAsia="黑体" w:cs="黑体"/>
                <w:sz w:val="24"/>
                <w:szCs w:val="24"/>
              </w:rPr>
            </w:pPr>
            <w:r>
              <w:rPr>
                <w:rFonts w:hint="eastAsia" w:ascii="黑体" w:hAnsi="黑体" w:eastAsia="黑体" w:cs="黑体"/>
                <w:spacing w:val="-12"/>
                <w:sz w:val="24"/>
                <w:szCs w:val="24"/>
              </w:rPr>
              <w:t>明星</w:t>
            </w:r>
            <w:r>
              <w:rPr>
                <w:rFonts w:hint="eastAsia" w:ascii="黑体" w:hAnsi="黑体" w:eastAsia="黑体" w:cs="黑体"/>
                <w:spacing w:val="-4"/>
                <w:sz w:val="24"/>
                <w:szCs w:val="24"/>
              </w:rPr>
              <w:t>场景</w:t>
            </w:r>
          </w:p>
        </w:tc>
        <w:tc>
          <w:tcPr>
            <w:tcW w:w="1557" w:type="dxa"/>
            <w:tcBorders>
              <w:top w:val="single" w:color="000000" w:sz="2" w:space="0"/>
              <w:left w:val="single" w:color="000000" w:sz="2" w:space="0"/>
              <w:bottom w:val="single" w:color="000000" w:sz="2" w:space="0"/>
              <w:right w:val="single" w:color="000000" w:sz="2" w:space="0"/>
              <w:tl2br w:val="nil"/>
              <w:tr2bl w:val="nil"/>
            </w:tcBorders>
            <w:noWrap w:val="0"/>
            <w:vAlign w:val="top"/>
          </w:tcPr>
          <w:p w14:paraId="1ECD5A57">
            <w:pPr>
              <w:spacing w:beforeLines="0" w:afterLines="0" w:line="252" w:lineRule="auto"/>
              <w:rPr>
                <w:rFonts w:hint="default"/>
                <w:sz w:val="24"/>
                <w:szCs w:val="24"/>
              </w:rPr>
            </w:pPr>
          </w:p>
          <w:p w14:paraId="68314EE3">
            <w:pPr>
              <w:spacing w:beforeLines="0" w:afterLines="0" w:line="252" w:lineRule="auto"/>
              <w:rPr>
                <w:rFonts w:hint="default"/>
                <w:sz w:val="24"/>
                <w:szCs w:val="24"/>
              </w:rPr>
            </w:pPr>
          </w:p>
          <w:p w14:paraId="6485BD29">
            <w:pPr>
              <w:spacing w:beforeLines="0" w:afterLines="0" w:line="252" w:lineRule="auto"/>
              <w:rPr>
                <w:rFonts w:hint="default"/>
                <w:sz w:val="24"/>
                <w:szCs w:val="24"/>
              </w:rPr>
            </w:pPr>
          </w:p>
          <w:p w14:paraId="1D0987AF">
            <w:pPr>
              <w:spacing w:beforeLines="0" w:afterLines="0" w:line="253" w:lineRule="auto"/>
              <w:rPr>
                <w:rFonts w:hint="default"/>
                <w:sz w:val="24"/>
                <w:szCs w:val="24"/>
              </w:rPr>
            </w:pPr>
          </w:p>
          <w:p w14:paraId="6F59712A">
            <w:pPr>
              <w:spacing w:beforeLines="0" w:afterLines="0" w:line="253" w:lineRule="auto"/>
              <w:rPr>
                <w:rFonts w:hint="default"/>
                <w:sz w:val="24"/>
                <w:szCs w:val="24"/>
              </w:rPr>
            </w:pPr>
          </w:p>
          <w:p w14:paraId="6AE4B1E1">
            <w:pPr>
              <w:pStyle w:val="20"/>
              <w:spacing w:before="78" w:beforeLines="0" w:afterLines="0" w:line="276" w:lineRule="auto"/>
              <w:ind w:left="312" w:right="178" w:hanging="120"/>
              <w:rPr>
                <w:rFonts w:hint="eastAsia"/>
                <w:sz w:val="24"/>
                <w:szCs w:val="24"/>
              </w:rPr>
            </w:pPr>
            <w:r>
              <w:rPr>
                <w:rFonts w:hint="eastAsia"/>
                <w:spacing w:val="-4"/>
                <w:sz w:val="24"/>
                <w:szCs w:val="24"/>
              </w:rPr>
              <w:t>高（中）供给高需求</w:t>
            </w:r>
          </w:p>
        </w:tc>
        <w:tc>
          <w:tcPr>
            <w:tcW w:w="1756" w:type="dxa"/>
            <w:tcBorders>
              <w:top w:val="single" w:color="000000" w:sz="2" w:space="0"/>
              <w:left w:val="single" w:color="000000" w:sz="2" w:space="0"/>
              <w:bottom w:val="single" w:color="000000" w:sz="2" w:space="0"/>
              <w:right w:val="single" w:color="000000" w:sz="2" w:space="0"/>
              <w:tl2br w:val="nil"/>
              <w:tr2bl w:val="nil"/>
            </w:tcBorders>
            <w:noWrap w:val="0"/>
            <w:vAlign w:val="top"/>
          </w:tcPr>
          <w:p w14:paraId="0B98DC65">
            <w:pPr>
              <w:pStyle w:val="20"/>
              <w:spacing w:before="97" w:beforeLines="0" w:afterLines="0" w:line="275" w:lineRule="auto"/>
              <w:ind w:left="96" w:right="220" w:firstLine="5"/>
              <w:rPr>
                <w:rFonts w:hint="eastAsia"/>
                <w:sz w:val="24"/>
                <w:szCs w:val="24"/>
              </w:rPr>
            </w:pPr>
            <w:r>
              <w:rPr>
                <w:rFonts w:hint="eastAsia"/>
                <w:spacing w:val="-3"/>
                <w:sz w:val="24"/>
                <w:szCs w:val="24"/>
              </w:rPr>
              <w:t>技术成熟，市</w:t>
            </w:r>
            <w:r>
              <w:rPr>
                <w:rFonts w:hint="eastAsia"/>
                <w:spacing w:val="-2"/>
                <w:sz w:val="24"/>
                <w:szCs w:val="24"/>
              </w:rPr>
              <w:t>场渴求，商业模式清晰，具备大规模扩张的潜力，是当前低空经济场景的主战场和规模化现金</w:t>
            </w:r>
          </w:p>
          <w:p w14:paraId="5856A435">
            <w:pPr>
              <w:pStyle w:val="20"/>
              <w:spacing w:beforeLines="0" w:afterLines="0" w:line="218" w:lineRule="auto"/>
              <w:ind w:left="107"/>
              <w:rPr>
                <w:rFonts w:hint="eastAsia"/>
                <w:sz w:val="24"/>
                <w:szCs w:val="24"/>
              </w:rPr>
            </w:pPr>
            <w:r>
              <w:rPr>
                <w:rFonts w:hint="eastAsia"/>
                <w:spacing w:val="-17"/>
                <w:sz w:val="24"/>
                <w:szCs w:val="24"/>
              </w:rPr>
              <w:t>牛。</w:t>
            </w:r>
          </w:p>
        </w:tc>
        <w:tc>
          <w:tcPr>
            <w:tcW w:w="1964" w:type="dxa"/>
            <w:tcBorders>
              <w:top w:val="single" w:color="000000" w:sz="2" w:space="0"/>
              <w:left w:val="single" w:color="000000" w:sz="2" w:space="0"/>
              <w:bottom w:val="single" w:color="000000" w:sz="2" w:space="0"/>
              <w:right w:val="single" w:color="000000" w:sz="2" w:space="0"/>
              <w:tl2br w:val="nil"/>
              <w:tr2bl w:val="nil"/>
            </w:tcBorders>
            <w:noWrap w:val="0"/>
            <w:vAlign w:val="top"/>
          </w:tcPr>
          <w:p w14:paraId="5D5D58D5">
            <w:pPr>
              <w:spacing w:beforeLines="0" w:afterLines="0" w:line="366" w:lineRule="auto"/>
              <w:rPr>
                <w:rFonts w:hint="default"/>
                <w:sz w:val="24"/>
                <w:szCs w:val="24"/>
              </w:rPr>
            </w:pPr>
          </w:p>
          <w:p w14:paraId="334A5F82">
            <w:pPr>
              <w:pStyle w:val="20"/>
              <w:spacing w:before="78" w:beforeLines="0" w:afterLines="0" w:line="276" w:lineRule="auto"/>
              <w:ind w:left="100" w:right="185" w:firstLine="13"/>
              <w:jc w:val="both"/>
              <w:rPr>
                <w:rFonts w:hint="eastAsia"/>
                <w:sz w:val="24"/>
                <w:szCs w:val="24"/>
              </w:rPr>
            </w:pPr>
            <w:r>
              <w:rPr>
                <w:rFonts w:hint="eastAsia"/>
                <w:spacing w:val="-3"/>
                <w:sz w:val="24"/>
                <w:szCs w:val="24"/>
              </w:rPr>
              <w:t>重点投入，加速</w:t>
            </w:r>
            <w:r>
              <w:rPr>
                <w:rFonts w:hint="eastAsia"/>
                <w:spacing w:val="-1"/>
                <w:sz w:val="24"/>
                <w:szCs w:val="24"/>
              </w:rPr>
              <w:t>扩张。政府端应提供政策和资源保障，企业端应集中资源抢占市场份额，投资者</w:t>
            </w:r>
            <w:r>
              <w:rPr>
                <w:rFonts w:hint="eastAsia"/>
                <w:spacing w:val="-8"/>
                <w:sz w:val="24"/>
                <w:szCs w:val="24"/>
              </w:rPr>
              <w:t>可积极布局。</w:t>
            </w:r>
          </w:p>
        </w:tc>
        <w:tc>
          <w:tcPr>
            <w:tcW w:w="2224" w:type="dxa"/>
            <w:tcBorders>
              <w:top w:val="single" w:color="000000" w:sz="2" w:space="0"/>
              <w:left w:val="single" w:color="000000" w:sz="2" w:space="0"/>
              <w:bottom w:val="single" w:color="000000" w:sz="2" w:space="0"/>
              <w:right w:val="single" w:color="000000" w:sz="2" w:space="0"/>
              <w:tl2br w:val="nil"/>
              <w:tr2bl w:val="nil"/>
            </w:tcBorders>
            <w:noWrap w:val="0"/>
            <w:vAlign w:val="top"/>
          </w:tcPr>
          <w:p w14:paraId="5455B59B">
            <w:pPr>
              <w:pStyle w:val="20"/>
              <w:spacing w:before="268" w:beforeLines="0" w:afterLines="0" w:line="276" w:lineRule="auto"/>
              <w:ind w:left="95" w:right="203" w:firstLine="5"/>
              <w:rPr>
                <w:rFonts w:hint="eastAsia"/>
                <w:sz w:val="24"/>
                <w:szCs w:val="24"/>
              </w:rPr>
            </w:pPr>
            <w:r>
              <w:rPr>
                <w:rFonts w:hint="eastAsia"/>
                <w:spacing w:val="-1"/>
                <w:sz w:val="24"/>
                <w:szCs w:val="24"/>
              </w:rPr>
              <w:t>例如城市综合治理</w:t>
            </w:r>
            <w:r>
              <w:rPr>
                <w:rFonts w:hint="eastAsia"/>
                <w:sz w:val="24"/>
                <w:szCs w:val="24"/>
              </w:rPr>
              <w:t>“一网统飞”场景等，技术相对成熟</w:t>
            </w:r>
            <w:r>
              <w:rPr>
                <w:rFonts w:hint="eastAsia"/>
                <w:spacing w:val="-2"/>
                <w:sz w:val="24"/>
                <w:szCs w:val="24"/>
              </w:rPr>
              <w:t>（S4</w:t>
            </w:r>
            <w:r>
              <w:rPr>
                <w:rFonts w:hint="eastAsia"/>
                <w:spacing w:val="-1"/>
                <w:sz w:val="24"/>
                <w:szCs w:val="24"/>
              </w:rPr>
              <w:t>），</w:t>
            </w:r>
            <w:r>
              <w:rPr>
                <w:rFonts w:hint="eastAsia"/>
                <w:spacing w:val="-2"/>
                <w:sz w:val="24"/>
                <w:szCs w:val="24"/>
              </w:rPr>
              <w:t>社会价值</w:t>
            </w:r>
            <w:r>
              <w:rPr>
                <w:rFonts w:hint="eastAsia"/>
                <w:sz w:val="24"/>
                <w:szCs w:val="24"/>
              </w:rPr>
              <w:t>和管理需求极高</w:t>
            </w:r>
          </w:p>
          <w:p w14:paraId="31105D62">
            <w:pPr>
              <w:pStyle w:val="20"/>
              <w:spacing w:beforeLines="0" w:afterLines="0" w:line="275" w:lineRule="auto"/>
              <w:ind w:left="114" w:right="225" w:hanging="19"/>
              <w:rPr>
                <w:rFonts w:hint="eastAsia"/>
                <w:sz w:val="24"/>
                <w:szCs w:val="24"/>
              </w:rPr>
            </w:pPr>
            <w:r>
              <w:rPr>
                <w:rFonts w:hint="eastAsia"/>
                <w:spacing w:val="-3"/>
                <w:sz w:val="24"/>
                <w:szCs w:val="24"/>
              </w:rPr>
              <w:t>（D4</w:t>
            </w:r>
            <w:r>
              <w:rPr>
                <w:rFonts w:hint="eastAsia"/>
                <w:spacing w:val="-1"/>
                <w:sz w:val="24"/>
                <w:szCs w:val="24"/>
              </w:rPr>
              <w:t>），</w:t>
            </w:r>
            <w:r>
              <w:rPr>
                <w:rFonts w:hint="eastAsia"/>
                <w:spacing w:val="-3"/>
                <w:sz w:val="24"/>
                <w:szCs w:val="24"/>
              </w:rPr>
              <w:t>是智慧城市建设的重点方</w:t>
            </w:r>
          </w:p>
          <w:p w14:paraId="4705787E">
            <w:pPr>
              <w:pStyle w:val="20"/>
              <w:spacing w:beforeLines="0" w:afterLines="0" w:line="221" w:lineRule="auto"/>
              <w:ind w:left="133"/>
              <w:rPr>
                <w:rFonts w:hint="eastAsia"/>
                <w:sz w:val="24"/>
                <w:szCs w:val="24"/>
              </w:rPr>
            </w:pPr>
            <w:r>
              <w:rPr>
                <w:rFonts w:hint="eastAsia"/>
                <w:spacing w:val="-22"/>
                <w:sz w:val="24"/>
                <w:szCs w:val="24"/>
              </w:rPr>
              <w:t>向。</w:t>
            </w:r>
          </w:p>
        </w:tc>
      </w:tr>
      <w:tr w14:paraId="3B4C3E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91" w:hRule="atLeast"/>
        </w:trPr>
        <w:tc>
          <w:tcPr>
            <w:tcW w:w="801" w:type="dxa"/>
            <w:tcBorders>
              <w:top w:val="single" w:color="000000" w:sz="2" w:space="0"/>
              <w:left w:val="single" w:color="000000" w:sz="2" w:space="0"/>
              <w:bottom w:val="single" w:color="000000" w:sz="2" w:space="0"/>
              <w:right w:val="single" w:color="000000" w:sz="2" w:space="0"/>
              <w:tl2br w:val="nil"/>
              <w:tr2bl w:val="nil"/>
            </w:tcBorders>
            <w:noWrap w:val="0"/>
            <w:vAlign w:val="top"/>
          </w:tcPr>
          <w:p w14:paraId="7CF8610B">
            <w:pPr>
              <w:spacing w:beforeLines="0" w:afterLines="0" w:line="258" w:lineRule="auto"/>
              <w:rPr>
                <w:rFonts w:hint="default"/>
                <w:sz w:val="24"/>
                <w:szCs w:val="24"/>
              </w:rPr>
            </w:pPr>
          </w:p>
          <w:p w14:paraId="66F350DF">
            <w:pPr>
              <w:spacing w:beforeLines="0" w:afterLines="0" w:line="258" w:lineRule="auto"/>
              <w:rPr>
                <w:rFonts w:hint="default"/>
                <w:sz w:val="24"/>
                <w:szCs w:val="24"/>
              </w:rPr>
            </w:pPr>
          </w:p>
          <w:p w14:paraId="0830E141">
            <w:pPr>
              <w:spacing w:beforeLines="0" w:afterLines="0" w:line="258" w:lineRule="auto"/>
              <w:rPr>
                <w:rFonts w:hint="default"/>
                <w:sz w:val="24"/>
                <w:szCs w:val="24"/>
              </w:rPr>
            </w:pPr>
          </w:p>
          <w:p w14:paraId="5A0E90A4">
            <w:pPr>
              <w:spacing w:beforeLines="0" w:afterLines="0" w:line="258" w:lineRule="auto"/>
              <w:rPr>
                <w:rFonts w:hint="default"/>
                <w:sz w:val="24"/>
                <w:szCs w:val="24"/>
              </w:rPr>
            </w:pPr>
          </w:p>
          <w:p w14:paraId="7B0619E6">
            <w:pPr>
              <w:spacing w:beforeLines="0" w:afterLines="0" w:line="259" w:lineRule="auto"/>
              <w:rPr>
                <w:rFonts w:hint="default"/>
                <w:sz w:val="24"/>
                <w:szCs w:val="24"/>
              </w:rPr>
            </w:pPr>
          </w:p>
          <w:p w14:paraId="0A75E9AE">
            <w:pPr>
              <w:spacing w:beforeLines="0" w:afterLines="0" w:line="259" w:lineRule="auto"/>
              <w:rPr>
                <w:rFonts w:hint="default"/>
                <w:sz w:val="24"/>
                <w:szCs w:val="24"/>
              </w:rPr>
            </w:pPr>
          </w:p>
          <w:p w14:paraId="4B15C8BD">
            <w:pPr>
              <w:spacing w:before="91" w:beforeLines="0" w:afterLines="0" w:line="277" w:lineRule="auto"/>
              <w:ind w:left="126" w:right="116" w:firstLine="7"/>
              <w:rPr>
                <w:rFonts w:hint="eastAsia" w:ascii="黑体" w:hAnsi="黑体" w:eastAsia="黑体" w:cs="黑体"/>
                <w:sz w:val="24"/>
                <w:szCs w:val="24"/>
              </w:rPr>
            </w:pPr>
            <w:r>
              <w:rPr>
                <w:rFonts w:hint="eastAsia" w:ascii="黑体" w:hAnsi="黑体" w:eastAsia="黑体" w:cs="黑体"/>
                <w:spacing w:val="-8"/>
                <w:sz w:val="24"/>
                <w:szCs w:val="24"/>
              </w:rPr>
              <w:t>战略</w:t>
            </w:r>
            <w:r>
              <w:rPr>
                <w:rFonts w:hint="eastAsia" w:ascii="黑体" w:hAnsi="黑体" w:eastAsia="黑体" w:cs="黑体"/>
                <w:spacing w:val="-4"/>
                <w:sz w:val="24"/>
                <w:szCs w:val="24"/>
              </w:rPr>
              <w:t>场景</w:t>
            </w:r>
          </w:p>
        </w:tc>
        <w:tc>
          <w:tcPr>
            <w:tcW w:w="1557" w:type="dxa"/>
            <w:tcBorders>
              <w:top w:val="single" w:color="000000" w:sz="2" w:space="0"/>
              <w:left w:val="single" w:color="000000" w:sz="2" w:space="0"/>
              <w:bottom w:val="single" w:color="000000" w:sz="2" w:space="0"/>
              <w:right w:val="single" w:color="000000" w:sz="2" w:space="0"/>
              <w:tl2br w:val="nil"/>
              <w:tr2bl w:val="nil"/>
            </w:tcBorders>
            <w:noWrap w:val="0"/>
            <w:vAlign w:val="top"/>
          </w:tcPr>
          <w:p w14:paraId="6F1A6FF3">
            <w:pPr>
              <w:spacing w:beforeLines="0" w:afterLines="0" w:line="269" w:lineRule="auto"/>
              <w:rPr>
                <w:rFonts w:hint="default"/>
                <w:sz w:val="24"/>
                <w:szCs w:val="24"/>
              </w:rPr>
            </w:pPr>
          </w:p>
          <w:p w14:paraId="474DD440">
            <w:pPr>
              <w:spacing w:beforeLines="0" w:afterLines="0" w:line="270" w:lineRule="auto"/>
              <w:rPr>
                <w:rFonts w:hint="default"/>
                <w:sz w:val="24"/>
                <w:szCs w:val="24"/>
              </w:rPr>
            </w:pPr>
          </w:p>
          <w:p w14:paraId="21410F11">
            <w:pPr>
              <w:spacing w:beforeLines="0" w:afterLines="0" w:line="270" w:lineRule="auto"/>
              <w:rPr>
                <w:rFonts w:hint="default"/>
                <w:sz w:val="24"/>
                <w:szCs w:val="24"/>
              </w:rPr>
            </w:pPr>
          </w:p>
          <w:p w14:paraId="475AD9D7">
            <w:pPr>
              <w:spacing w:beforeLines="0" w:afterLines="0" w:line="270" w:lineRule="auto"/>
              <w:rPr>
                <w:rFonts w:hint="default"/>
                <w:sz w:val="24"/>
                <w:szCs w:val="24"/>
              </w:rPr>
            </w:pPr>
          </w:p>
          <w:p w14:paraId="13AD07BC">
            <w:pPr>
              <w:spacing w:beforeLines="0" w:afterLines="0" w:line="270" w:lineRule="auto"/>
              <w:rPr>
                <w:rFonts w:hint="default"/>
                <w:sz w:val="24"/>
                <w:szCs w:val="24"/>
              </w:rPr>
            </w:pPr>
          </w:p>
          <w:p w14:paraId="68145C01">
            <w:pPr>
              <w:spacing w:beforeLines="0" w:afterLines="0" w:line="270" w:lineRule="auto"/>
              <w:rPr>
                <w:rFonts w:hint="default"/>
                <w:sz w:val="24"/>
                <w:szCs w:val="24"/>
              </w:rPr>
            </w:pPr>
          </w:p>
          <w:p w14:paraId="01B88CC4">
            <w:pPr>
              <w:pStyle w:val="20"/>
              <w:spacing w:before="78" w:beforeLines="0" w:afterLines="0" w:line="276" w:lineRule="auto"/>
              <w:ind w:left="432" w:right="418" w:hanging="12"/>
              <w:rPr>
                <w:rFonts w:hint="eastAsia"/>
                <w:sz w:val="24"/>
                <w:szCs w:val="24"/>
              </w:rPr>
            </w:pPr>
            <w:r>
              <w:rPr>
                <w:rFonts w:hint="eastAsia"/>
                <w:spacing w:val="-3"/>
                <w:sz w:val="24"/>
                <w:szCs w:val="24"/>
              </w:rPr>
              <w:t>低供给</w:t>
            </w:r>
            <w:r>
              <w:rPr>
                <w:rFonts w:hint="eastAsia"/>
                <w:spacing w:val="-7"/>
                <w:sz w:val="24"/>
                <w:szCs w:val="24"/>
              </w:rPr>
              <w:t>高需求</w:t>
            </w:r>
          </w:p>
        </w:tc>
        <w:tc>
          <w:tcPr>
            <w:tcW w:w="1756" w:type="dxa"/>
            <w:tcBorders>
              <w:top w:val="single" w:color="000000" w:sz="2" w:space="0"/>
              <w:left w:val="single" w:color="000000" w:sz="2" w:space="0"/>
              <w:bottom w:val="single" w:color="000000" w:sz="2" w:space="0"/>
              <w:right w:val="single" w:color="000000" w:sz="2" w:space="0"/>
              <w:tl2br w:val="nil"/>
              <w:tr2bl w:val="nil"/>
            </w:tcBorders>
            <w:noWrap w:val="0"/>
            <w:vAlign w:val="top"/>
          </w:tcPr>
          <w:p w14:paraId="4432DA5C">
            <w:pPr>
              <w:spacing w:beforeLines="0" w:afterLines="0" w:line="242" w:lineRule="auto"/>
              <w:rPr>
                <w:rFonts w:hint="default"/>
                <w:sz w:val="24"/>
                <w:szCs w:val="24"/>
              </w:rPr>
            </w:pPr>
          </w:p>
          <w:p w14:paraId="1BBB6132">
            <w:pPr>
              <w:spacing w:beforeLines="0" w:afterLines="0" w:line="242" w:lineRule="auto"/>
              <w:rPr>
                <w:rFonts w:hint="default"/>
                <w:sz w:val="24"/>
                <w:szCs w:val="24"/>
              </w:rPr>
            </w:pPr>
          </w:p>
          <w:p w14:paraId="3905A9D8">
            <w:pPr>
              <w:spacing w:beforeLines="0" w:afterLines="0" w:line="243" w:lineRule="auto"/>
              <w:rPr>
                <w:rFonts w:hint="default"/>
                <w:sz w:val="24"/>
                <w:szCs w:val="24"/>
              </w:rPr>
            </w:pPr>
          </w:p>
          <w:p w14:paraId="5B1464A2">
            <w:pPr>
              <w:pStyle w:val="20"/>
              <w:spacing w:before="78" w:beforeLines="0" w:afterLines="0" w:line="276" w:lineRule="auto"/>
              <w:ind w:left="95" w:right="220" w:firstLine="14"/>
              <w:jc w:val="both"/>
              <w:rPr>
                <w:rFonts w:hint="eastAsia"/>
                <w:sz w:val="24"/>
                <w:szCs w:val="24"/>
              </w:rPr>
            </w:pPr>
            <w:r>
              <w:rPr>
                <w:rFonts w:hint="eastAsia"/>
                <w:spacing w:val="-4"/>
                <w:sz w:val="24"/>
                <w:szCs w:val="24"/>
              </w:rPr>
              <w:t>市场需求明确</w:t>
            </w:r>
            <w:r>
              <w:rPr>
                <w:rFonts w:hint="eastAsia"/>
                <w:spacing w:val="-1"/>
                <w:sz w:val="24"/>
                <w:szCs w:val="24"/>
              </w:rPr>
              <w:t>且相对迫切，但技术或装备是主要瓶颈，是产业未来的制高点和战略</w:t>
            </w:r>
            <w:r>
              <w:rPr>
                <w:rFonts w:hint="eastAsia"/>
                <w:spacing w:val="-9"/>
                <w:sz w:val="24"/>
                <w:szCs w:val="24"/>
              </w:rPr>
              <w:t>竞争焦点。</w:t>
            </w:r>
          </w:p>
        </w:tc>
        <w:tc>
          <w:tcPr>
            <w:tcW w:w="1964" w:type="dxa"/>
            <w:tcBorders>
              <w:top w:val="single" w:color="000000" w:sz="2" w:space="0"/>
              <w:left w:val="single" w:color="000000" w:sz="2" w:space="0"/>
              <w:bottom w:val="single" w:color="000000" w:sz="2" w:space="0"/>
              <w:right w:val="single" w:color="000000" w:sz="2" w:space="0"/>
              <w:tl2br w:val="nil"/>
              <w:tr2bl w:val="nil"/>
            </w:tcBorders>
            <w:noWrap w:val="0"/>
            <w:vAlign w:val="top"/>
          </w:tcPr>
          <w:p w14:paraId="38E9F36B">
            <w:pPr>
              <w:spacing w:beforeLines="0" w:afterLines="0" w:line="274" w:lineRule="auto"/>
              <w:rPr>
                <w:rFonts w:hint="default"/>
                <w:sz w:val="24"/>
                <w:szCs w:val="24"/>
              </w:rPr>
            </w:pPr>
          </w:p>
          <w:p w14:paraId="65B0F6C8">
            <w:pPr>
              <w:spacing w:beforeLines="0" w:afterLines="0" w:line="274" w:lineRule="auto"/>
              <w:rPr>
                <w:rFonts w:hint="default"/>
                <w:sz w:val="24"/>
                <w:szCs w:val="24"/>
              </w:rPr>
            </w:pPr>
          </w:p>
          <w:p w14:paraId="6C99A6A8">
            <w:pPr>
              <w:pStyle w:val="20"/>
              <w:spacing w:before="78" w:beforeLines="0" w:afterLines="0" w:line="276" w:lineRule="auto"/>
              <w:ind w:left="100" w:right="185" w:firstLine="7"/>
              <w:jc w:val="both"/>
              <w:rPr>
                <w:rFonts w:hint="eastAsia"/>
                <w:sz w:val="24"/>
                <w:szCs w:val="24"/>
              </w:rPr>
            </w:pPr>
            <w:r>
              <w:rPr>
                <w:rFonts w:hint="eastAsia"/>
                <w:spacing w:val="-3"/>
                <w:sz w:val="24"/>
                <w:szCs w:val="24"/>
              </w:rPr>
              <w:t>集中攻关，前瞻</w:t>
            </w:r>
            <w:r>
              <w:rPr>
                <w:rFonts w:hint="eastAsia"/>
                <w:spacing w:val="-1"/>
                <w:sz w:val="24"/>
                <w:szCs w:val="24"/>
              </w:rPr>
              <w:t>布局。政府端应引导产学研联合攻关，企业端应将研发重心放在此，投资者需关注技术突破的拐</w:t>
            </w:r>
            <w:r>
              <w:rPr>
                <w:rFonts w:hint="eastAsia"/>
                <w:spacing w:val="-14"/>
                <w:sz w:val="24"/>
                <w:szCs w:val="24"/>
              </w:rPr>
              <w:t>点。</w:t>
            </w:r>
          </w:p>
        </w:tc>
        <w:tc>
          <w:tcPr>
            <w:tcW w:w="2224" w:type="dxa"/>
            <w:tcBorders>
              <w:top w:val="single" w:color="000000" w:sz="2" w:space="0"/>
              <w:left w:val="single" w:color="000000" w:sz="2" w:space="0"/>
              <w:bottom w:val="single" w:color="000000" w:sz="2" w:space="0"/>
              <w:right w:val="single" w:color="000000" w:sz="2" w:space="0"/>
              <w:tl2br w:val="nil"/>
              <w:tr2bl w:val="nil"/>
            </w:tcBorders>
            <w:noWrap w:val="0"/>
            <w:vAlign w:val="top"/>
          </w:tcPr>
          <w:p w14:paraId="03DE0441">
            <w:pPr>
              <w:pStyle w:val="20"/>
              <w:spacing w:before="95" w:beforeLines="0" w:afterLines="0" w:line="275" w:lineRule="auto"/>
              <w:ind w:left="110" w:right="203" w:hanging="9"/>
              <w:rPr>
                <w:rFonts w:hint="eastAsia"/>
                <w:sz w:val="24"/>
                <w:szCs w:val="24"/>
              </w:rPr>
            </w:pPr>
            <w:r>
              <w:rPr>
                <w:rFonts w:hint="eastAsia"/>
                <w:spacing w:val="-1"/>
                <w:sz w:val="24"/>
                <w:szCs w:val="24"/>
              </w:rPr>
              <w:t>例如特殊地形（跨</w:t>
            </w:r>
            <w:r>
              <w:rPr>
                <w:rFonts w:hint="eastAsia"/>
                <w:spacing w:val="-3"/>
                <w:sz w:val="24"/>
                <w:szCs w:val="24"/>
              </w:rPr>
              <w:t>海、山区等）</w:t>
            </w:r>
          </w:p>
          <w:p w14:paraId="6F5261AB">
            <w:pPr>
              <w:pStyle w:val="20"/>
              <w:spacing w:beforeLines="0" w:afterLines="0" w:line="276" w:lineRule="auto"/>
              <w:ind w:left="103" w:right="203" w:firstLine="5"/>
              <w:rPr>
                <w:rFonts w:hint="eastAsia"/>
                <w:sz w:val="24"/>
                <w:szCs w:val="24"/>
              </w:rPr>
            </w:pPr>
            <w:r>
              <w:rPr>
                <w:rFonts w:hint="eastAsia"/>
                <w:spacing w:val="-4"/>
                <w:sz w:val="24"/>
                <w:szCs w:val="24"/>
              </w:rPr>
              <w:t>eVTOL</w:t>
            </w:r>
            <w:r>
              <w:rPr>
                <w:rFonts w:hint="eastAsia"/>
                <w:spacing w:val="-35"/>
                <w:sz w:val="24"/>
                <w:szCs w:val="24"/>
              </w:rPr>
              <w:t xml:space="preserve"> </w:t>
            </w:r>
            <w:r>
              <w:rPr>
                <w:rFonts w:hint="eastAsia"/>
                <w:spacing w:val="-4"/>
                <w:sz w:val="24"/>
                <w:szCs w:val="24"/>
              </w:rPr>
              <w:t>交通等，解</w:t>
            </w:r>
            <w:r>
              <w:rPr>
                <w:rFonts w:hint="eastAsia"/>
                <w:spacing w:val="-2"/>
                <w:sz w:val="24"/>
                <w:szCs w:val="24"/>
              </w:rPr>
              <w:t>决特殊地形交通不便或城市地面拥堵场景下的需求较为</w:t>
            </w:r>
            <w:r>
              <w:rPr>
                <w:rFonts w:hint="eastAsia"/>
                <w:spacing w:val="2"/>
                <w:sz w:val="24"/>
                <w:szCs w:val="24"/>
              </w:rPr>
              <w:t>迫切（D4—D5</w:t>
            </w:r>
            <w:r>
              <w:rPr>
                <w:rFonts w:hint="eastAsia"/>
                <w:spacing w:val="-13"/>
                <w:sz w:val="24"/>
                <w:szCs w:val="24"/>
              </w:rPr>
              <w:t>），</w:t>
            </w:r>
            <w:r>
              <w:rPr>
                <w:rFonts w:hint="eastAsia"/>
                <w:spacing w:val="-2"/>
                <w:sz w:val="24"/>
                <w:szCs w:val="24"/>
              </w:rPr>
              <w:t>但适用于该场景的长航程、高可靠性</w:t>
            </w:r>
            <w:r>
              <w:rPr>
                <w:rFonts w:hint="eastAsia"/>
                <w:spacing w:val="-3"/>
                <w:sz w:val="24"/>
                <w:szCs w:val="24"/>
              </w:rPr>
              <w:t>eVTOL</w:t>
            </w:r>
            <w:r>
              <w:rPr>
                <w:rFonts w:hint="eastAsia"/>
                <w:spacing w:val="-39"/>
                <w:sz w:val="24"/>
                <w:szCs w:val="24"/>
              </w:rPr>
              <w:t xml:space="preserve"> </w:t>
            </w:r>
            <w:r>
              <w:rPr>
                <w:rFonts w:hint="eastAsia"/>
                <w:spacing w:val="-3"/>
                <w:sz w:val="24"/>
                <w:szCs w:val="24"/>
              </w:rPr>
              <w:t>技术尚不成</w:t>
            </w:r>
            <w:r>
              <w:rPr>
                <w:rFonts w:hint="eastAsia"/>
                <w:spacing w:val="-8"/>
                <w:sz w:val="24"/>
                <w:szCs w:val="24"/>
              </w:rPr>
              <w:t>熟（</w:t>
            </w:r>
            <w:r>
              <w:rPr>
                <w:rFonts w:hint="eastAsia"/>
                <w:spacing w:val="-66"/>
                <w:sz w:val="24"/>
                <w:szCs w:val="24"/>
              </w:rPr>
              <w:t xml:space="preserve"> </w:t>
            </w:r>
            <w:r>
              <w:rPr>
                <w:rFonts w:hint="eastAsia"/>
                <w:spacing w:val="-8"/>
                <w:sz w:val="24"/>
                <w:szCs w:val="24"/>
              </w:rPr>
              <w:t>S1-S2）。</w:t>
            </w:r>
          </w:p>
        </w:tc>
      </w:tr>
      <w:tr w14:paraId="1C2B7D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36" w:hRule="atLeast"/>
        </w:trPr>
        <w:tc>
          <w:tcPr>
            <w:tcW w:w="801" w:type="dxa"/>
            <w:tcBorders>
              <w:top w:val="single" w:color="000000" w:sz="2" w:space="0"/>
              <w:left w:val="single" w:color="000000" w:sz="2" w:space="0"/>
              <w:bottom w:val="single" w:color="000000" w:sz="2" w:space="0"/>
              <w:right w:val="single" w:color="000000" w:sz="2" w:space="0"/>
              <w:tl2br w:val="nil"/>
              <w:tr2bl w:val="nil"/>
            </w:tcBorders>
            <w:noWrap w:val="0"/>
            <w:vAlign w:val="top"/>
          </w:tcPr>
          <w:p w14:paraId="1637735F">
            <w:pPr>
              <w:spacing w:beforeLines="0" w:afterLines="0" w:line="274" w:lineRule="auto"/>
              <w:rPr>
                <w:rFonts w:hint="default"/>
                <w:sz w:val="24"/>
                <w:szCs w:val="24"/>
              </w:rPr>
            </w:pPr>
          </w:p>
          <w:p w14:paraId="2EBAB30A">
            <w:pPr>
              <w:spacing w:beforeLines="0" w:afterLines="0" w:line="274" w:lineRule="auto"/>
              <w:rPr>
                <w:rFonts w:hint="default"/>
                <w:sz w:val="24"/>
                <w:szCs w:val="24"/>
              </w:rPr>
            </w:pPr>
          </w:p>
          <w:p w14:paraId="6CDC76DE">
            <w:pPr>
              <w:spacing w:beforeLines="0" w:afterLines="0" w:line="275" w:lineRule="auto"/>
              <w:rPr>
                <w:rFonts w:hint="default"/>
                <w:sz w:val="24"/>
                <w:szCs w:val="24"/>
              </w:rPr>
            </w:pPr>
          </w:p>
          <w:p w14:paraId="27D61A9E">
            <w:pPr>
              <w:spacing w:beforeLines="0" w:afterLines="0" w:line="275" w:lineRule="auto"/>
              <w:rPr>
                <w:rFonts w:hint="default"/>
                <w:sz w:val="24"/>
                <w:szCs w:val="24"/>
              </w:rPr>
            </w:pPr>
          </w:p>
          <w:p w14:paraId="55B73B76">
            <w:pPr>
              <w:spacing w:beforeLines="0" w:afterLines="0" w:line="275" w:lineRule="auto"/>
              <w:rPr>
                <w:rFonts w:hint="default"/>
                <w:sz w:val="24"/>
                <w:szCs w:val="24"/>
              </w:rPr>
            </w:pPr>
          </w:p>
          <w:p w14:paraId="62650B35">
            <w:pPr>
              <w:spacing w:before="91" w:beforeLines="0" w:afterLines="0" w:line="277" w:lineRule="auto"/>
              <w:ind w:left="126" w:right="116" w:firstLine="1"/>
              <w:rPr>
                <w:rFonts w:hint="eastAsia" w:ascii="黑体" w:hAnsi="黑体" w:eastAsia="黑体" w:cs="黑体"/>
                <w:sz w:val="24"/>
                <w:szCs w:val="24"/>
              </w:rPr>
            </w:pPr>
            <w:r>
              <w:rPr>
                <w:rFonts w:hint="eastAsia" w:ascii="黑体" w:hAnsi="黑体" w:eastAsia="黑体" w:cs="黑体"/>
                <w:spacing w:val="-5"/>
                <w:sz w:val="24"/>
                <w:szCs w:val="24"/>
              </w:rPr>
              <w:t>培育</w:t>
            </w:r>
            <w:r>
              <w:rPr>
                <w:rFonts w:hint="eastAsia" w:ascii="黑体" w:hAnsi="黑体" w:eastAsia="黑体" w:cs="黑体"/>
                <w:spacing w:val="-4"/>
                <w:sz w:val="24"/>
                <w:szCs w:val="24"/>
              </w:rPr>
              <w:t>场景</w:t>
            </w:r>
          </w:p>
        </w:tc>
        <w:tc>
          <w:tcPr>
            <w:tcW w:w="1557" w:type="dxa"/>
            <w:tcBorders>
              <w:top w:val="single" w:color="000000" w:sz="2" w:space="0"/>
              <w:left w:val="single" w:color="000000" w:sz="2" w:space="0"/>
              <w:bottom w:val="single" w:color="000000" w:sz="2" w:space="0"/>
              <w:right w:val="single" w:color="000000" w:sz="2" w:space="0"/>
              <w:tl2br w:val="nil"/>
              <w:tr2bl w:val="nil"/>
            </w:tcBorders>
            <w:noWrap w:val="0"/>
            <w:vAlign w:val="top"/>
          </w:tcPr>
          <w:p w14:paraId="4D3E2A2C">
            <w:pPr>
              <w:spacing w:beforeLines="0" w:afterLines="0" w:line="252" w:lineRule="auto"/>
              <w:rPr>
                <w:rFonts w:hint="default"/>
                <w:sz w:val="24"/>
                <w:szCs w:val="24"/>
              </w:rPr>
            </w:pPr>
          </w:p>
          <w:p w14:paraId="02020464">
            <w:pPr>
              <w:spacing w:beforeLines="0" w:afterLines="0" w:line="252" w:lineRule="auto"/>
              <w:rPr>
                <w:rFonts w:hint="default"/>
                <w:sz w:val="24"/>
                <w:szCs w:val="24"/>
              </w:rPr>
            </w:pPr>
          </w:p>
          <w:p w14:paraId="286867FC">
            <w:pPr>
              <w:spacing w:beforeLines="0" w:afterLines="0" w:line="252" w:lineRule="auto"/>
              <w:rPr>
                <w:rFonts w:hint="default"/>
                <w:sz w:val="24"/>
                <w:szCs w:val="24"/>
              </w:rPr>
            </w:pPr>
          </w:p>
          <w:p w14:paraId="782447E1">
            <w:pPr>
              <w:spacing w:beforeLines="0" w:afterLines="0" w:line="253" w:lineRule="auto"/>
              <w:rPr>
                <w:rFonts w:hint="default"/>
                <w:sz w:val="24"/>
                <w:szCs w:val="24"/>
              </w:rPr>
            </w:pPr>
          </w:p>
          <w:p w14:paraId="1D665DFD">
            <w:pPr>
              <w:spacing w:beforeLines="0" w:afterLines="0" w:line="253" w:lineRule="auto"/>
              <w:rPr>
                <w:rFonts w:hint="default"/>
                <w:sz w:val="24"/>
                <w:szCs w:val="24"/>
              </w:rPr>
            </w:pPr>
          </w:p>
          <w:p w14:paraId="1B4BCADF">
            <w:pPr>
              <w:pStyle w:val="20"/>
              <w:spacing w:before="78" w:beforeLines="0" w:afterLines="0" w:line="218" w:lineRule="auto"/>
              <w:ind w:left="192"/>
              <w:rPr>
                <w:rFonts w:hint="eastAsia"/>
                <w:sz w:val="24"/>
                <w:szCs w:val="24"/>
              </w:rPr>
            </w:pPr>
            <w:r>
              <w:rPr>
                <w:rFonts w:hint="eastAsia"/>
                <w:spacing w:val="-4"/>
                <w:sz w:val="24"/>
                <w:szCs w:val="24"/>
              </w:rPr>
              <w:t>高（中）供</w:t>
            </w:r>
          </w:p>
          <w:p w14:paraId="2BB5D955">
            <w:pPr>
              <w:pStyle w:val="20"/>
              <w:spacing w:before="74" w:beforeLines="0" w:afterLines="0" w:line="218" w:lineRule="auto"/>
              <w:ind w:left="192"/>
              <w:rPr>
                <w:rFonts w:hint="eastAsia"/>
                <w:sz w:val="24"/>
                <w:szCs w:val="24"/>
              </w:rPr>
            </w:pPr>
            <w:r>
              <w:rPr>
                <w:rFonts w:hint="eastAsia"/>
                <w:spacing w:val="-4"/>
                <w:sz w:val="24"/>
                <w:szCs w:val="24"/>
              </w:rPr>
              <w:t>给中（低）</w:t>
            </w:r>
          </w:p>
          <w:p w14:paraId="3B143837">
            <w:pPr>
              <w:pStyle w:val="20"/>
              <w:spacing w:before="74" w:beforeLines="0" w:afterLines="0" w:line="218" w:lineRule="auto"/>
              <w:ind w:left="555"/>
              <w:rPr>
                <w:rFonts w:hint="eastAsia"/>
                <w:sz w:val="24"/>
                <w:szCs w:val="24"/>
              </w:rPr>
            </w:pPr>
            <w:r>
              <w:rPr>
                <w:rFonts w:hint="eastAsia"/>
                <w:spacing w:val="-6"/>
                <w:sz w:val="24"/>
                <w:szCs w:val="24"/>
              </w:rPr>
              <w:t>需求</w:t>
            </w:r>
          </w:p>
        </w:tc>
        <w:tc>
          <w:tcPr>
            <w:tcW w:w="1756" w:type="dxa"/>
            <w:tcBorders>
              <w:top w:val="single" w:color="000000" w:sz="2" w:space="0"/>
              <w:left w:val="single" w:color="000000" w:sz="2" w:space="0"/>
              <w:bottom w:val="single" w:color="000000" w:sz="2" w:space="0"/>
              <w:right w:val="single" w:color="000000" w:sz="2" w:space="0"/>
              <w:tl2br w:val="nil"/>
              <w:tr2bl w:val="nil"/>
            </w:tcBorders>
            <w:noWrap w:val="0"/>
            <w:vAlign w:val="top"/>
          </w:tcPr>
          <w:p w14:paraId="5805A098">
            <w:pPr>
              <w:pStyle w:val="20"/>
              <w:spacing w:before="270" w:beforeLines="0" w:afterLines="0" w:line="276" w:lineRule="auto"/>
              <w:ind w:left="95" w:right="220" w:firstLine="14"/>
              <w:jc w:val="both"/>
              <w:rPr>
                <w:rFonts w:hint="eastAsia"/>
                <w:sz w:val="24"/>
                <w:szCs w:val="24"/>
              </w:rPr>
            </w:pPr>
            <w:r>
              <w:rPr>
                <w:rFonts w:hint="eastAsia"/>
                <w:spacing w:val="-4"/>
                <w:sz w:val="24"/>
                <w:szCs w:val="24"/>
              </w:rPr>
              <w:t>商业模式已得</w:t>
            </w:r>
            <w:r>
              <w:rPr>
                <w:rFonts w:hint="eastAsia"/>
                <w:spacing w:val="-1"/>
                <w:sz w:val="24"/>
                <w:szCs w:val="24"/>
              </w:rPr>
              <w:t>到初步验证，但市场规模尚未形成，需要政策和生态的进一步培育，在一定程度上是产业生态繁</w:t>
            </w:r>
            <w:r>
              <w:rPr>
                <w:rFonts w:hint="eastAsia"/>
                <w:spacing w:val="-9"/>
                <w:sz w:val="24"/>
                <w:szCs w:val="24"/>
              </w:rPr>
              <w:t>荣的关键。</w:t>
            </w:r>
          </w:p>
        </w:tc>
        <w:tc>
          <w:tcPr>
            <w:tcW w:w="1964" w:type="dxa"/>
            <w:tcBorders>
              <w:top w:val="single" w:color="000000" w:sz="2" w:space="0"/>
              <w:left w:val="single" w:color="000000" w:sz="2" w:space="0"/>
              <w:bottom w:val="single" w:color="000000" w:sz="2" w:space="0"/>
              <w:right w:val="single" w:color="000000" w:sz="2" w:space="0"/>
              <w:tl2br w:val="nil"/>
              <w:tr2bl w:val="nil"/>
            </w:tcBorders>
            <w:noWrap w:val="0"/>
            <w:vAlign w:val="top"/>
          </w:tcPr>
          <w:p w14:paraId="1F1443BF">
            <w:pPr>
              <w:pStyle w:val="20"/>
              <w:spacing w:before="93" w:beforeLines="0" w:afterLines="0" w:line="276" w:lineRule="auto"/>
              <w:ind w:left="106" w:right="185" w:firstLine="1"/>
              <w:rPr>
                <w:rFonts w:hint="eastAsia"/>
                <w:sz w:val="24"/>
                <w:szCs w:val="24"/>
              </w:rPr>
            </w:pPr>
            <w:r>
              <w:rPr>
                <w:rFonts w:hint="eastAsia"/>
                <w:spacing w:val="-3"/>
                <w:sz w:val="24"/>
                <w:szCs w:val="24"/>
              </w:rPr>
              <w:t>政策扶持，生态</w:t>
            </w:r>
            <w:r>
              <w:rPr>
                <w:rFonts w:hint="eastAsia"/>
                <w:spacing w:val="-2"/>
                <w:sz w:val="24"/>
                <w:szCs w:val="24"/>
              </w:rPr>
              <w:t>共建。政府端应通过补贴、试点等方式进行引</w:t>
            </w:r>
          </w:p>
          <w:p w14:paraId="7BCA5608">
            <w:pPr>
              <w:pStyle w:val="20"/>
              <w:spacing w:beforeLines="0" w:afterLines="0" w:line="275" w:lineRule="auto"/>
              <w:ind w:left="106" w:right="185" w:firstLine="8"/>
              <w:rPr>
                <w:rFonts w:hint="eastAsia"/>
                <w:sz w:val="24"/>
                <w:szCs w:val="24"/>
              </w:rPr>
            </w:pPr>
            <w:r>
              <w:rPr>
                <w:rFonts w:hint="eastAsia"/>
                <w:spacing w:val="-3"/>
                <w:sz w:val="24"/>
                <w:szCs w:val="24"/>
              </w:rPr>
              <w:t>导，企业端应联</w:t>
            </w:r>
            <w:r>
              <w:rPr>
                <w:rFonts w:hint="eastAsia"/>
                <w:spacing w:val="-2"/>
                <w:sz w:val="24"/>
                <w:szCs w:val="24"/>
              </w:rPr>
              <w:t>合构建产业生</w:t>
            </w:r>
          </w:p>
          <w:p w14:paraId="421E83E9">
            <w:pPr>
              <w:pStyle w:val="20"/>
              <w:spacing w:beforeLines="0" w:afterLines="0" w:line="275" w:lineRule="auto"/>
              <w:ind w:left="108" w:right="185" w:firstLine="7"/>
              <w:rPr>
                <w:rFonts w:hint="eastAsia"/>
                <w:sz w:val="24"/>
                <w:szCs w:val="24"/>
              </w:rPr>
            </w:pPr>
            <w:r>
              <w:rPr>
                <w:rFonts w:hint="eastAsia"/>
                <w:spacing w:val="-4"/>
                <w:sz w:val="24"/>
                <w:szCs w:val="24"/>
              </w:rPr>
              <w:t>态，投资者可谨</w:t>
            </w:r>
            <w:r>
              <w:rPr>
                <w:rFonts w:hint="eastAsia"/>
                <w:spacing w:val="-3"/>
                <w:sz w:val="24"/>
                <w:szCs w:val="24"/>
              </w:rPr>
              <w:t>慎进入，关注其向明星场景转化</w:t>
            </w:r>
            <w:r>
              <w:rPr>
                <w:rFonts w:hint="eastAsia"/>
                <w:spacing w:val="-11"/>
                <w:sz w:val="24"/>
                <w:szCs w:val="24"/>
              </w:rPr>
              <w:t>的可能性。</w:t>
            </w:r>
          </w:p>
        </w:tc>
        <w:tc>
          <w:tcPr>
            <w:tcW w:w="2224" w:type="dxa"/>
            <w:tcBorders>
              <w:top w:val="single" w:color="000000" w:sz="2" w:space="0"/>
              <w:left w:val="single" w:color="000000" w:sz="2" w:space="0"/>
              <w:bottom w:val="single" w:color="000000" w:sz="2" w:space="0"/>
              <w:right w:val="single" w:color="000000" w:sz="2" w:space="0"/>
              <w:tl2br w:val="nil"/>
              <w:tr2bl w:val="nil"/>
            </w:tcBorders>
            <w:noWrap w:val="0"/>
            <w:vAlign w:val="top"/>
          </w:tcPr>
          <w:p w14:paraId="54906894">
            <w:pPr>
              <w:pStyle w:val="20"/>
              <w:spacing w:before="276" w:beforeLines="0" w:afterLines="0" w:line="275" w:lineRule="auto"/>
              <w:ind w:left="106" w:right="203" w:hanging="5"/>
              <w:rPr>
                <w:rFonts w:hint="eastAsia"/>
                <w:sz w:val="24"/>
                <w:szCs w:val="24"/>
              </w:rPr>
            </w:pPr>
            <w:r>
              <w:rPr>
                <w:rFonts w:hint="eastAsia"/>
                <w:spacing w:val="-1"/>
                <w:sz w:val="24"/>
                <w:szCs w:val="24"/>
              </w:rPr>
              <w:t>例如吊装吊运等，</w:t>
            </w:r>
            <w:r>
              <w:rPr>
                <w:rFonts w:hint="eastAsia"/>
                <w:spacing w:val="-2"/>
                <w:sz w:val="24"/>
                <w:szCs w:val="24"/>
              </w:rPr>
              <w:t>技术和应用已相对</w:t>
            </w:r>
            <w:r>
              <w:rPr>
                <w:rFonts w:hint="eastAsia"/>
                <w:spacing w:val="-4"/>
                <w:sz w:val="24"/>
                <w:szCs w:val="24"/>
              </w:rPr>
              <w:t>成熟（S3</w:t>
            </w:r>
            <w:r>
              <w:rPr>
                <w:rFonts w:hint="eastAsia"/>
                <w:spacing w:val="-7"/>
                <w:sz w:val="24"/>
                <w:szCs w:val="24"/>
              </w:rPr>
              <w:t>），</w:t>
            </w:r>
            <w:r>
              <w:rPr>
                <w:rFonts w:hint="eastAsia"/>
                <w:spacing w:val="-4"/>
                <w:sz w:val="24"/>
                <w:szCs w:val="24"/>
              </w:rPr>
              <w:t>在部</w:t>
            </w:r>
            <w:r>
              <w:rPr>
                <w:rFonts w:hint="eastAsia"/>
                <w:spacing w:val="-2"/>
                <w:sz w:val="24"/>
                <w:szCs w:val="24"/>
              </w:rPr>
              <w:t>分地区已开始应</w:t>
            </w:r>
          </w:p>
          <w:p w14:paraId="0B1750A9">
            <w:pPr>
              <w:pStyle w:val="20"/>
              <w:spacing w:before="1" w:beforeLines="0" w:afterLines="0" w:line="276" w:lineRule="auto"/>
              <w:ind w:left="101" w:right="203" w:firstLine="2"/>
              <w:rPr>
                <w:rFonts w:hint="eastAsia"/>
                <w:sz w:val="24"/>
                <w:szCs w:val="24"/>
              </w:rPr>
            </w:pPr>
            <w:r>
              <w:rPr>
                <w:rFonts w:hint="eastAsia"/>
                <w:spacing w:val="-2"/>
                <w:sz w:val="24"/>
                <w:szCs w:val="24"/>
              </w:rPr>
              <w:t>用，市场需求稳定</w:t>
            </w:r>
            <w:r>
              <w:rPr>
                <w:rFonts w:hint="eastAsia"/>
                <w:spacing w:val="-3"/>
                <w:sz w:val="24"/>
                <w:szCs w:val="24"/>
              </w:rPr>
              <w:t>增长（D3</w:t>
            </w:r>
            <w:r>
              <w:rPr>
                <w:rFonts w:hint="eastAsia"/>
                <w:spacing w:val="-8"/>
                <w:sz w:val="24"/>
                <w:szCs w:val="24"/>
              </w:rPr>
              <w:t>），</w:t>
            </w:r>
            <w:r>
              <w:rPr>
                <w:rFonts w:hint="eastAsia"/>
                <w:spacing w:val="-3"/>
                <w:sz w:val="24"/>
                <w:szCs w:val="24"/>
              </w:rPr>
              <w:t>但仍</w:t>
            </w:r>
            <w:r>
              <w:rPr>
                <w:rFonts w:hint="eastAsia"/>
                <w:spacing w:val="-1"/>
                <w:sz w:val="24"/>
                <w:szCs w:val="24"/>
              </w:rPr>
              <w:t>需政策推动和行业标准完善以实现更</w:t>
            </w:r>
            <w:r>
              <w:rPr>
                <w:rFonts w:hint="eastAsia"/>
                <w:spacing w:val="-7"/>
                <w:sz w:val="24"/>
                <w:szCs w:val="24"/>
              </w:rPr>
              <w:t>大规模的应用。</w:t>
            </w:r>
          </w:p>
        </w:tc>
      </w:tr>
    </w:tbl>
    <w:p w14:paraId="281087C1">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p>
    <w:p w14:paraId="1E73DE53">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该价值矩阵可为每一个场景绘制出其在价值矩阵中的“战略画像”，从而清晰地展示其当前所处的位置和未来可能的发展方向，为政府、企业和投资者等不同参与方提供发展策略，对政府可用于精准对策，对企业可用于战略定位，对投资方可用于风险决策。</w:t>
      </w:r>
    </w:p>
    <w:p w14:paraId="11B276A0">
      <w:pPr>
        <w:keepNext w:val="0"/>
        <w:keepLines w:val="0"/>
        <w:pageBreakBefore w:val="0"/>
        <w:widowControl/>
        <w:numPr>
          <w:ilvl w:val="0"/>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0"/>
        <w:rPr>
          <w:rFonts w:hint="default"/>
          <w:b/>
          <w:bCs/>
          <w:sz w:val="28"/>
          <w:szCs w:val="28"/>
          <w:lang w:val="en-US" w:eastAsia="zh-CN"/>
        </w:rPr>
      </w:pPr>
      <w:bookmarkStart w:id="14" w:name="_Toc20047"/>
      <w:r>
        <w:rPr>
          <w:rFonts w:hint="eastAsia"/>
          <w:b/>
          <w:bCs/>
          <w:sz w:val="28"/>
          <w:szCs w:val="28"/>
          <w:lang w:val="en-US" w:eastAsia="zh-CN"/>
        </w:rPr>
        <w:t>低空经济产业链分析</w:t>
      </w:r>
      <w:bookmarkEnd w:id="14"/>
    </w:p>
    <w:p w14:paraId="191A2290">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b/>
          <w:bCs/>
          <w:sz w:val="28"/>
          <w:szCs w:val="28"/>
          <w:lang w:val="en-US" w:eastAsia="zh-CN"/>
        </w:rPr>
      </w:pPr>
      <w:r>
        <w:rPr>
          <w:rFonts w:hint="eastAsia" w:ascii="Segoe UI" w:hAnsi="Segoe UI" w:eastAsia="宋体" w:cs="Segoe UI"/>
          <w:i w:val="0"/>
          <w:iCs w:val="0"/>
          <w:caps w:val="0"/>
          <w:spacing w:val="0"/>
          <w:sz w:val="24"/>
          <w:szCs w:val="24"/>
          <w:shd w:val="clear" w:fill="FFFFFF"/>
          <w:lang w:val="en-US" w:eastAsia="zh-CN"/>
        </w:rPr>
        <w:t>低空经济产业链条长、辐射面广、成长性和带动性强，已形成贯穿技术研发、装备制造、运营服务、基础设施的全链条生态体系。其产业架构可以从“四域”体系与“上中下游”链条两个维度进行全景透视。</w:t>
      </w:r>
    </w:p>
    <w:p w14:paraId="5CF3BC1F">
      <w:pPr>
        <w:keepNext w:val="0"/>
        <w:keepLines w:val="0"/>
        <w:pageBreakBefore w:val="0"/>
        <w:widowControl/>
        <w:numPr>
          <w:ilvl w:val="1"/>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1"/>
        <w:rPr>
          <w:rFonts w:hint="eastAsia"/>
          <w:b/>
          <w:bCs/>
          <w:sz w:val="24"/>
          <w:szCs w:val="24"/>
          <w:lang w:val="en-US" w:eastAsia="zh-CN"/>
        </w:rPr>
      </w:pPr>
      <w:bookmarkStart w:id="15" w:name="_Toc26886"/>
      <w:r>
        <w:rPr>
          <w:rFonts w:hint="eastAsia"/>
          <w:b/>
          <w:bCs/>
          <w:sz w:val="24"/>
          <w:szCs w:val="24"/>
          <w:lang w:val="en-US" w:eastAsia="zh-CN"/>
        </w:rPr>
        <w:t>产业链总览</w:t>
      </w:r>
      <w:bookmarkEnd w:id="15"/>
    </w:p>
    <w:p w14:paraId="6C8D6360">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从产业功能主体划分，低空经济已形成涵盖航空装备域、新型基础设施域、空域管理域和应用域的“四域”产业体系架构。</w:t>
      </w:r>
    </w:p>
    <w:p w14:paraId="5FA1B12B">
      <w:pPr>
        <w:keepNext w:val="0"/>
        <w:keepLines w:val="0"/>
        <w:pageBreakBefore w:val="0"/>
        <w:widowControl/>
        <w:numPr>
          <w:ilvl w:val="0"/>
          <w:numId w:val="8"/>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航空装备域：产业发展的核心载体，主要指“一机”，涵盖无人机、eVTOL（电动垂直起降航空器）、直升机以及配套元器件等的研发与制造。</w:t>
      </w:r>
    </w:p>
    <w:p w14:paraId="678FAFE5">
      <w:pPr>
        <w:keepNext w:val="0"/>
        <w:keepLines w:val="0"/>
        <w:pageBreakBefore w:val="0"/>
        <w:widowControl/>
        <w:numPr>
          <w:ilvl w:val="0"/>
          <w:numId w:val="8"/>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新型基础设施域：产业发展的关键支撑，由“一网”和“一场”构成。“一网”即低空智联网，包括低空通信、感知、导航、算力等信息通信设施；“一场”即低空物理起降场，包括通用机场、起降平台等。</w:t>
      </w:r>
    </w:p>
    <w:p w14:paraId="233CCDCB">
      <w:pPr>
        <w:keepNext w:val="0"/>
        <w:keepLines w:val="0"/>
        <w:pageBreakBefore w:val="0"/>
        <w:widowControl/>
        <w:numPr>
          <w:ilvl w:val="0"/>
          <w:numId w:val="8"/>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空域管理域：产业发展的先决条件，以“一平台”为核心，包括共性能力平台、空域管理平台、低空安全平台和应用赋能平台，为空域资源的有效利用和安全有序发展提供保障。</w:t>
      </w:r>
    </w:p>
    <w:p w14:paraId="3133369D">
      <w:pPr>
        <w:keepNext w:val="0"/>
        <w:keepLines w:val="0"/>
        <w:pageBreakBefore w:val="0"/>
        <w:widowControl/>
        <w:numPr>
          <w:ilvl w:val="0"/>
          <w:numId w:val="8"/>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应用域：产业发展的价值牵引，聚焦“多应用”的广泛拓展，涵盖农林植保、物流运输、城市治理、载人飞行等多个垂直领域的应用系统</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[13]</w:t>
      </w:r>
      <w:r>
        <w:rPr>
          <w:rFonts w:hint="default" w:ascii="Segoe UI" w:hAnsi="Segoe UI" w:eastAsia="宋体" w:cs="Segoe UI"/>
          <w:i w:val="0"/>
          <w:iCs w:val="0"/>
          <w:caps w:val="0"/>
          <w:spacing w:val="0"/>
          <w:sz w:val="24"/>
          <w:szCs w:val="24"/>
          <w:shd w:val="clear" w:fill="FFFFFF"/>
          <w:lang w:val="en-US" w:eastAsia="zh-CN"/>
        </w:rPr>
        <w:t>。</w:t>
      </w:r>
    </w:p>
    <w:p w14:paraId="71A70EEF">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从产业环节流转划分，低空经济形成了覆盖上游（核心要素与基石）、中游（装备制造与集成）、下游（运营服务与场景应用）的完整链条。其中，上游为核心部件与材料供应；中游为整机制造与系统集成；下游为各类运营服务与场景落地。</w:t>
      </w:r>
    </w:p>
    <w:p w14:paraId="71D65CB2">
      <w:pPr>
        <w:keepNext w:val="0"/>
        <w:keepLines w:val="0"/>
        <w:pageBreakBefore w:val="0"/>
        <w:widowControl/>
        <w:numPr>
          <w:ilvl w:val="1"/>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1"/>
        <w:rPr>
          <w:rFonts w:hint="eastAsia"/>
          <w:b/>
          <w:bCs/>
          <w:sz w:val="24"/>
          <w:szCs w:val="24"/>
          <w:lang w:val="en-US" w:eastAsia="zh-CN"/>
        </w:rPr>
      </w:pPr>
      <w:bookmarkStart w:id="16" w:name="_Toc21583"/>
      <w:r>
        <w:rPr>
          <w:rFonts w:hint="eastAsia"/>
          <w:b/>
          <w:bCs/>
          <w:sz w:val="24"/>
          <w:szCs w:val="24"/>
          <w:lang w:val="en-US" w:eastAsia="zh-CN"/>
        </w:rPr>
        <w:t>产业链上游：核心要素与基石</w:t>
      </w:r>
      <w:bookmarkEnd w:id="16"/>
    </w:p>
    <w:p w14:paraId="76113B14">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产业链上游是低空经济发展的技术源头和物质基础，</w:t>
      </w:r>
      <w:r>
        <w:rPr>
          <w:rFonts w:hint="eastAsia" w:ascii="Segoe UI" w:hAnsi="Segoe UI" w:eastAsia="宋体" w:cs="Segoe UI"/>
          <w:i w:val="0"/>
          <w:iCs w:val="0"/>
          <w:caps w:val="0"/>
          <w:spacing w:val="0"/>
          <w:sz w:val="24"/>
          <w:szCs w:val="24"/>
          <w:shd w:val="clear" w:fill="FFFFFF"/>
          <w:lang w:val="en-US" w:eastAsia="zh-CN"/>
        </w:rPr>
        <w:t>是整个产业的技术核心，技术壁垒最高。</w:t>
      </w:r>
      <w:r>
        <w:rPr>
          <w:rFonts w:hint="default" w:ascii="Segoe UI" w:hAnsi="Segoe UI" w:eastAsia="宋体" w:cs="Segoe UI"/>
          <w:i w:val="0"/>
          <w:iCs w:val="0"/>
          <w:caps w:val="0"/>
          <w:spacing w:val="0"/>
          <w:sz w:val="24"/>
          <w:szCs w:val="24"/>
          <w:shd w:val="clear" w:fill="FFFFFF"/>
          <w:lang w:val="en-US" w:eastAsia="zh-CN"/>
        </w:rPr>
        <w:t>主要包括关键零部件与材料、基础技术研发以及标准与测试认证体系，共同构成了产业创新的“护城河”。</w:t>
      </w:r>
    </w:p>
    <w:p w14:paraId="3DD91222">
      <w:pPr>
        <w:keepNext w:val="0"/>
        <w:keepLines w:val="0"/>
        <w:pageBreakBefore w:val="0"/>
        <w:widowControl/>
        <w:numPr>
          <w:ilvl w:val="2"/>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2"/>
        <w:rPr>
          <w:rFonts w:hint="default" w:ascii="Segoe UI" w:hAnsi="Segoe UI" w:eastAsia="Segoe UI" w:cs="Segoe UI"/>
          <w:b/>
          <w:bCs/>
          <w:i w:val="0"/>
          <w:iCs w:val="0"/>
          <w:caps w:val="0"/>
          <w:spacing w:val="0"/>
          <w:sz w:val="24"/>
          <w:szCs w:val="24"/>
          <w:shd w:val="clear" w:fill="FFFFFF"/>
          <w:lang w:val="en-US" w:eastAsia="zh-CN"/>
        </w:rPr>
      </w:pPr>
      <w:r>
        <w:rPr>
          <w:rFonts w:hint="eastAsia"/>
          <w:b/>
          <w:bCs/>
          <w:sz w:val="24"/>
          <w:szCs w:val="24"/>
          <w:lang w:val="en-US" w:eastAsia="zh-CN"/>
        </w:rPr>
        <w:t xml:space="preserve"> 关键零部件制造</w:t>
      </w:r>
    </w:p>
    <w:p w14:paraId="48B8BE36">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上游产业涵盖关键原材料、元器件及核心零部件、飞行系统。</w:t>
      </w:r>
    </w:p>
    <w:p w14:paraId="33027D8B">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原材料</w:t>
      </w:r>
    </w:p>
    <w:p w14:paraId="7D3704E5">
      <w:pPr>
        <w:keepNext w:val="0"/>
        <w:keepLines w:val="0"/>
        <w:pageBreakBefore w:val="0"/>
        <w:widowControl/>
        <w:numPr>
          <w:ilvl w:val="0"/>
          <w:numId w:val="9"/>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金属材料</w:t>
      </w:r>
    </w:p>
    <w:p w14:paraId="600E30FA">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低空飞行器制造常用的金属材料包括铝合金、钛合金、特种钢材，其中高速度无人机等低空飞行器结构多以铝合金为主体材料。</w:t>
      </w:r>
    </w:p>
    <w:p w14:paraId="012E6643">
      <w:pPr>
        <w:keepNext w:val="0"/>
        <w:keepLines w:val="0"/>
        <w:pageBreakBefore w:val="0"/>
        <w:widowControl/>
        <w:numPr>
          <w:ilvl w:val="0"/>
          <w:numId w:val="9"/>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复合材料</w:t>
      </w:r>
    </w:p>
    <w:p w14:paraId="70F719B8">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低空飞行器制造涉及的复合材料通常包括碳纤维复合材料、玻璃纤维复合材料等，其中碳纤维复合材料因其轻质、高强度、耐腐蚀等特性，成为低空飞行器制造的理想材料。</w:t>
      </w:r>
      <w:r>
        <w:rPr>
          <w:rFonts w:hint="eastAsia" w:ascii="Segoe UI" w:hAnsi="Segoe UI" w:eastAsia="宋体" w:cs="Segoe UI"/>
          <w:i w:val="0"/>
          <w:iCs w:val="0"/>
          <w:caps w:val="0"/>
          <w:spacing w:val="0"/>
          <w:sz w:val="24"/>
          <w:szCs w:val="24"/>
          <w:shd w:val="clear" w:fill="FFFFFF"/>
          <w:lang w:val="en-US" w:eastAsia="zh-CN"/>
        </w:rPr>
        <w:t>复合材料</w:t>
      </w:r>
      <w:r>
        <w:rPr>
          <w:rFonts w:hint="default" w:ascii="Segoe UI" w:hAnsi="Segoe UI" w:eastAsia="宋体" w:cs="Segoe UI"/>
          <w:i w:val="0"/>
          <w:iCs w:val="0"/>
          <w:caps w:val="0"/>
          <w:spacing w:val="0"/>
          <w:sz w:val="24"/>
          <w:szCs w:val="24"/>
          <w:shd w:val="clear" w:fill="FFFFFF"/>
          <w:lang w:val="en-US" w:eastAsia="zh-CN"/>
        </w:rPr>
        <w:t>是实现航空器轻量化的关键，目前碳纤维的使用比例正朝着波音787的水平靠拢。光威复材、中航高科等企业的复合材料占据了市场主导地位，机身重量的减轻，直接突破了长期以来制约低空飞行器续航的核心瓶颈。</w:t>
      </w:r>
    </w:p>
    <w:p w14:paraId="34C793DB">
      <w:pPr>
        <w:keepNext w:val="0"/>
        <w:keepLines w:val="0"/>
        <w:pageBreakBefore w:val="0"/>
        <w:widowControl/>
        <w:numPr>
          <w:ilvl w:val="0"/>
          <w:numId w:val="9"/>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工程塑料</w:t>
      </w:r>
    </w:p>
    <w:p w14:paraId="693992DE">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工程塑料在无人机、eVTOL等低空飞行器的关键部件制造中也发挥着重要作用。常用于飞行器制造的工程塑料有聚醚醚酮（PEEK）、聚苯硫醚（PPS）和聚酰亚胺（PI）等。</w:t>
      </w:r>
    </w:p>
    <w:p w14:paraId="12139A16">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Theme="majorEastAsia" w:hAnsiTheme="majorEastAsia" w:eastAsiaTheme="majorEastAsia" w:cstheme="majorEastAsia"/>
          <w:b/>
          <w:bCs/>
          <w:sz w:val="24"/>
          <w:szCs w:val="24"/>
          <w:lang w:val="en-US" w:eastAsia="zh-CN"/>
        </w:rPr>
      </w:pPr>
      <w:r>
        <w:rPr>
          <w:rFonts w:hint="default" w:asciiTheme="majorEastAsia" w:hAnsiTheme="majorEastAsia" w:eastAsiaTheme="majorEastAsia" w:cstheme="majorEastAsia"/>
          <w:b/>
          <w:bCs/>
          <w:sz w:val="24"/>
          <w:szCs w:val="24"/>
          <w:lang w:val="en-US" w:eastAsia="zh-CN"/>
        </w:rPr>
        <w:t>元器件及核心零部件</w:t>
      </w:r>
    </w:p>
    <w:p w14:paraId="23A6BFCD">
      <w:pPr>
        <w:keepNext w:val="0"/>
        <w:keepLines w:val="0"/>
        <w:pageBreakBefore w:val="0"/>
        <w:widowControl/>
        <w:numPr>
          <w:ilvl w:val="0"/>
          <w:numId w:val="1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电子元器件</w:t>
      </w:r>
    </w:p>
    <w:p w14:paraId="2E0473BE">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低空飞行器作为高科技产品，其运作依赖于多种精密元器件，例如用于处理数据的主控芯片，还有用于获取各项所需参数的陀螺仪、加速度计等多种传感器，这些元器件确保了低空飞行器能够稳定飞行并执行各种任务。清单对中航光电等3家航空器电子元器件领域的上市公司进行了分析。</w:t>
      </w:r>
    </w:p>
    <w:p w14:paraId="184AB295">
      <w:pPr>
        <w:keepNext w:val="0"/>
        <w:keepLines w:val="0"/>
        <w:pageBreakBefore w:val="0"/>
        <w:widowControl/>
        <w:numPr>
          <w:ilvl w:val="0"/>
          <w:numId w:val="1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核心零部件</w:t>
      </w:r>
    </w:p>
    <w:p w14:paraId="13173DBF">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低空飞行器的核心零部件主要包括结构件、起落架和螺旋桨等。结构件构成了低空飞行器的主体框架，起落架确保了飞行器能够在地面平稳起降，螺旋桨通过旋转产生升力使飞行器能够升空飞行。</w:t>
      </w:r>
    </w:p>
    <w:p w14:paraId="5007CADB">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Theme="majorEastAsia" w:hAnsiTheme="majorEastAsia" w:eastAsiaTheme="majorEastAsia" w:cstheme="majorEastAsia"/>
          <w:b/>
          <w:bCs/>
          <w:sz w:val="24"/>
          <w:szCs w:val="24"/>
          <w:lang w:val="en-US" w:eastAsia="zh-CN"/>
        </w:rPr>
      </w:pPr>
      <w:r>
        <w:rPr>
          <w:rFonts w:hint="default" w:asciiTheme="majorEastAsia" w:hAnsiTheme="majorEastAsia" w:eastAsiaTheme="majorEastAsia" w:cstheme="majorEastAsia"/>
          <w:b/>
          <w:bCs/>
          <w:sz w:val="24"/>
          <w:szCs w:val="24"/>
          <w:lang w:val="en-US" w:eastAsia="zh-CN"/>
        </w:rPr>
        <w:t>飞行系统</w:t>
      </w:r>
    </w:p>
    <w:p w14:paraId="7BF4528A">
      <w:pPr>
        <w:keepNext w:val="0"/>
        <w:keepLines w:val="0"/>
        <w:pageBreakBefore w:val="0"/>
        <w:widowControl/>
        <w:numPr>
          <w:ilvl w:val="0"/>
          <w:numId w:val="1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动力系统</w:t>
      </w:r>
    </w:p>
    <w:p w14:paraId="028BEA00">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低空飞行器的动力系统为低空飞行器的起飞、悬停、飞行等操作提供了必要的飞行动力，动力系统的好坏直接影响到低空飞行器的飞行性能、稳定性和续航能力</w:t>
      </w:r>
      <w:r>
        <w:rPr>
          <w:rFonts w:hint="eastAsia" w:ascii="Segoe UI" w:hAnsi="Segoe UI" w:eastAsia="宋体" w:cs="Segoe UI"/>
          <w:i w:val="0"/>
          <w:iCs w:val="0"/>
          <w:caps w:val="0"/>
          <w:spacing w:val="0"/>
          <w:sz w:val="24"/>
          <w:szCs w:val="24"/>
          <w:shd w:val="clear" w:fill="FFFFFF"/>
          <w:lang w:val="en-US" w:eastAsia="zh-CN"/>
        </w:rPr>
        <w:t>，</w:t>
      </w:r>
      <w:r>
        <w:rPr>
          <w:rFonts w:hint="default" w:ascii="Segoe UI" w:hAnsi="Segoe UI" w:eastAsia="宋体" w:cs="Segoe UI"/>
          <w:i w:val="0"/>
          <w:iCs w:val="0"/>
          <w:caps w:val="0"/>
          <w:spacing w:val="0"/>
          <w:sz w:val="24"/>
          <w:szCs w:val="24"/>
          <w:shd w:val="clear" w:fill="FFFFFF"/>
          <w:lang w:val="en-US" w:eastAsia="zh-CN"/>
        </w:rPr>
        <w:t>是核心中的核心</w:t>
      </w:r>
      <w:r>
        <w:rPr>
          <w:rFonts w:hint="eastAsia" w:ascii="Segoe UI" w:hAnsi="Segoe UI" w:eastAsia="宋体" w:cs="Segoe UI"/>
          <w:i w:val="0"/>
          <w:iCs w:val="0"/>
          <w:caps w:val="0"/>
          <w:spacing w:val="0"/>
          <w:sz w:val="24"/>
          <w:szCs w:val="24"/>
          <w:shd w:val="clear" w:fill="FFFFFF"/>
          <w:lang w:val="en-US" w:eastAsia="zh-CN"/>
        </w:rPr>
        <w:t>，目前航空级锂电池的能量密度已经达到 400Wh/kg，宁德时代、亿纬锂能早已实现规模化量产，稳稳占据市场主导地位；更先进的凝聚态电池也已经进入测试阶段，未来有望进一步突破续航瓶颈。电机方面，效率已经突破95%，卧龙电驱等企业成为市场主力，正是这些技术突破，让eVTOL的续航能力提升了50%以上</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[14]</w:t>
      </w:r>
      <w:r>
        <w:rPr>
          <w:rFonts w:hint="eastAsia" w:ascii="Segoe UI" w:hAnsi="Segoe UI" w:eastAsia="宋体" w:cs="Segoe UI"/>
          <w:i w:val="0"/>
          <w:iCs w:val="0"/>
          <w:caps w:val="0"/>
          <w:spacing w:val="0"/>
          <w:sz w:val="24"/>
          <w:szCs w:val="24"/>
          <w:shd w:val="clear" w:fill="FFFFFF"/>
          <w:lang w:val="en-US" w:eastAsia="zh-CN"/>
        </w:rPr>
        <w:t>。</w:t>
      </w:r>
    </w:p>
    <w:p w14:paraId="2615E146">
      <w:pPr>
        <w:keepNext w:val="0"/>
        <w:keepLines w:val="0"/>
        <w:pageBreakBefore w:val="0"/>
        <w:widowControl/>
        <w:numPr>
          <w:ilvl w:val="0"/>
          <w:numId w:val="1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飞控系统</w:t>
      </w:r>
    </w:p>
    <w:p w14:paraId="6D2F4546">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低空飞行器的飞控系统是其整个飞行过程中最为核心的部分，负责低空飞行器的飞行控制、稳定控制、导航和自主飞行等。清单分析了大疆、华为海思等3家研发飞控系统的重点企业。四川九洲的空管系统、华力创通的北斗芯片构建起了核心技术壁垒，再结合5G-A的毫秒级时延通信与北斗的厘米级定位技术，让航空器实现自主避障与集群控制成为现实，为规模化运营提供了保障。</w:t>
      </w:r>
    </w:p>
    <w:p w14:paraId="3F0E4FA6">
      <w:pPr>
        <w:keepNext w:val="0"/>
        <w:keepLines w:val="0"/>
        <w:pageBreakBefore w:val="0"/>
        <w:widowControl/>
        <w:numPr>
          <w:ilvl w:val="0"/>
          <w:numId w:val="1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通信、导航系统</w:t>
      </w:r>
    </w:p>
    <w:p w14:paraId="6149880E">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低空飞行器的通信系统和导航系统是确保其能够被远程操控与自主飞行的关键。清单对电科55所等3家通信导航系统研究所和企业进行了分析。</w:t>
      </w:r>
    </w:p>
    <w:p w14:paraId="6F23E015">
      <w:pPr>
        <w:keepNext w:val="0"/>
        <w:keepLines w:val="0"/>
        <w:pageBreakBefore w:val="0"/>
        <w:widowControl/>
        <w:numPr>
          <w:ilvl w:val="0"/>
          <w:numId w:val="1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雷达系统</w:t>
      </w:r>
    </w:p>
    <w:p w14:paraId="1631FBEA">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雷达系统是低空飞行器的重要感知设备，能够为侦察、监视、避障与导航等任务提供目标的详细信息，并实时感知周围障碍物，确保无人机在复杂环境中的安全飞行。</w:t>
      </w:r>
    </w:p>
    <w:p w14:paraId="5C49DE9C">
      <w:pPr>
        <w:keepNext w:val="0"/>
        <w:keepLines w:val="0"/>
        <w:pageBreakBefore w:val="0"/>
        <w:widowControl/>
        <w:numPr>
          <w:ilvl w:val="2"/>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2"/>
        <w:rPr>
          <w:rFonts w:hint="default" w:ascii="Segoe UI" w:hAnsi="Segoe UI" w:eastAsia="Segoe UI" w:cs="Segoe UI"/>
          <w:b/>
          <w:bCs/>
          <w:i w:val="0"/>
          <w:iCs w:val="0"/>
          <w:caps w:val="0"/>
          <w:spacing w:val="0"/>
          <w:sz w:val="24"/>
          <w:szCs w:val="24"/>
          <w:shd w:val="clear" w:fill="FFFFFF"/>
          <w:lang w:val="en-US" w:eastAsia="zh-CN"/>
        </w:rPr>
      </w:pPr>
      <w:r>
        <w:rPr>
          <w:rFonts w:hint="eastAsia"/>
          <w:b/>
          <w:bCs/>
          <w:sz w:val="24"/>
          <w:szCs w:val="24"/>
          <w:lang w:val="en-US" w:eastAsia="zh-CN"/>
        </w:rPr>
        <w:t xml:space="preserve"> 基础技术研发</w:t>
      </w:r>
    </w:p>
    <w:p w14:paraId="1439FCE9">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基础技术的融合创新是低空智联网的基石。</w:t>
      </w:r>
    </w:p>
    <w:p w14:paraId="0CA9D79C">
      <w:pPr>
        <w:keepNext w:val="0"/>
        <w:keepLines w:val="0"/>
        <w:pageBreakBefore w:val="0"/>
        <w:widowControl/>
        <w:numPr>
          <w:ilvl w:val="0"/>
          <w:numId w:val="12"/>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高精度导航与定位</w:t>
      </w:r>
    </w:p>
    <w:p w14:paraId="539DFE7A">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在建筑密集区、峡谷地形及电磁干扰环境下，传统卫星定位易出现信号衰减和多路径效应问题。因此，需构建GNSS+惯性导航+视觉定位的多源融合定位体系，结合激光雷达点云匹配与5G基站差分增强技术，通过抗干扰算法实现高精定位。同时建立动态误差补偿机制，针对不同飞行器类型、载荷特性及气象条件进行实时修正，确保复杂电磁环境下的连续可靠定位</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[15]</w:t>
      </w:r>
      <w:r>
        <w:rPr>
          <w:rFonts w:hint="default" w:ascii="Segoe UI" w:hAnsi="Segoe UI" w:eastAsia="宋体" w:cs="Segoe UI"/>
          <w:i w:val="0"/>
          <w:iCs w:val="0"/>
          <w:caps w:val="0"/>
          <w:spacing w:val="0"/>
          <w:sz w:val="24"/>
          <w:szCs w:val="24"/>
          <w:shd w:val="clear" w:fill="FFFFFF"/>
          <w:lang w:val="en-US" w:eastAsia="zh-CN"/>
        </w:rPr>
        <w:t>。在高精度定位方面，</w:t>
      </w:r>
      <w:r>
        <w:rPr>
          <w:rFonts w:hint="eastAsia" w:ascii="Segoe UI" w:hAnsi="Segoe UI" w:eastAsia="宋体" w:cs="Segoe UI"/>
          <w:i w:val="0"/>
          <w:iCs w:val="0"/>
          <w:caps w:val="0"/>
          <w:spacing w:val="0"/>
          <w:sz w:val="24"/>
          <w:szCs w:val="24"/>
          <w:shd w:val="clear" w:fill="FFFFFF"/>
          <w:lang w:val="en-US" w:eastAsia="zh-CN"/>
        </w:rPr>
        <w:t>中国移动</w:t>
      </w:r>
      <w:r>
        <w:rPr>
          <w:rFonts w:hint="default" w:ascii="Segoe UI" w:hAnsi="Segoe UI" w:eastAsia="宋体" w:cs="Segoe UI"/>
          <w:i w:val="0"/>
          <w:iCs w:val="0"/>
          <w:caps w:val="0"/>
          <w:spacing w:val="0"/>
          <w:sz w:val="24"/>
          <w:szCs w:val="24"/>
          <w:shd w:val="clear" w:fill="FFFFFF"/>
          <w:lang w:val="en-US" w:eastAsia="zh-CN"/>
        </w:rPr>
        <w:t>重点在地面上建了</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4400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个5G+北斗地基增强站</w:t>
      </w:r>
      <w:r>
        <w:rPr>
          <w:rFonts w:hint="eastAsia" w:ascii="Segoe UI" w:hAnsi="Segoe UI" w:eastAsia="宋体" w:cs="Segoe UI"/>
          <w:i w:val="0"/>
          <w:iCs w:val="0"/>
          <w:caps w:val="0"/>
          <w:spacing w:val="0"/>
          <w:sz w:val="24"/>
          <w:szCs w:val="24"/>
          <w:shd w:val="clear" w:fill="FFFFFF"/>
          <w:lang w:val="en-US" w:eastAsia="zh-CN"/>
        </w:rPr>
        <w:t>，</w:t>
      </w:r>
      <w:r>
        <w:rPr>
          <w:rFonts w:hint="default" w:ascii="Segoe UI" w:hAnsi="Segoe UI" w:eastAsia="宋体" w:cs="Segoe UI"/>
          <w:i w:val="0"/>
          <w:iCs w:val="0"/>
          <w:caps w:val="0"/>
          <w:spacing w:val="0"/>
          <w:sz w:val="24"/>
          <w:szCs w:val="24"/>
          <w:shd w:val="clear" w:fill="FFFFFF"/>
          <w:lang w:val="en-US" w:eastAsia="zh-CN"/>
        </w:rPr>
        <w:t>形成了一个星地融合的定位算法。通过这种融合定位算法，把普通的米级定位精度提升到厘米级定位精度</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[16]</w:t>
      </w:r>
      <w:r>
        <w:rPr>
          <w:rFonts w:hint="default" w:ascii="Segoe UI" w:hAnsi="Segoe UI" w:eastAsia="宋体" w:cs="Segoe UI"/>
          <w:i w:val="0"/>
          <w:iCs w:val="0"/>
          <w:caps w:val="0"/>
          <w:spacing w:val="0"/>
          <w:sz w:val="24"/>
          <w:szCs w:val="24"/>
          <w:shd w:val="clear" w:fill="FFFFFF"/>
          <w:lang w:val="en-US" w:eastAsia="zh-CN"/>
        </w:rPr>
        <w:t>。</w:t>
      </w:r>
    </w:p>
    <w:p w14:paraId="681B1FD5">
      <w:pPr>
        <w:keepNext w:val="0"/>
        <w:keepLines w:val="0"/>
        <w:pageBreakBefore w:val="0"/>
        <w:widowControl/>
        <w:numPr>
          <w:ilvl w:val="0"/>
          <w:numId w:val="12"/>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低空智联网</w:t>
      </w:r>
    </w:p>
    <w:p w14:paraId="280F2687">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高层次的低空智联网技术：低空智联网解决方案可能会融合当前4G/5G网络与专用通信链路/网络、“通-感”一体化网络和低轨卫星互联网，加强低空网络信号和低空感知监视能力，形成一张覆盖低空领域的网络，为自主飞行器的高效运行提供实时、可靠、安全的通信方案</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[17]</w:t>
      </w:r>
      <w:r>
        <w:rPr>
          <w:rFonts w:hint="default" w:ascii="Segoe UI" w:hAnsi="Segoe UI" w:eastAsia="宋体" w:cs="Segoe UI"/>
          <w:i w:val="0"/>
          <w:iCs w:val="0"/>
          <w:caps w:val="0"/>
          <w:spacing w:val="0"/>
          <w:sz w:val="24"/>
          <w:szCs w:val="24"/>
          <w:shd w:val="clear" w:fill="FFFFFF"/>
          <w:lang w:val="en-US" w:eastAsia="zh-CN"/>
        </w:rPr>
        <w:t>。</w:t>
      </w:r>
    </w:p>
    <w:p w14:paraId="6179A762">
      <w:pPr>
        <w:keepNext w:val="0"/>
        <w:keepLines w:val="0"/>
        <w:pageBreakBefore w:val="0"/>
        <w:widowControl/>
        <w:numPr>
          <w:ilvl w:val="0"/>
          <w:numId w:val="12"/>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人工智能算法</w:t>
      </w:r>
    </w:p>
    <w:p w14:paraId="2C0199D0">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AI与大模型正深度赋能低空系统。</w:t>
      </w:r>
    </w:p>
    <w:p w14:paraId="110E7532">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在环境感知方面，基于先进神经网络的多模态融合算法在特征提取与任务决策方面取得显著成效</w:t>
      </w:r>
      <w:r>
        <w:rPr>
          <w:rFonts w:hint="eastAsia" w:ascii="Segoe UI" w:hAnsi="Segoe UI" w:eastAsia="宋体" w:cs="Segoe UI"/>
          <w:i w:val="0"/>
          <w:iCs w:val="0"/>
          <w:caps w:val="0"/>
          <w:spacing w:val="0"/>
          <w:sz w:val="24"/>
          <w:szCs w:val="24"/>
          <w:shd w:val="clear" w:fill="FFFFFF"/>
          <w:lang w:val="en-US" w:eastAsia="zh-CN"/>
        </w:rPr>
        <w:t>，</w:t>
      </w:r>
      <w:r>
        <w:rPr>
          <w:rFonts w:hint="default" w:ascii="Segoe UI" w:hAnsi="Segoe UI" w:eastAsia="宋体" w:cs="Segoe UI"/>
          <w:i w:val="0"/>
          <w:iCs w:val="0"/>
          <w:caps w:val="0"/>
          <w:spacing w:val="0"/>
          <w:sz w:val="24"/>
          <w:szCs w:val="24"/>
          <w:shd w:val="clear" w:fill="FFFFFF"/>
          <w:lang w:val="en-US" w:eastAsia="zh-CN"/>
        </w:rPr>
        <w:t>如通过注意力机制与对比学习挖掘图像、雷达与通信数据中的共享与专属信息，实现通信辅助感知与感知驱动通信的功能互补</w:t>
      </w:r>
      <w:r>
        <w:rPr>
          <w:rFonts w:hint="eastAsia" w:ascii="Segoe UI" w:hAnsi="Segoe UI" w:eastAsia="宋体" w:cs="Segoe UI"/>
          <w:i w:val="0"/>
          <w:iCs w:val="0"/>
          <w:caps w:val="0"/>
          <w:spacing w:val="0"/>
          <w:sz w:val="24"/>
          <w:szCs w:val="24"/>
          <w:shd w:val="clear" w:fill="FFFFFF"/>
          <w:lang w:val="en-US" w:eastAsia="zh-CN"/>
        </w:rPr>
        <w:t>，</w:t>
      </w:r>
      <w:r>
        <w:rPr>
          <w:rFonts w:hint="default" w:ascii="Segoe UI" w:hAnsi="Segoe UI" w:eastAsia="宋体" w:cs="Segoe UI"/>
          <w:i w:val="0"/>
          <w:iCs w:val="0"/>
          <w:caps w:val="0"/>
          <w:spacing w:val="0"/>
          <w:sz w:val="24"/>
          <w:szCs w:val="24"/>
          <w:shd w:val="clear" w:fill="FFFFFF"/>
          <w:lang w:val="en-US" w:eastAsia="zh-CN"/>
        </w:rPr>
        <w:t>增强无人机在复杂场景下的目标识别与跟踪能力</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[18]</w:t>
      </w:r>
      <w:r>
        <w:rPr>
          <w:rFonts w:hint="default" w:ascii="Segoe UI" w:hAnsi="Segoe UI" w:eastAsia="宋体" w:cs="Segoe UI"/>
          <w:i w:val="0"/>
          <w:iCs w:val="0"/>
          <w:caps w:val="0"/>
          <w:spacing w:val="0"/>
          <w:sz w:val="24"/>
          <w:szCs w:val="24"/>
          <w:shd w:val="clear" w:fill="FFFFFF"/>
          <w:lang w:val="en-US" w:eastAsia="zh-CN"/>
        </w:rPr>
        <w:t>。</w:t>
      </w:r>
    </w:p>
    <w:p w14:paraId="6AD50FC4">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lang w:val="en-US" w:eastAsia="zh-CN"/>
        </w:rPr>
      </w:pPr>
      <w:r>
        <w:rPr>
          <w:rFonts w:hint="default" w:ascii="Segoe UI" w:hAnsi="Segoe UI" w:eastAsia="宋体" w:cs="Segoe UI"/>
          <w:i w:val="0"/>
          <w:iCs w:val="0"/>
          <w:caps w:val="0"/>
          <w:spacing w:val="0"/>
          <w:sz w:val="24"/>
          <w:szCs w:val="24"/>
          <w:shd w:val="clear" w:fill="FFFFFF"/>
          <w:lang w:val="en-US" w:eastAsia="zh-CN"/>
        </w:rPr>
        <w:t>在自主控制方面，</w:t>
      </w:r>
      <w:r>
        <w:rPr>
          <w:rFonts w:hint="eastAsia" w:ascii="Segoe UI" w:hAnsi="Segoe UI" w:eastAsia="宋体" w:cs="Segoe UI"/>
          <w:i w:val="0"/>
          <w:iCs w:val="0"/>
          <w:caps w:val="0"/>
          <w:spacing w:val="0"/>
          <w:sz w:val="24"/>
          <w:szCs w:val="24"/>
          <w:shd w:val="clear" w:fill="FFFFFF"/>
          <w:lang w:val="en-US" w:eastAsia="zh-CN"/>
        </w:rPr>
        <w:t>光明</w:t>
      </w:r>
      <w:r>
        <w:rPr>
          <w:rFonts w:hint="default" w:ascii="Segoe UI" w:hAnsi="Segoe UI" w:eastAsia="宋体" w:cs="Segoe UI"/>
          <w:i w:val="0"/>
          <w:iCs w:val="0"/>
          <w:caps w:val="0"/>
          <w:spacing w:val="0"/>
          <w:sz w:val="24"/>
          <w:szCs w:val="24"/>
          <w:shd w:val="clear" w:fill="FFFFFF"/>
          <w:lang w:val="en-US" w:eastAsia="zh-CN"/>
        </w:rPr>
        <w:t>实验室借鉴生物神经机制提出 "大小脑协同" 智能架构。其中"大脑"系统基于昇腾国产算力平台，通过 DeepSeek-Nav 大模型构建环境认知图谱，完成空间认知与目标点决策；"小脑"系统则聚焦实时控制，利用模型预测与扰动观测技术实现厘米级轨迹跟踪与动态避障。这种分层架构使无人机在深圳光明区玉塘街道的实测中，成功实现了复杂城市环境下的自主飞行</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[19]</w:t>
      </w:r>
      <w:r>
        <w:rPr>
          <w:rFonts w:hint="default" w:ascii="Segoe UI" w:hAnsi="Segoe UI" w:eastAsia="宋体" w:cs="Segoe UI"/>
          <w:i w:val="0"/>
          <w:iCs w:val="0"/>
          <w:caps w:val="0"/>
          <w:spacing w:val="0"/>
          <w:sz w:val="24"/>
          <w:szCs w:val="24"/>
          <w:shd w:val="clear" w:fill="FFFFFF"/>
          <w:lang w:val="en-US" w:eastAsia="zh-CN"/>
        </w:rPr>
        <w:t>。</w:t>
      </w:r>
    </w:p>
    <w:p w14:paraId="5D4881CE">
      <w:pPr>
        <w:keepNext w:val="0"/>
        <w:keepLines w:val="0"/>
        <w:pageBreakBefore w:val="0"/>
        <w:widowControl/>
        <w:numPr>
          <w:ilvl w:val="2"/>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2"/>
        <w:rPr>
          <w:rFonts w:hint="default" w:ascii="Segoe UI" w:hAnsi="Segoe UI" w:eastAsia="Segoe UI" w:cs="Segoe UI"/>
          <w:b/>
          <w:bCs/>
          <w:i w:val="0"/>
          <w:iCs w:val="0"/>
          <w:caps w:val="0"/>
          <w:spacing w:val="0"/>
          <w:sz w:val="24"/>
          <w:szCs w:val="24"/>
          <w:shd w:val="clear" w:fill="FFFFFF"/>
          <w:lang w:val="en-US" w:eastAsia="zh-CN"/>
        </w:rPr>
      </w:pPr>
      <w:r>
        <w:rPr>
          <w:rFonts w:hint="eastAsia"/>
          <w:b/>
          <w:bCs/>
          <w:sz w:val="24"/>
          <w:szCs w:val="24"/>
          <w:lang w:val="en-US" w:eastAsia="zh-CN"/>
        </w:rPr>
        <w:t xml:space="preserve"> 标准与测试认证体系</w:t>
      </w:r>
    </w:p>
    <w:p w14:paraId="73B688F5">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标准与认证是产业安全、有序、规模化发展的前提。</w:t>
      </w:r>
    </w:p>
    <w:p w14:paraId="39EC23B8">
      <w:pPr>
        <w:keepNext w:val="0"/>
        <w:keepLines w:val="0"/>
        <w:pageBreakBefore w:val="0"/>
        <w:widowControl/>
        <w:numPr>
          <w:ilvl w:val="0"/>
          <w:numId w:val="13"/>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标准体系建设</w:t>
      </w:r>
    </w:p>
    <w:p w14:paraId="6BDAA44B">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2025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国家市场监督管理总局等十部门联合发布《低空经济标准体系建设指南（2025年版）》，旨在建立技术标准与管理规范融合、国内标准与国际规则融合、强制性标准与推荐性标准融合、基础标准与场景标准融合的“四维融合”标准供给体系。该体系涵盖低空航空器、低空基础设施、低空空中交通管理、安全监管和应用场景五大核心领域。根据规划，到</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2027</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年，低空经济标准体系将基本建立；到</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2030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年，低空经济领域标准将超过</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300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项。</w:t>
      </w:r>
    </w:p>
    <w:p w14:paraId="2E580A39">
      <w:pPr>
        <w:keepNext w:val="0"/>
        <w:keepLines w:val="0"/>
        <w:pageBreakBefore w:val="0"/>
        <w:widowControl/>
        <w:numPr>
          <w:ilvl w:val="0"/>
          <w:numId w:val="13"/>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测试与认证</w:t>
      </w:r>
    </w:p>
    <w:p w14:paraId="4A4057A3">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针对低空飞行器，已形成包括《无人驾驶航空器飞行管理暂行条例》、《民用无人驾驶航空器系统适航审定管理程序》等法规框架，以及GB 42590-2023《民用无人驾驶航空器系统安全要求》等强制性国家标准。行业正积极探索构建覆盖研发设计、生产制造、场景应用到报废评估的全生命周期质量验证服务体系</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[20]</w:t>
      </w:r>
      <w:r>
        <w:rPr>
          <w:rFonts w:hint="default" w:ascii="Segoe UI" w:hAnsi="Segoe UI" w:eastAsia="宋体" w:cs="Segoe UI"/>
          <w:i w:val="0"/>
          <w:iCs w:val="0"/>
          <w:caps w:val="0"/>
          <w:spacing w:val="0"/>
          <w:sz w:val="24"/>
          <w:szCs w:val="24"/>
          <w:shd w:val="clear" w:fill="FFFFFF"/>
          <w:lang w:val="en-US" w:eastAsia="zh-CN"/>
        </w:rPr>
        <w:t>。在地方层面，例如广东省已联合产学研多方力量，共同制定《低空航路运行安全能力评估》等团体标准，构建涵盖九大核心类目的评估体系</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[21]</w:t>
      </w:r>
      <w:r>
        <w:rPr>
          <w:rFonts w:hint="default" w:ascii="Segoe UI" w:hAnsi="Segoe UI" w:eastAsia="宋体" w:cs="Segoe UI"/>
          <w:i w:val="0"/>
          <w:iCs w:val="0"/>
          <w:caps w:val="0"/>
          <w:spacing w:val="0"/>
          <w:sz w:val="24"/>
          <w:szCs w:val="24"/>
          <w:shd w:val="clear" w:fill="FFFFFF"/>
          <w:lang w:val="en-US" w:eastAsia="zh-CN"/>
        </w:rPr>
        <w:t>。</w:t>
      </w:r>
    </w:p>
    <w:p w14:paraId="4A1CD9F2">
      <w:pPr>
        <w:keepNext w:val="0"/>
        <w:keepLines w:val="0"/>
        <w:pageBreakBefore w:val="0"/>
        <w:widowControl/>
        <w:numPr>
          <w:ilvl w:val="1"/>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1"/>
        <w:rPr>
          <w:rFonts w:hint="eastAsia"/>
          <w:b/>
          <w:bCs/>
          <w:sz w:val="24"/>
          <w:szCs w:val="24"/>
          <w:lang w:val="en-US" w:eastAsia="zh-CN"/>
        </w:rPr>
      </w:pPr>
      <w:bookmarkStart w:id="17" w:name="_Toc22933"/>
      <w:r>
        <w:rPr>
          <w:rFonts w:hint="eastAsia"/>
          <w:b/>
          <w:bCs/>
          <w:sz w:val="24"/>
          <w:szCs w:val="24"/>
          <w:lang w:val="en-US" w:eastAsia="zh-CN"/>
        </w:rPr>
        <w:t>产业链中游：装备制造与基础设施</w:t>
      </w:r>
      <w:bookmarkEnd w:id="17"/>
    </w:p>
    <w:p w14:paraId="7D8F818A">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产业链中游是低空经济价值实现的核心环节，直接连接上游技术与下游应用，主要包括飞行器整机制造、新型基础设施建设以及支撑规模化运营的服务体系。这一环节的成熟度直接决定了产业从“能造”到“能飞”的跨越。</w:t>
      </w:r>
    </w:p>
    <w:p w14:paraId="69B918CF">
      <w:pPr>
        <w:keepNext w:val="0"/>
        <w:keepLines w:val="0"/>
        <w:pageBreakBefore w:val="0"/>
        <w:widowControl/>
        <w:numPr>
          <w:ilvl w:val="2"/>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2"/>
        <w:rPr>
          <w:rFonts w:hint="default" w:ascii="Segoe UI" w:hAnsi="Segoe UI" w:eastAsia="Segoe UI" w:cs="Segoe UI"/>
          <w:b/>
          <w:bCs/>
          <w:i w:val="0"/>
          <w:iCs w:val="0"/>
          <w:caps w:val="0"/>
          <w:spacing w:val="0"/>
          <w:sz w:val="24"/>
          <w:szCs w:val="24"/>
          <w:shd w:val="clear" w:fill="FFFFFF"/>
          <w:lang w:val="en-US" w:eastAsia="zh-CN"/>
        </w:rPr>
      </w:pPr>
      <w:r>
        <w:rPr>
          <w:rFonts w:hint="eastAsia"/>
          <w:b/>
          <w:bCs/>
          <w:sz w:val="24"/>
          <w:szCs w:val="24"/>
          <w:lang w:val="en-US" w:eastAsia="zh-CN"/>
        </w:rPr>
        <w:t xml:space="preserve"> 飞行器制造</w:t>
      </w:r>
    </w:p>
    <w:p w14:paraId="7F5F06E3">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飞行器制造是低空经济的核心载体，其市场规模直接反映了产业的活跃度与成熟度</w:t>
      </w:r>
      <w:r>
        <w:rPr>
          <w:rFonts w:hint="eastAsia" w:ascii="Segoe UI" w:hAnsi="Segoe UI" w:eastAsia="宋体" w:cs="Segoe UI"/>
          <w:i w:val="0"/>
          <w:iCs w:val="0"/>
          <w:caps w:val="0"/>
          <w:spacing w:val="0"/>
          <w:sz w:val="24"/>
          <w:szCs w:val="24"/>
          <w:shd w:val="clear" w:fill="FFFFFF"/>
          <w:lang w:val="en-US" w:eastAsia="zh-CN"/>
        </w:rPr>
        <w:t>，民用无人机与电动垂直起降飞行器（eVTOL）作为我国低空经济发展的重要支撑与前沿赛道，产业规模持续扩大</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[22]</w:t>
      </w:r>
      <w:r>
        <w:rPr>
          <w:rFonts w:hint="default" w:ascii="Segoe UI" w:hAnsi="Segoe UI" w:eastAsia="宋体" w:cs="Segoe UI"/>
          <w:i w:val="0"/>
          <w:iCs w:val="0"/>
          <w:caps w:val="0"/>
          <w:spacing w:val="0"/>
          <w:sz w:val="24"/>
          <w:szCs w:val="24"/>
          <w:shd w:val="clear" w:fill="FFFFFF"/>
          <w:lang w:val="en-US" w:eastAsia="zh-CN"/>
        </w:rPr>
        <w:t>。</w:t>
      </w:r>
    </w:p>
    <w:p w14:paraId="6D74D214">
      <w:pPr>
        <w:keepNext w:val="0"/>
        <w:keepLines w:val="0"/>
        <w:pageBreakBefore w:val="0"/>
        <w:widowControl/>
        <w:numPr>
          <w:ilvl w:val="0"/>
          <w:numId w:val="14"/>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无人机</w:t>
      </w:r>
    </w:p>
    <w:p w14:paraId="096A1B85">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无人机可分为消费级无人机和工业级无人机两类。消费级无人机主要面向个人用户，多用于娱乐、航拍、教育和休闲等活动，工业级无人机具备更高的可靠性和功能性，广泛应用于农业监测、电力巡检等专业领域。作为我国低空经济的先导产业，已形成全球领先优势。2025年，我国民用无人机市场规模预计同比增长15%，截至2025年7月，全国无人机运营企业数量已突破1.99万家</w:t>
      </w:r>
      <w:r>
        <w:rPr>
          <w:rFonts w:hint="eastAsia" w:ascii="Segoe UI" w:hAnsi="Segoe UI" w:eastAsia="宋体" w:cs="Segoe UI"/>
          <w:i w:val="0"/>
          <w:iCs w:val="0"/>
          <w:caps w:val="0"/>
          <w:spacing w:val="0"/>
          <w:sz w:val="24"/>
          <w:szCs w:val="24"/>
          <w:shd w:val="clear" w:fill="FFFFFF"/>
          <w:lang w:val="en-US" w:eastAsia="zh-CN"/>
        </w:rPr>
        <w:t>。</w:t>
      </w:r>
      <w:r>
        <w:rPr>
          <w:rFonts w:hint="default" w:ascii="Segoe UI" w:hAnsi="Segoe UI" w:eastAsia="宋体" w:cs="Segoe UI"/>
          <w:i w:val="0"/>
          <w:iCs w:val="0"/>
          <w:caps w:val="0"/>
          <w:spacing w:val="0"/>
          <w:sz w:val="24"/>
          <w:szCs w:val="24"/>
          <w:shd w:val="clear" w:fill="FFFFFF"/>
          <w:lang w:val="en-US" w:eastAsia="zh-CN"/>
        </w:rPr>
        <w:t>在消费级市场，以大疆创新为代表的中国企业占据全球约70%的市场份额；在工业级市场，份额也超过50%</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[23]</w:t>
      </w:r>
      <w:r>
        <w:rPr>
          <w:rFonts w:hint="default" w:ascii="Segoe UI" w:hAnsi="Segoe UI" w:eastAsia="宋体" w:cs="Segoe UI"/>
          <w:i w:val="0"/>
          <w:iCs w:val="0"/>
          <w:caps w:val="0"/>
          <w:spacing w:val="0"/>
          <w:sz w:val="24"/>
          <w:szCs w:val="24"/>
          <w:shd w:val="clear" w:fill="FFFFFF"/>
          <w:lang w:val="en-US" w:eastAsia="zh-CN"/>
        </w:rPr>
        <w:t>。</w:t>
      </w:r>
      <w:r>
        <w:rPr>
          <w:rFonts w:hint="eastAsia" w:ascii="Segoe UI" w:hAnsi="Segoe UI" w:eastAsia="宋体" w:cs="Segoe UI"/>
          <w:i w:val="0"/>
          <w:iCs w:val="0"/>
          <w:caps w:val="0"/>
          <w:spacing w:val="0"/>
          <w:sz w:val="24"/>
          <w:szCs w:val="24"/>
          <w:shd w:val="clear" w:fill="FFFFFF"/>
          <w:lang w:val="en-US" w:eastAsia="zh-CN"/>
        </w:rPr>
        <w:tab/>
      </w:r>
    </w:p>
    <w:p w14:paraId="03FC7CBE">
      <w:pPr>
        <w:keepNext w:val="0"/>
        <w:keepLines w:val="0"/>
        <w:pageBreakBefore w:val="0"/>
        <w:widowControl/>
        <w:numPr>
          <w:ilvl w:val="0"/>
          <w:numId w:val="14"/>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电动垂直起降航空器（eVTOL）</w:t>
      </w:r>
    </w:p>
    <w:p w14:paraId="76BC1E4B">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电动垂直起降飞行器，是一种采用电力驱动、无需跑道便能实现垂直升降的航空器，可以应用于城市交通、医疗运输、物流配送和旅游观光等。作为城市空中交通（UAM）的未来载体，正迎来爆发式增长。</w:t>
      </w:r>
    </w:p>
    <w:p w14:paraId="5B8348B9">
      <w:pPr>
        <w:keepNext w:val="0"/>
        <w:keepLines w:val="0"/>
        <w:pageBreakBefore w:val="0"/>
        <w:widowControl/>
        <w:numPr>
          <w:ilvl w:val="0"/>
          <w:numId w:val="14"/>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传统通用航空器</w:t>
      </w:r>
    </w:p>
    <w:p w14:paraId="17A58B84">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传统通用航空器主要包括小型固定翼飞机、直升机、热气球、飞艇、滑翔机以及运动类飞机等，应用较早，技术相对eVTOL更加成熟。在应急救援、短途运输等领域仍扮演重要角色。截至2025年7月，我国有人机运营企业达801家。</w:t>
      </w:r>
    </w:p>
    <w:p w14:paraId="0B586936">
      <w:pPr>
        <w:keepNext w:val="0"/>
        <w:keepLines w:val="0"/>
        <w:pageBreakBefore w:val="0"/>
        <w:widowControl/>
        <w:numPr>
          <w:ilvl w:val="2"/>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2"/>
        <w:rPr>
          <w:rFonts w:hint="default" w:ascii="Segoe UI" w:hAnsi="Segoe UI" w:eastAsia="Segoe UI" w:cs="Segoe UI"/>
          <w:b/>
          <w:bCs/>
          <w:i w:val="0"/>
          <w:iCs w:val="0"/>
          <w:caps w:val="0"/>
          <w:spacing w:val="0"/>
          <w:sz w:val="24"/>
          <w:szCs w:val="24"/>
          <w:shd w:val="clear" w:fill="FFFFFF"/>
          <w:lang w:val="en-US" w:eastAsia="zh-CN"/>
        </w:rPr>
      </w:pPr>
      <w:r>
        <w:rPr>
          <w:rFonts w:hint="eastAsia"/>
          <w:b/>
          <w:bCs/>
          <w:sz w:val="24"/>
          <w:szCs w:val="24"/>
          <w:lang w:val="en-US" w:eastAsia="zh-CN"/>
        </w:rPr>
        <w:t xml:space="preserve"> 基础设施建设</w:t>
      </w:r>
    </w:p>
    <w:p w14:paraId="77338F43">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低空经济基础设施，由支撑低空飞行活动及低空经济相关产业发展的物理基础设施和信息基础设施组成。低空基础设施是产业规模化、商业化运行的“物理底座”，其建设水平决定了飞行活动的广度、密度与效率。</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2025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7</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月，《低空经济基础设施框架指引(2025版)》正式发布，为基础设施的系统化建设提供了顶层设计。</w:t>
      </w:r>
    </w:p>
    <w:p w14:paraId="4DCBC2A4">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Theme="majorEastAsia" w:hAnsiTheme="majorEastAsia" w:eastAsiaTheme="majorEastAsia" w:cstheme="majorEastAsia"/>
          <w:b/>
          <w:bCs/>
          <w:sz w:val="24"/>
          <w:szCs w:val="24"/>
          <w:lang w:val="en-US" w:eastAsia="zh-CN"/>
        </w:rPr>
      </w:pPr>
      <w:r>
        <w:rPr>
          <w:rFonts w:hint="default" w:asciiTheme="majorEastAsia" w:hAnsiTheme="majorEastAsia" w:eastAsiaTheme="majorEastAsia" w:cstheme="majorEastAsia"/>
          <w:b/>
          <w:bCs/>
          <w:sz w:val="24"/>
          <w:szCs w:val="24"/>
          <w:lang w:val="en-US" w:eastAsia="zh-CN"/>
        </w:rPr>
        <w:t>低空空管基础设施</w:t>
      </w:r>
    </w:p>
    <w:p w14:paraId="3BFBC8FE">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en-US"/>
        </w:rPr>
        <w:t>包括保障低空安全高效运行、支持低空空域科学合规使用的基础设施，如低空空域使用，低空通信、导航、监视、气象设施，低空安防设施，低空飞行服务信息化平台等。</w:t>
      </w:r>
    </w:p>
    <w:p w14:paraId="746519AD">
      <w:pPr>
        <w:keepNext w:val="0"/>
        <w:keepLines w:val="0"/>
        <w:pageBreakBefore w:val="0"/>
        <w:widowControl/>
        <w:numPr>
          <w:ilvl w:val="0"/>
          <w:numId w:val="15"/>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低空空域使用相关基础设施</w:t>
      </w:r>
    </w:p>
    <w:p w14:paraId="0EB43A7C">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包括低空数字底座、低空网格编码、无人机电子围栏设置等。</w:t>
      </w:r>
    </w:p>
    <w:p w14:paraId="6D20D68E">
      <w:pPr>
        <w:keepNext w:val="0"/>
        <w:keepLines w:val="0"/>
        <w:pageBreakBefore w:val="0"/>
        <w:widowControl/>
        <w:numPr>
          <w:ilvl w:val="0"/>
          <w:numId w:val="15"/>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低空通信、导航、监视设施</w:t>
      </w:r>
    </w:p>
    <w:p w14:paraId="6465C34A">
      <w:pPr>
        <w:pStyle w:val="6"/>
        <w:keepNext w:val="0"/>
        <w:keepLines w:val="0"/>
        <w:pageBreakBefore w:val="0"/>
        <w:widowControl/>
        <w:numPr>
          <w:ilvl w:val="0"/>
          <w:numId w:val="16"/>
        </w:numPr>
        <w:kinsoku w:val="0"/>
        <w:wordWrap/>
        <w:overflowPunct/>
        <w:topLinePunct w:val="0"/>
        <w:autoSpaceDE w:val="0"/>
        <w:autoSpaceDN w:val="0"/>
        <w:bidi w:val="0"/>
        <w:adjustRightInd w:val="0"/>
        <w:snapToGrid w:val="0"/>
        <w:spacing w:line="288" w:lineRule="auto"/>
        <w:ind w:left="420" w:leftChars="0" w:hanging="420" w:firstLineChars="0"/>
        <w:textAlignment w:val="baseline"/>
        <w:rPr>
          <w:rFonts w:hint="eastAsia"/>
          <w:lang w:val="en-US" w:eastAsia="zh-CN"/>
        </w:rPr>
      </w:pPr>
      <w:r>
        <w:rPr>
          <w:rFonts w:hint="eastAsia" w:ascii="Segoe UI" w:hAnsi="Segoe UI" w:eastAsia="宋体" w:cs="Segoe UI"/>
          <w:i w:val="0"/>
          <w:iCs w:val="0"/>
          <w:caps w:val="0"/>
          <w:spacing w:val="0"/>
          <w:sz w:val="24"/>
          <w:szCs w:val="24"/>
          <w:shd w:val="clear" w:fill="FFFFFF"/>
          <w:lang w:val="en-US" w:eastAsia="zh-CN"/>
        </w:rPr>
        <w:t>通信网络：</w:t>
      </w:r>
      <w:r>
        <w:rPr>
          <w:rFonts w:hint="eastAsia" w:ascii="Segoe UI" w:hAnsi="Segoe UI" w:eastAsia="宋体" w:cs="Segoe UI"/>
          <w:i w:val="0"/>
          <w:iCs w:val="0"/>
          <w:caps w:val="0"/>
          <w:snapToGrid w:val="0"/>
          <w:color w:val="000000"/>
          <w:spacing w:val="0"/>
          <w:sz w:val="24"/>
          <w:szCs w:val="24"/>
          <w:shd w:val="clear" w:fill="FFFFFF"/>
          <w:lang w:val="en-US" w:eastAsia="zh-CN" w:bidi="ar-SA"/>
        </w:rPr>
        <w:t>包括蜂窝通信（4G、5G、5G-A）、卫星通信、甚高频通信等。为满足低空高密度、高频次飞行需求，以5G-A（5G-Advanced）为代表的通感一体网络正加速部署。截至 2025 年 8 月，全国已有300多个城市实现了具备通感功能的5G-A网络覆盖</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[24]</w:t>
      </w:r>
      <w:r>
        <w:rPr>
          <w:rFonts w:hint="eastAsia" w:ascii="Segoe UI" w:hAnsi="Segoe UI" w:eastAsia="宋体" w:cs="Segoe UI"/>
          <w:i w:val="0"/>
          <w:iCs w:val="0"/>
          <w:caps w:val="0"/>
          <w:snapToGrid w:val="0"/>
          <w:color w:val="000000"/>
          <w:spacing w:val="0"/>
          <w:sz w:val="24"/>
          <w:szCs w:val="24"/>
          <w:shd w:val="clear" w:fill="FFFFFF"/>
          <w:lang w:val="en-US" w:eastAsia="zh-CN" w:bidi="ar-SA"/>
        </w:rPr>
        <w:t>。中国移动等运营商已在广东、浙江、江苏、北京等多省市开展5G-A低空智联网的规模试验与部署</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[25]</w:t>
      </w:r>
      <w:r>
        <w:rPr>
          <w:rFonts w:hint="eastAsia" w:ascii="Segoe UI" w:hAnsi="Segoe UI" w:eastAsia="宋体" w:cs="Segoe UI"/>
          <w:i w:val="0"/>
          <w:iCs w:val="0"/>
          <w:caps w:val="0"/>
          <w:snapToGrid w:val="0"/>
          <w:color w:val="000000"/>
          <w:spacing w:val="0"/>
          <w:sz w:val="24"/>
          <w:szCs w:val="24"/>
          <w:shd w:val="clear" w:fill="FFFFFF"/>
          <w:lang w:val="en-US" w:eastAsia="zh-CN" w:bidi="ar-SA"/>
        </w:rPr>
        <w:t>。</w:t>
      </w:r>
    </w:p>
    <w:p w14:paraId="7A4A37F6">
      <w:pPr>
        <w:pStyle w:val="6"/>
        <w:keepNext w:val="0"/>
        <w:keepLines w:val="0"/>
        <w:pageBreakBefore w:val="0"/>
        <w:widowControl/>
        <w:numPr>
          <w:ilvl w:val="0"/>
          <w:numId w:val="16"/>
        </w:numPr>
        <w:kinsoku w:val="0"/>
        <w:wordWrap/>
        <w:overflowPunct/>
        <w:topLinePunct w:val="0"/>
        <w:autoSpaceDE w:val="0"/>
        <w:autoSpaceDN w:val="0"/>
        <w:bidi w:val="0"/>
        <w:adjustRightInd w:val="0"/>
        <w:snapToGrid w:val="0"/>
        <w:spacing w:line="288" w:lineRule="auto"/>
        <w:ind w:left="420" w:leftChars="0" w:hanging="420" w:firstLineChars="0"/>
        <w:textAlignment w:val="baseline"/>
        <w:rPr>
          <w:rFonts w:hint="eastAsia"/>
          <w:lang w:val="en-US" w:eastAsia="zh-CN"/>
        </w:rPr>
      </w:pPr>
      <w:r>
        <w:rPr>
          <w:rFonts w:hint="eastAsia" w:ascii="Segoe UI" w:hAnsi="Segoe UI" w:eastAsia="宋体" w:cs="Segoe UI"/>
          <w:i w:val="0"/>
          <w:iCs w:val="0"/>
          <w:caps w:val="0"/>
          <w:spacing w:val="0"/>
          <w:sz w:val="24"/>
          <w:szCs w:val="24"/>
          <w:shd w:val="clear" w:fill="FFFFFF"/>
          <w:lang w:val="en-US" w:eastAsia="zh-CN"/>
        </w:rPr>
        <w:t>低空导航设施：包括卫星导航（北斗等）、RTK 定位增强、无线电导航台等。</w:t>
      </w:r>
    </w:p>
    <w:p w14:paraId="30AAFA9F">
      <w:pPr>
        <w:pStyle w:val="6"/>
        <w:keepNext w:val="0"/>
        <w:keepLines w:val="0"/>
        <w:pageBreakBefore w:val="0"/>
        <w:widowControl/>
        <w:numPr>
          <w:ilvl w:val="0"/>
          <w:numId w:val="16"/>
        </w:numPr>
        <w:kinsoku w:val="0"/>
        <w:wordWrap/>
        <w:overflowPunct/>
        <w:topLinePunct w:val="0"/>
        <w:autoSpaceDE w:val="0"/>
        <w:autoSpaceDN w:val="0"/>
        <w:bidi w:val="0"/>
        <w:adjustRightInd w:val="0"/>
        <w:snapToGrid w:val="0"/>
        <w:spacing w:line="288" w:lineRule="auto"/>
        <w:ind w:left="420" w:leftChars="0" w:hanging="420" w:firstLineChars="0"/>
        <w:textAlignment w:val="baseline"/>
        <w:rPr>
          <w:rFonts w:hint="default"/>
          <w:lang w:val="en-US" w:eastAsia="zh-CN"/>
        </w:rPr>
      </w:pPr>
      <w:r>
        <w:rPr>
          <w:rFonts w:hint="default" w:ascii="Segoe UI" w:hAnsi="Segoe UI" w:eastAsia="宋体" w:cs="Segoe UI"/>
          <w:i w:val="0"/>
          <w:iCs w:val="0"/>
          <w:caps w:val="0"/>
          <w:spacing w:val="0"/>
          <w:sz w:val="24"/>
          <w:szCs w:val="24"/>
          <w:shd w:val="clear" w:fill="FFFFFF"/>
          <w:lang w:val="en-US" w:eastAsia="zh-CN"/>
        </w:rPr>
        <w:t>低空监视设施</w:t>
      </w:r>
      <w:r>
        <w:rPr>
          <w:rFonts w:hint="eastAsia" w:ascii="Segoe UI" w:hAnsi="Segoe UI" w:eastAsia="宋体" w:cs="Segoe UI"/>
          <w:i w:val="0"/>
          <w:iCs w:val="0"/>
          <w:caps w:val="0"/>
          <w:spacing w:val="0"/>
          <w:sz w:val="24"/>
          <w:szCs w:val="24"/>
          <w:shd w:val="clear" w:fill="FFFFFF"/>
          <w:lang w:val="en-US" w:eastAsia="zh-CN"/>
        </w:rPr>
        <w:t>：包括：合作目标监视方式，网络式运行识别、广播式运行识别（Remote ID）、广播式自动相关监视（ADS-B）等；非合作目监视方式，5G-A 通感一体、低空雷达、无线电侦测（TDOA、AOA）、光电探测等。</w:t>
      </w:r>
    </w:p>
    <w:p w14:paraId="6A0D3F94">
      <w:pPr>
        <w:keepNext w:val="0"/>
        <w:keepLines w:val="0"/>
        <w:pageBreakBefore w:val="0"/>
        <w:widowControl/>
        <w:numPr>
          <w:ilvl w:val="0"/>
          <w:numId w:val="15"/>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低空气象设施</w:t>
      </w:r>
    </w:p>
    <w:p w14:paraId="144289F7">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包括气象监测点、气象监测站等。</w:t>
      </w:r>
    </w:p>
    <w:p w14:paraId="5E800E59">
      <w:pPr>
        <w:keepNext w:val="0"/>
        <w:keepLines w:val="0"/>
        <w:pageBreakBefore w:val="0"/>
        <w:widowControl/>
        <w:numPr>
          <w:ilvl w:val="0"/>
          <w:numId w:val="15"/>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低空</w:t>
      </w:r>
      <w:r>
        <w:rPr>
          <w:rFonts w:hint="eastAsia" w:ascii="Segoe UI" w:hAnsi="Segoe UI" w:eastAsia="宋体" w:cs="Segoe UI"/>
          <w:i w:val="0"/>
          <w:iCs w:val="0"/>
          <w:caps w:val="0"/>
          <w:spacing w:val="0"/>
          <w:sz w:val="24"/>
          <w:szCs w:val="24"/>
          <w:shd w:val="clear" w:fill="FFFFFF"/>
          <w:lang w:val="en-US" w:eastAsia="zh-CN"/>
        </w:rPr>
        <w:t>安防</w:t>
      </w:r>
      <w:r>
        <w:rPr>
          <w:rFonts w:hint="default" w:ascii="Segoe UI" w:hAnsi="Segoe UI" w:eastAsia="宋体" w:cs="Segoe UI"/>
          <w:i w:val="0"/>
          <w:iCs w:val="0"/>
          <w:caps w:val="0"/>
          <w:spacing w:val="0"/>
          <w:sz w:val="24"/>
          <w:szCs w:val="24"/>
          <w:shd w:val="clear" w:fill="FFFFFF"/>
          <w:lang w:val="en-US" w:eastAsia="zh-CN"/>
        </w:rPr>
        <w:t>设施</w:t>
      </w:r>
    </w:p>
    <w:p w14:paraId="571D9FB3">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包括无人机探测、无线电反制、导航诱骗、物理拦截、高能毁伤等。</w:t>
      </w:r>
    </w:p>
    <w:p w14:paraId="6DE7C104">
      <w:pPr>
        <w:keepNext w:val="0"/>
        <w:keepLines w:val="0"/>
        <w:pageBreakBefore w:val="0"/>
        <w:widowControl/>
        <w:numPr>
          <w:ilvl w:val="0"/>
          <w:numId w:val="15"/>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低空飞行服务信息化平台</w:t>
      </w:r>
    </w:p>
    <w:p w14:paraId="583BA250">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包括低空飞行服务保障的数字化、网络化、智能化平台等。</w:t>
      </w:r>
    </w:p>
    <w:p w14:paraId="58E996A7">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Theme="majorEastAsia" w:hAnsiTheme="majorEastAsia" w:eastAsiaTheme="majorEastAsia" w:cstheme="majorEastAsia"/>
          <w:b/>
          <w:bCs/>
          <w:sz w:val="24"/>
          <w:szCs w:val="24"/>
          <w:lang w:val="en-US" w:eastAsia="zh-CN"/>
        </w:rPr>
      </w:pPr>
      <w:r>
        <w:rPr>
          <w:rFonts w:hint="default" w:asciiTheme="majorEastAsia" w:hAnsiTheme="majorEastAsia" w:eastAsiaTheme="majorEastAsia" w:cstheme="majorEastAsia"/>
          <w:b/>
          <w:bCs/>
          <w:sz w:val="24"/>
          <w:szCs w:val="24"/>
          <w:lang w:val="en-US" w:eastAsia="zh-CN"/>
        </w:rPr>
        <w:t>低空</w:t>
      </w:r>
      <w:r>
        <w:rPr>
          <w:rFonts w:hint="eastAsia" w:asciiTheme="majorEastAsia" w:hAnsiTheme="majorEastAsia" w:eastAsiaTheme="majorEastAsia" w:cstheme="majorEastAsia"/>
          <w:b/>
          <w:bCs/>
          <w:sz w:val="24"/>
          <w:szCs w:val="24"/>
          <w:lang w:val="en-US" w:eastAsia="zh-CN"/>
        </w:rPr>
        <w:t>起降</w:t>
      </w:r>
      <w:r>
        <w:rPr>
          <w:rFonts w:hint="default" w:asciiTheme="majorEastAsia" w:hAnsiTheme="majorEastAsia" w:eastAsiaTheme="majorEastAsia" w:cstheme="majorEastAsia"/>
          <w:b/>
          <w:bCs/>
          <w:sz w:val="24"/>
          <w:szCs w:val="24"/>
          <w:lang w:val="en-US" w:eastAsia="zh-CN"/>
        </w:rPr>
        <w:t>基础设施</w:t>
      </w:r>
    </w:p>
    <w:p w14:paraId="7AEF4B2A">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包括：通用机场、航空飞行营地、低空航空器起降场（点），及相关配套设施。</w:t>
      </w:r>
    </w:p>
    <w:p w14:paraId="269949A9">
      <w:pPr>
        <w:keepNext w:val="0"/>
        <w:keepLines w:val="0"/>
        <w:pageBreakBefore w:val="0"/>
        <w:widowControl/>
        <w:numPr>
          <w:ilvl w:val="0"/>
          <w:numId w:val="17"/>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通用机场</w:t>
      </w:r>
    </w:p>
    <w:p w14:paraId="24AEDC2F">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包括跑道型机场、水上机场、直升机场。截至2025年7月底，全国通用机场总数达</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487</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个。按类别划分，其中A1类</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125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个，A2类</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51</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个，B类</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311</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个。</w:t>
      </w:r>
    </w:p>
    <w:p w14:paraId="2215E9FF">
      <w:pPr>
        <w:keepNext w:val="0"/>
        <w:keepLines w:val="0"/>
        <w:pageBreakBefore w:val="0"/>
        <w:widowControl/>
        <w:numPr>
          <w:ilvl w:val="0"/>
          <w:numId w:val="17"/>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航空飞行营地</w:t>
      </w:r>
    </w:p>
    <w:p w14:paraId="42987454">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包</w:t>
      </w:r>
      <w:r>
        <w:rPr>
          <w:rFonts w:hint="default" w:ascii="Segoe UI" w:hAnsi="Segoe UI" w:eastAsia="宋体" w:cs="Segoe UI"/>
          <w:i w:val="0"/>
          <w:iCs w:val="0"/>
          <w:caps w:val="0"/>
          <w:spacing w:val="0"/>
          <w:sz w:val="24"/>
          <w:szCs w:val="24"/>
          <w:shd w:val="clear" w:fill="FFFFFF"/>
          <w:lang w:val="en-US" w:eastAsia="zh-CN"/>
        </w:rPr>
        <w:t>括滑翔机、航空模型/无人机、跳伞等项目飞行营地。作为开展航空运动、科普研学的重要场所，自</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2015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12</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月起，中国航空运动协会先后公布了五批共</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273</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家航空飞行营地</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[26]</w:t>
      </w:r>
      <w:r>
        <w:rPr>
          <w:rFonts w:hint="eastAsia" w:ascii="Segoe UI" w:hAnsi="Segoe UI" w:eastAsia="宋体" w:cs="Segoe UI"/>
          <w:i w:val="0"/>
          <w:iCs w:val="0"/>
          <w:caps w:val="0"/>
          <w:spacing w:val="0"/>
          <w:sz w:val="24"/>
          <w:szCs w:val="24"/>
          <w:shd w:val="clear" w:fill="FFFFFF"/>
          <w:lang w:val="en-US" w:eastAsia="zh-CN"/>
        </w:rPr>
        <w:t>。</w:t>
      </w:r>
    </w:p>
    <w:p w14:paraId="0D39B637">
      <w:pPr>
        <w:keepNext w:val="0"/>
        <w:keepLines w:val="0"/>
        <w:pageBreakBefore w:val="0"/>
        <w:widowControl/>
        <w:numPr>
          <w:ilvl w:val="0"/>
          <w:numId w:val="17"/>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低空航空器起降场（点）</w:t>
      </w:r>
    </w:p>
    <w:p w14:paraId="749EF91F">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包括为低空航空器提供起降保障的各类设施。</w:t>
      </w:r>
    </w:p>
    <w:p w14:paraId="1520BC87">
      <w:pPr>
        <w:keepNext w:val="0"/>
        <w:keepLines w:val="0"/>
        <w:pageBreakBefore w:val="0"/>
        <w:widowControl/>
        <w:numPr>
          <w:ilvl w:val="0"/>
          <w:numId w:val="17"/>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起降场（点）能源补给设施</w:t>
      </w:r>
    </w:p>
    <w:p w14:paraId="5D9D1B0E">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为低空航空器提供能源补给的设施，包括充换电站、能源服务站（加油、氢）、光伏-储能一体化能源站等。</w:t>
      </w:r>
    </w:p>
    <w:p w14:paraId="6200EF7E">
      <w:pPr>
        <w:keepNext w:val="0"/>
        <w:keepLines w:val="0"/>
        <w:pageBreakBefore w:val="0"/>
        <w:widowControl/>
        <w:numPr>
          <w:ilvl w:val="0"/>
          <w:numId w:val="17"/>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起降场（点）运维保障设施</w:t>
      </w:r>
    </w:p>
    <w:p w14:paraId="5D13F8F6">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为低空航空器提供运维保障的设施，包括机库、维修厂、航空器临时检修站等。</w:t>
      </w:r>
    </w:p>
    <w:p w14:paraId="598F00A2">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Theme="majorEastAsia" w:hAnsiTheme="majorEastAsia" w:eastAsiaTheme="majorEastAsia" w:cstheme="majorEastAsia"/>
          <w:b/>
          <w:bCs/>
          <w:sz w:val="24"/>
          <w:szCs w:val="24"/>
          <w:lang w:val="en-US" w:eastAsia="zh-CN"/>
        </w:rPr>
      </w:pPr>
      <w:r>
        <w:rPr>
          <w:rFonts w:hint="default" w:asciiTheme="majorEastAsia" w:hAnsiTheme="majorEastAsia" w:eastAsiaTheme="majorEastAsia" w:cstheme="majorEastAsia"/>
          <w:b/>
          <w:bCs/>
          <w:sz w:val="24"/>
          <w:szCs w:val="24"/>
          <w:lang w:val="en-US" w:eastAsia="zh-CN"/>
        </w:rPr>
        <w:t>低空产业配套基础设施</w:t>
      </w:r>
    </w:p>
    <w:p w14:paraId="57869B05">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包括：试飞、检验检测、科普研学、人才培养等产业配套基础设施。</w:t>
      </w:r>
    </w:p>
    <w:p w14:paraId="5F40B08E">
      <w:pPr>
        <w:keepNext w:val="0"/>
        <w:keepLines w:val="0"/>
        <w:pageBreakBefore w:val="0"/>
        <w:widowControl/>
        <w:numPr>
          <w:ilvl w:val="0"/>
          <w:numId w:val="18"/>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低空检验检测及试飞设施</w:t>
      </w:r>
    </w:p>
    <w:p w14:paraId="39334B0F">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包括各类低空航空器检验检测、试飞等设施。</w:t>
      </w:r>
    </w:p>
    <w:p w14:paraId="29547FBF">
      <w:pPr>
        <w:keepNext w:val="0"/>
        <w:keepLines w:val="0"/>
        <w:pageBreakBefore w:val="0"/>
        <w:widowControl/>
        <w:numPr>
          <w:ilvl w:val="0"/>
          <w:numId w:val="18"/>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低空专业人员培训设施</w:t>
      </w:r>
    </w:p>
    <w:p w14:paraId="38AC794C">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napToGrid w:val="0"/>
          <w:color w:val="000000"/>
          <w:spacing w:val="0"/>
          <w:sz w:val="24"/>
          <w:szCs w:val="24"/>
          <w:shd w:val="clear" w:fill="FFFFFF"/>
          <w:lang w:val="en-US" w:eastAsia="zh-CN" w:bidi="ar-SA"/>
        </w:rPr>
      </w:pPr>
      <w:r>
        <w:rPr>
          <w:rFonts w:hint="default" w:ascii="Segoe UI" w:hAnsi="Segoe UI" w:eastAsia="宋体" w:cs="Segoe UI"/>
          <w:i w:val="0"/>
          <w:iCs w:val="0"/>
          <w:caps w:val="0"/>
          <w:spacing w:val="0"/>
          <w:sz w:val="24"/>
          <w:szCs w:val="24"/>
          <w:shd w:val="clear" w:fill="FFFFFF"/>
          <w:lang w:val="en-US" w:eastAsia="zh-CN"/>
        </w:rPr>
        <w:t>包括低空从业人员理论、实操等专业培训设施。</w:t>
      </w:r>
    </w:p>
    <w:p w14:paraId="15DAFD51">
      <w:pPr>
        <w:keepNext w:val="0"/>
        <w:keepLines w:val="0"/>
        <w:pageBreakBefore w:val="0"/>
        <w:widowControl/>
        <w:numPr>
          <w:ilvl w:val="0"/>
          <w:numId w:val="18"/>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低空科普研学设施</w:t>
      </w:r>
    </w:p>
    <w:p w14:paraId="3A91DB78">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包括航空科普、研学等专业基础设施。</w:t>
      </w:r>
    </w:p>
    <w:p w14:paraId="0982E6B4">
      <w:pPr>
        <w:keepNext w:val="0"/>
        <w:keepLines w:val="0"/>
        <w:pageBreakBefore w:val="0"/>
        <w:widowControl/>
        <w:numPr>
          <w:ilvl w:val="0"/>
          <w:numId w:val="18"/>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低空航空器交易服务设施</w:t>
      </w:r>
    </w:p>
    <w:p w14:paraId="6C0C76E3">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包括低空航空器销售、维修、航材交易、金融服务、托管等各类服务基础设施。</w:t>
      </w:r>
    </w:p>
    <w:p w14:paraId="34A56BB4">
      <w:pPr>
        <w:keepNext w:val="0"/>
        <w:keepLines w:val="0"/>
        <w:pageBreakBefore w:val="0"/>
        <w:widowControl/>
        <w:numPr>
          <w:ilvl w:val="0"/>
          <w:numId w:val="18"/>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绿色循环利用设施</w:t>
      </w:r>
    </w:p>
    <w:p w14:paraId="43E351F7">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napToGrid w:val="0"/>
          <w:color w:val="000000"/>
          <w:spacing w:val="0"/>
          <w:sz w:val="24"/>
          <w:szCs w:val="24"/>
          <w:shd w:val="clear" w:fill="FFFFFF"/>
          <w:lang w:val="en-US" w:eastAsia="zh-CN" w:bidi="ar-SA"/>
        </w:rPr>
      </w:pPr>
      <w:r>
        <w:rPr>
          <w:rFonts w:hint="default" w:ascii="Segoe UI" w:hAnsi="Segoe UI" w:eastAsia="宋体" w:cs="Segoe UI"/>
          <w:i w:val="0"/>
          <w:iCs w:val="0"/>
          <w:caps w:val="0"/>
          <w:spacing w:val="0"/>
          <w:sz w:val="24"/>
          <w:szCs w:val="24"/>
          <w:shd w:val="clear" w:fill="FFFFFF"/>
          <w:lang w:val="en-US" w:eastAsia="zh-CN"/>
        </w:rPr>
        <w:t>包括低空航空器拆解、回收再利用、绿色环保处理等基础设施。</w:t>
      </w:r>
    </w:p>
    <w:p w14:paraId="34D577F6">
      <w:pPr>
        <w:keepNext w:val="0"/>
        <w:keepLines w:val="0"/>
        <w:pageBreakBefore w:val="0"/>
        <w:widowControl/>
        <w:numPr>
          <w:ilvl w:val="0"/>
          <w:numId w:val="18"/>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低空航空器制造设施</w:t>
      </w:r>
    </w:p>
    <w:p w14:paraId="3ECB238B">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napToGrid w:val="0"/>
          <w:color w:val="000000"/>
          <w:spacing w:val="0"/>
          <w:sz w:val="24"/>
          <w:szCs w:val="24"/>
          <w:shd w:val="clear" w:fill="FFFFFF"/>
          <w:lang w:val="en-US" w:eastAsia="zh-CN" w:bidi="ar-SA"/>
        </w:rPr>
      </w:pPr>
      <w:r>
        <w:rPr>
          <w:rFonts w:hint="default" w:ascii="Segoe UI" w:hAnsi="Segoe UI" w:eastAsia="宋体" w:cs="Segoe UI"/>
          <w:i w:val="0"/>
          <w:iCs w:val="0"/>
          <w:caps w:val="0"/>
          <w:spacing w:val="0"/>
          <w:sz w:val="24"/>
          <w:szCs w:val="24"/>
          <w:shd w:val="clear" w:fill="FFFFFF"/>
          <w:lang w:val="en-US" w:eastAsia="zh-CN"/>
        </w:rPr>
        <w:t>包括低空航空器整机、零部件制造等设施。</w:t>
      </w:r>
    </w:p>
    <w:p w14:paraId="1C92D17A">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Theme="majorEastAsia" w:hAnsiTheme="majorEastAsia" w:eastAsiaTheme="majorEastAsia" w:cstheme="majorEastAsia"/>
          <w:b/>
          <w:bCs/>
          <w:sz w:val="24"/>
          <w:szCs w:val="24"/>
          <w:lang w:val="en-US" w:eastAsia="zh-CN"/>
        </w:rPr>
      </w:pPr>
      <w:r>
        <w:rPr>
          <w:rFonts w:hint="default" w:asciiTheme="majorEastAsia" w:hAnsiTheme="majorEastAsia" w:eastAsiaTheme="majorEastAsia" w:cstheme="majorEastAsia"/>
          <w:b/>
          <w:bCs/>
          <w:sz w:val="24"/>
          <w:szCs w:val="24"/>
          <w:lang w:val="en-US" w:eastAsia="zh-CN"/>
        </w:rPr>
        <w:t>低空应用场景配套基础设施</w:t>
      </w:r>
    </w:p>
    <w:p w14:paraId="66412982">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包括低空载客、物流、公共服务等场景配套基础设施。</w:t>
      </w:r>
    </w:p>
    <w:p w14:paraId="1583586D">
      <w:pPr>
        <w:keepNext w:val="0"/>
        <w:keepLines w:val="0"/>
        <w:pageBreakBefore w:val="0"/>
        <w:widowControl/>
        <w:numPr>
          <w:ilvl w:val="0"/>
          <w:numId w:val="19"/>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低空载客配套设施</w:t>
      </w:r>
    </w:p>
    <w:p w14:paraId="32DE2485">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包括短途运输、一般包机飞行、商务包机飞行等配套设施。</w:t>
      </w:r>
    </w:p>
    <w:p w14:paraId="3F9646C6">
      <w:pPr>
        <w:keepNext w:val="0"/>
        <w:keepLines w:val="0"/>
        <w:pageBreakBefore w:val="0"/>
        <w:widowControl/>
        <w:numPr>
          <w:ilvl w:val="0"/>
          <w:numId w:val="19"/>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低空物流配套设施</w:t>
      </w:r>
    </w:p>
    <w:p w14:paraId="4BCAEA02">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包括即时配送、支线物流、末端快递等等配套设施。例如，美团无人机在深圳已开通</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50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余条航线，累计完成超</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140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万架次配送</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[27]</w:t>
      </w:r>
      <w:r>
        <w:rPr>
          <w:rFonts w:hint="default" w:ascii="Segoe UI" w:hAnsi="Segoe UI" w:eastAsia="宋体" w:cs="Segoe UI"/>
          <w:i w:val="0"/>
          <w:iCs w:val="0"/>
          <w:caps w:val="0"/>
          <w:spacing w:val="0"/>
          <w:sz w:val="24"/>
          <w:szCs w:val="24"/>
          <w:shd w:val="clear" w:fill="FFFFFF"/>
          <w:lang w:val="en-US" w:eastAsia="zh-CN"/>
        </w:rPr>
        <w:t>。</w:t>
      </w:r>
    </w:p>
    <w:p w14:paraId="64E297A0">
      <w:pPr>
        <w:keepNext w:val="0"/>
        <w:keepLines w:val="0"/>
        <w:pageBreakBefore w:val="0"/>
        <w:widowControl/>
        <w:numPr>
          <w:ilvl w:val="0"/>
          <w:numId w:val="19"/>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低空作业配套设施</w:t>
      </w:r>
    </w:p>
    <w:p w14:paraId="0980C84C">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包括农业植保、地质勘探、巡线巡检等等配套设施。</w:t>
      </w:r>
    </w:p>
    <w:p w14:paraId="20BC180E">
      <w:pPr>
        <w:keepNext w:val="0"/>
        <w:keepLines w:val="0"/>
        <w:pageBreakBefore w:val="0"/>
        <w:widowControl/>
        <w:numPr>
          <w:ilvl w:val="0"/>
          <w:numId w:val="19"/>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低空公共服务配套设施</w:t>
      </w:r>
    </w:p>
    <w:p w14:paraId="331B4791">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包括应急救援、环境检测、警务安防等等配套设施。</w:t>
      </w:r>
    </w:p>
    <w:p w14:paraId="6B71AF73">
      <w:pPr>
        <w:keepNext w:val="0"/>
        <w:keepLines w:val="0"/>
        <w:pageBreakBefore w:val="0"/>
        <w:widowControl/>
        <w:numPr>
          <w:ilvl w:val="0"/>
          <w:numId w:val="19"/>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低空消费配套设施</w:t>
      </w:r>
    </w:p>
    <w:p w14:paraId="0E48EEDC">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包括空中游览、飞行体验、跳伞运动等等配套设施。</w:t>
      </w:r>
    </w:p>
    <w:p w14:paraId="3214C7EF">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center"/>
        <w:textAlignment w:val="baseline"/>
        <w:outlineLvl w:val="9"/>
        <w:rPr>
          <w:rFonts w:hint="default" w:ascii="Segoe UI" w:hAnsi="Segoe UI" w:eastAsia="宋体" w:cs="Segoe UI"/>
          <w:i w:val="0"/>
          <w:iCs w:val="0"/>
          <w:caps w:val="0"/>
          <w:snapToGrid w:val="0"/>
          <w:color w:val="000000"/>
          <w:spacing w:val="0"/>
          <w:sz w:val="24"/>
          <w:szCs w:val="24"/>
          <w:shd w:val="clear" w:fill="FFFFFF"/>
          <w:lang w:val="en-US" w:eastAsia="zh-CN" w:bidi="ar-SA"/>
        </w:rPr>
      </w:pPr>
      <w:r>
        <w:rPr>
          <w:position w:val="-119"/>
        </w:rPr>
        <w:drawing>
          <wp:inline distT="0" distB="0" distL="0" distR="0">
            <wp:extent cx="5532755" cy="2562860"/>
            <wp:effectExtent l="0" t="0" r="10795" b="8890"/>
            <wp:docPr id="8" name="IM 2"/>
            <wp:cNvGraphicFramePr/>
            <a:graphic xmlns:a="http://schemas.openxmlformats.org/drawingml/2006/main">
              <a:graphicData uri="http://schemas.openxmlformats.org/drawingml/2006/picture">
                <pic:pic xmlns:pic="http://schemas.openxmlformats.org/drawingml/2006/picture">
                  <pic:nvPicPr>
                    <pic:cNvPr id="8" name="IM 2"/>
                    <pic:cNvPicPr/>
                  </pic:nvPicPr>
                  <pic:blipFill>
                    <a:blip r:embed="rId14"/>
                    <a:stretch>
                      <a:fillRect/>
                    </a:stretch>
                  </pic:blipFill>
                  <pic:spPr>
                    <a:xfrm>
                      <a:off x="0" y="0"/>
                      <a:ext cx="5532755" cy="2562860"/>
                    </a:xfrm>
                    <a:prstGeom prst="rect">
                      <a:avLst/>
                    </a:prstGeom>
                  </pic:spPr>
                </pic:pic>
              </a:graphicData>
            </a:graphic>
          </wp:inline>
        </w:drawing>
      </w:r>
    </w:p>
    <w:p w14:paraId="699EB9C1">
      <w:pPr>
        <w:pStyle w:val="6"/>
        <w:ind w:firstLine="420" w:firstLineChars="0"/>
        <w:rPr>
          <w:rFonts w:hint="default" w:ascii="Segoe UI" w:hAnsi="Segoe UI" w:eastAsia="宋体" w:cs="Segoe UI"/>
          <w:i w:val="0"/>
          <w:iCs w:val="0"/>
          <w:caps w:val="0"/>
          <w:snapToGrid w:val="0"/>
          <w:color w:val="000000"/>
          <w:spacing w:val="0"/>
          <w:sz w:val="24"/>
          <w:szCs w:val="24"/>
          <w:shd w:val="clear" w:fill="FFFFFF"/>
          <w:lang w:val="en-US" w:eastAsia="zh-CN" w:bidi="ar-SA"/>
        </w:rPr>
      </w:pPr>
    </w:p>
    <w:p w14:paraId="17BBD9DE">
      <w:pPr>
        <w:keepNext w:val="0"/>
        <w:keepLines w:val="0"/>
        <w:pageBreakBefore w:val="0"/>
        <w:widowControl/>
        <w:numPr>
          <w:ilvl w:val="2"/>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2"/>
        <w:rPr>
          <w:rFonts w:hint="default" w:ascii="Segoe UI" w:hAnsi="Segoe UI" w:eastAsia="宋体" w:cs="Segoe UI"/>
          <w:i w:val="0"/>
          <w:iCs w:val="0"/>
          <w:caps w:val="0"/>
          <w:spacing w:val="0"/>
          <w:sz w:val="24"/>
          <w:szCs w:val="24"/>
          <w:shd w:val="clear" w:fill="FFFFFF"/>
          <w:lang w:val="en-US" w:eastAsia="zh-CN"/>
        </w:rPr>
      </w:pPr>
      <w:r>
        <w:rPr>
          <w:rFonts w:hint="eastAsia"/>
          <w:b/>
          <w:bCs/>
          <w:sz w:val="24"/>
          <w:szCs w:val="24"/>
          <w:lang w:val="en-US" w:eastAsia="zh-CN"/>
        </w:rPr>
        <w:t xml:space="preserve"> 运营服务体系</w:t>
      </w:r>
    </w:p>
    <w:p w14:paraId="5A129C4A">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高效、安全的运营服务体系是低空经济健康发展的“神经中枢”和“交通规则”，其核心是各类数字化服务平台，实现“看得见、管得住、飞得好”。</w:t>
      </w:r>
    </w:p>
    <w:p w14:paraId="4C7592E9">
      <w:pPr>
        <w:keepNext w:val="0"/>
        <w:keepLines w:val="0"/>
        <w:pageBreakBefore w:val="0"/>
        <w:widowControl/>
        <w:numPr>
          <w:ilvl w:val="0"/>
          <w:numId w:val="2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一体化飞行服务与监管平台</w:t>
      </w:r>
    </w:p>
    <w:p w14:paraId="146A9916">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这类平台整合空域、气象、通信、监视等多源数据，为运营单位提供飞行计划“一站式”申报、审批、动态监管的全流程服务。例如，南京市低空飞行服务平台自</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2024</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年底上线至</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2025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11</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月，已累计保障飞行近</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40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万架次，集聚运营单位超过</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180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家</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[28]</w:t>
      </w:r>
      <w:r>
        <w:rPr>
          <w:rFonts w:hint="default" w:ascii="Segoe UI" w:hAnsi="Segoe UI" w:eastAsia="宋体" w:cs="Segoe UI"/>
          <w:i w:val="0"/>
          <w:iCs w:val="0"/>
          <w:caps w:val="0"/>
          <w:spacing w:val="0"/>
          <w:sz w:val="24"/>
          <w:szCs w:val="24"/>
          <w:shd w:val="clear" w:fill="FFFFFF"/>
          <w:lang w:val="en-US" w:eastAsia="zh-CN"/>
        </w:rPr>
        <w:t>。中国电信的“天翼星云飞行服务平台”已应用于全国</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20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个省、</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100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多个项目，支持纳管无人机</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1500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余架</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[29]</w:t>
      </w:r>
      <w:r>
        <w:rPr>
          <w:rFonts w:hint="default" w:ascii="Segoe UI" w:hAnsi="Segoe UI" w:eastAsia="宋体" w:cs="Segoe UI"/>
          <w:i w:val="0"/>
          <w:iCs w:val="0"/>
          <w:caps w:val="0"/>
          <w:spacing w:val="0"/>
          <w:sz w:val="24"/>
          <w:szCs w:val="24"/>
          <w:shd w:val="clear" w:fill="FFFFFF"/>
          <w:lang w:val="en-US" w:eastAsia="zh-CN"/>
        </w:rPr>
        <w:t>。</w:t>
      </w:r>
    </w:p>
    <w:p w14:paraId="1732924A">
      <w:pPr>
        <w:keepNext w:val="0"/>
        <w:keepLines w:val="0"/>
        <w:pageBreakBefore w:val="0"/>
        <w:widowControl/>
        <w:numPr>
          <w:ilvl w:val="0"/>
          <w:numId w:val="2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智能规划与仿真工具</w:t>
      </w:r>
    </w:p>
    <w:p w14:paraId="22E045EB">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面向产业规划与运营前期，出现了专业的低空数字规划平台。例如，中科星图的“启航·低空规划平台”可实现空域智能划设、航路规划、设施布设仿真等</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[30]</w:t>
      </w:r>
      <w:r>
        <w:rPr>
          <w:rFonts w:hint="default" w:ascii="Segoe UI" w:hAnsi="Segoe UI" w:eastAsia="宋体" w:cs="Segoe UI"/>
          <w:i w:val="0"/>
          <w:iCs w:val="0"/>
          <w:caps w:val="0"/>
          <w:spacing w:val="0"/>
          <w:sz w:val="24"/>
          <w:szCs w:val="24"/>
          <w:shd w:val="clear" w:fill="FFFFFF"/>
          <w:lang w:val="en-US" w:eastAsia="zh-CN"/>
        </w:rPr>
        <w:t>。高德地图发布的“空中高德”时空底座，也提供空中路径规划、碰撞预警等功能</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[31]</w:t>
      </w:r>
      <w:r>
        <w:rPr>
          <w:rFonts w:hint="default" w:ascii="Segoe UI" w:hAnsi="Segoe UI" w:eastAsia="宋体" w:cs="Segoe UI"/>
          <w:i w:val="0"/>
          <w:iCs w:val="0"/>
          <w:caps w:val="0"/>
          <w:spacing w:val="0"/>
          <w:sz w:val="24"/>
          <w:szCs w:val="24"/>
          <w:shd w:val="clear" w:fill="FFFFFF"/>
          <w:lang w:val="en-US" w:eastAsia="zh-CN"/>
        </w:rPr>
        <w:t>。</w:t>
      </w:r>
    </w:p>
    <w:p w14:paraId="6ED6A67C">
      <w:pPr>
        <w:keepNext w:val="0"/>
        <w:keepLines w:val="0"/>
        <w:pageBreakBefore w:val="0"/>
        <w:widowControl/>
        <w:numPr>
          <w:ilvl w:val="0"/>
          <w:numId w:val="2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全流程飞行保障</w:t>
      </w:r>
    </w:p>
    <w:p w14:paraId="1022BFE8">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运营服务体系不仅限于审批，还延伸至飞行中的实时通信中继、冲突解脱、风险预警，以及飞行后的数据分析与评估，为安全运营和效率优化提供支撑。</w:t>
      </w:r>
    </w:p>
    <w:p w14:paraId="7B132229">
      <w:pPr>
        <w:keepNext w:val="0"/>
        <w:keepLines w:val="0"/>
        <w:pageBreakBefore w:val="0"/>
        <w:widowControl/>
        <w:numPr>
          <w:ilvl w:val="1"/>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1"/>
        <w:rPr>
          <w:rFonts w:hint="eastAsia"/>
          <w:b/>
          <w:bCs/>
          <w:sz w:val="24"/>
          <w:szCs w:val="24"/>
          <w:lang w:val="en-US" w:eastAsia="zh-CN"/>
        </w:rPr>
      </w:pPr>
      <w:bookmarkStart w:id="18" w:name="_Toc18448"/>
      <w:r>
        <w:rPr>
          <w:rFonts w:hint="eastAsia"/>
          <w:b/>
          <w:bCs/>
          <w:sz w:val="24"/>
          <w:szCs w:val="24"/>
          <w:lang w:val="en-US" w:eastAsia="zh-CN"/>
        </w:rPr>
        <w:t>产业链下游：场景落地与价值实现</w:t>
      </w:r>
      <w:bookmarkEnd w:id="18"/>
    </w:p>
    <w:p w14:paraId="65106D9B">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产业链下游是低空经济价值变现的最终环节，通过丰富的应用场景将技术、装备和基础设施转化为实际的经济与社会效益。根据《低空经济场景白皮书（2.0）》，该白皮书创新构建了“低空经济场景价值矩阵”方法论，并基于此遴选出当前最具规模化推广潜力的八大高价值“明星场景”。这些场景的蓬勃发展，是驱动整个产业链快速扩张的核心引擎。</w:t>
      </w:r>
    </w:p>
    <w:p w14:paraId="05AEE15F">
      <w:pPr>
        <w:keepNext w:val="0"/>
        <w:keepLines w:val="0"/>
        <w:pageBreakBefore w:val="0"/>
        <w:widowControl/>
        <w:numPr>
          <w:ilvl w:val="2"/>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2"/>
        <w:rPr>
          <w:rFonts w:hint="default" w:ascii="Segoe UI" w:hAnsi="Segoe UI" w:eastAsia="Segoe UI" w:cs="Segoe UI"/>
          <w:b/>
          <w:bCs/>
          <w:i w:val="0"/>
          <w:iCs w:val="0"/>
          <w:caps w:val="0"/>
          <w:spacing w:val="0"/>
          <w:sz w:val="24"/>
          <w:szCs w:val="24"/>
          <w:shd w:val="clear" w:fill="FFFFFF"/>
          <w:lang w:val="en-US" w:eastAsia="zh-CN"/>
        </w:rPr>
      </w:pPr>
      <w:r>
        <w:rPr>
          <w:rFonts w:hint="eastAsia"/>
          <w:b/>
          <w:bCs/>
          <w:sz w:val="24"/>
          <w:szCs w:val="24"/>
          <w:lang w:val="en-US" w:eastAsia="zh-CN"/>
        </w:rPr>
        <w:t xml:space="preserve"> 四大场景矩阵</w:t>
      </w:r>
    </w:p>
    <w:p w14:paraId="4C8B7BFC">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低空经济的应用场景已从早期的单一作业，拓展至覆盖国民经济生产、生活、治理与消费的广阔领域，形成四大核心矩阵。这四大矩阵不仅体现了低空技术对不同领域的渗透能力，也反映了其从解决生产痛点、服务民生需求、赋能公共治理到创造消费体验的价值。</w:t>
      </w:r>
    </w:p>
    <w:p w14:paraId="5B2E071F">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产业赋能类</w:t>
      </w:r>
    </w:p>
    <w:p w14:paraId="792274FA">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该类场景以提升生产效率、降低运营成本为核心，主要面向农业、工业、能源等生产性领域。其特点是技术成熟度高、商业模式清晰、投资回报明确，是当前低空经济规模最大、渗透最深的领域，直接服务于实体经济的转型升级</w:t>
      </w:r>
      <w:r>
        <w:rPr>
          <w:rFonts w:hint="eastAsia" w:ascii="Segoe UI" w:hAnsi="Segoe UI" w:eastAsia="宋体" w:cs="Segoe UI"/>
          <w:i w:val="0"/>
          <w:iCs w:val="0"/>
          <w:caps w:val="0"/>
          <w:spacing w:val="0"/>
          <w:sz w:val="24"/>
          <w:szCs w:val="24"/>
          <w:shd w:val="clear" w:fill="FFFFFF"/>
          <w:lang w:val="en-US" w:eastAsia="zh-CN"/>
        </w:rPr>
        <w:t>。</w:t>
      </w:r>
    </w:p>
    <w:p w14:paraId="7612F56F">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核心驱动力：替代高危、繁重的人工作业，突破地理与环境限制，实现生产数据的精准采集与作业的智能化控制。</w:t>
      </w:r>
    </w:p>
    <w:p w14:paraId="73AB1B4E">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代表场景：根据白皮书评估，农林植保“统防统治”和无人机吊运是其中的典型代表。前者通过无人机精准喷洒，实现了农药减量、效率倍增；后者则解决了山区、林区、电力基建等特殊场景下的物资运输难题，将传统人工作业效率提升数十倍。</w:t>
      </w:r>
    </w:p>
    <w:p w14:paraId="32222D9D">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市场成熟度：产业赋能类场景已从试点示范走向大规模商业化应用。以农林植保为例，农业农村部数据显示，截至</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2025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年底，我国农用无人机保有量已超过</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30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万架，年作业面积突破</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4.6</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亿亩，智慧农业应用场景实现全链条拓展</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[32]</w:t>
      </w:r>
      <w:r>
        <w:rPr>
          <w:rFonts w:hint="default" w:ascii="Segoe UI" w:hAnsi="Segoe UI" w:eastAsia="宋体" w:cs="Segoe UI"/>
          <w:i w:val="0"/>
          <w:iCs w:val="0"/>
          <w:caps w:val="0"/>
          <w:spacing w:val="0"/>
          <w:sz w:val="24"/>
          <w:szCs w:val="24"/>
          <w:shd w:val="clear" w:fill="FFFFFF"/>
          <w:lang w:val="en-US" w:eastAsia="zh-CN"/>
        </w:rPr>
        <w:t>。</w:t>
      </w:r>
    </w:p>
    <w:p w14:paraId="471D1CA0">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Theme="majorEastAsia" w:hAnsiTheme="majorEastAsia" w:eastAsiaTheme="majorEastAsia" w:cstheme="majorEastAsia"/>
          <w:b/>
          <w:bCs/>
          <w:sz w:val="24"/>
          <w:szCs w:val="24"/>
          <w:lang w:val="en-US" w:eastAsia="zh-CN"/>
        </w:rPr>
      </w:pPr>
      <w:r>
        <w:rPr>
          <w:rFonts w:hint="default" w:asciiTheme="majorEastAsia" w:hAnsiTheme="majorEastAsia" w:eastAsiaTheme="majorEastAsia" w:cstheme="majorEastAsia"/>
          <w:b/>
          <w:bCs/>
          <w:sz w:val="24"/>
          <w:szCs w:val="24"/>
          <w:lang w:val="en-US" w:eastAsia="zh-CN"/>
        </w:rPr>
        <w:t>民生服务类</w:t>
      </w:r>
    </w:p>
    <w:p w14:paraId="15659F16">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该类场景以解决民生痛点、提升生活便利性为核心，涵盖物流配送、医疗急救、城市通勤等。其发展受强劲的市场需求和明确的政策支持双重驱动，正从城市试点示范走向区域化、网络化规模运营，是低空经济连接亿万消费者的直接通道。</w:t>
      </w:r>
    </w:p>
    <w:p w14:paraId="50463310">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核心驱动力：满足高时效性、小批量、高附加值的货物与人员运输需求，弥补传统地面交通网络的不足。</w:t>
      </w:r>
    </w:p>
    <w:p w14:paraId="6A668BB2">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代表场景：白皮书重点剖析的无人机城市物流配送和通用航空短途运输是民生服务的两大支柱。前者构建城市“即时配送”网络，后者连接地面交通不便的地区，提供快速出行选择。</w:t>
      </w:r>
    </w:p>
    <w:p w14:paraId="380FA425">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增长态势：该领域呈现爆发式增长。在物流方面，美团无人机截至</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2025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年底累计完成订单超过</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78</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万单；顺丰丰翼无人机</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2025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年飞行超</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29</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万架次，航程超</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188</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万公里</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[33]</w:t>
      </w:r>
      <w:r>
        <w:rPr>
          <w:rFonts w:hint="default" w:ascii="Segoe UI" w:hAnsi="Segoe UI" w:eastAsia="宋体" w:cs="Segoe UI"/>
          <w:i w:val="0"/>
          <w:iCs w:val="0"/>
          <w:caps w:val="0"/>
          <w:spacing w:val="0"/>
          <w:sz w:val="24"/>
          <w:szCs w:val="24"/>
          <w:shd w:val="clear" w:fill="FFFFFF"/>
          <w:lang w:val="en-US" w:eastAsia="zh-CN"/>
        </w:rPr>
        <w:t>。在通勤方面，产业基础不断夯实，截至</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2025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年底，我国获得经营许可证的传统通用航空企业达</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773</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家，全年共完成飞行</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121.9</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万小时。</w:t>
      </w:r>
    </w:p>
    <w:p w14:paraId="42BFC9F8">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Theme="majorEastAsia" w:hAnsiTheme="majorEastAsia" w:eastAsiaTheme="majorEastAsia" w:cstheme="majorEastAsia"/>
          <w:b/>
          <w:bCs/>
          <w:sz w:val="24"/>
          <w:szCs w:val="24"/>
          <w:lang w:val="en-US" w:eastAsia="zh-CN"/>
        </w:rPr>
      </w:pPr>
      <w:r>
        <w:rPr>
          <w:rFonts w:hint="default" w:asciiTheme="majorEastAsia" w:hAnsiTheme="majorEastAsia" w:eastAsiaTheme="majorEastAsia" w:cstheme="majorEastAsia"/>
          <w:b/>
          <w:bCs/>
          <w:sz w:val="24"/>
          <w:szCs w:val="24"/>
          <w:lang w:val="en-US" w:eastAsia="zh-CN"/>
        </w:rPr>
        <w:t>民生服务类</w:t>
      </w:r>
    </w:p>
    <w:p w14:paraId="37B69F05">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该类场景以增强政府治理能力、保障公共安全为核心，包括城市管理、应急救援、环境监测等。通常由政府主导采购或服务，具有强公共属性和示范效应，是低空经济融入国家治理体系和现代化城市建设的关键体现。</w:t>
      </w:r>
    </w:p>
    <w:p w14:paraId="5F747B31">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核心驱动力：利用无人机视角广、响应快、灵活机动的特点，实现城市运行状态的实时感知、智能研判与快速处置，提升公共服务的覆盖面和应急响应的效率。</w:t>
      </w:r>
    </w:p>
    <w:p w14:paraId="4B0656CA">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代表场景：白皮书定义的城市综合治理“一网统飞”和通用航空应急救援是公共服务领域的标杆。前者通过统一平台调度政务无人机，实现“一机多用、一飞多用”；后者则在灾害救援、医疗转运中发挥不可替代的作用。</w:t>
      </w:r>
    </w:p>
    <w:p w14:paraId="2A3523EE">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实践成果：全国多地已建成成熟的应用平台。例如，浙江杭州临安区的“一网统飞”平台布设</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38</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个自动机巢，累计飞行超</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8000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架次，覆盖</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900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平方公里</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[34]</w:t>
      </w:r>
      <w:r>
        <w:rPr>
          <w:rFonts w:hint="default" w:ascii="Segoe UI" w:hAnsi="Segoe UI" w:eastAsia="宋体" w:cs="Segoe UI"/>
          <w:i w:val="0"/>
          <w:iCs w:val="0"/>
          <w:caps w:val="0"/>
          <w:spacing w:val="0"/>
          <w:sz w:val="24"/>
          <w:szCs w:val="24"/>
          <w:shd w:val="clear" w:fill="FFFFFF"/>
          <w:lang w:val="en-US" w:eastAsia="zh-CN"/>
        </w:rPr>
        <w:t>；安徽亳州市利用平台进行交通违停“空中喊话”执法，每日可发现各类城市管理事件约</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35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起</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[35]</w:t>
      </w:r>
      <w:r>
        <w:rPr>
          <w:rFonts w:hint="default" w:ascii="Segoe UI" w:hAnsi="Segoe UI" w:eastAsia="宋体" w:cs="Segoe UI"/>
          <w:i w:val="0"/>
          <w:iCs w:val="0"/>
          <w:caps w:val="0"/>
          <w:spacing w:val="0"/>
          <w:sz w:val="24"/>
          <w:szCs w:val="24"/>
          <w:shd w:val="clear" w:fill="FFFFFF"/>
          <w:lang w:val="en-US" w:eastAsia="zh-CN"/>
        </w:rPr>
        <w:t>；广东东莞市整合</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20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个部门的无人机资源，构建了统一的政务无人机服务体系</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[36]</w:t>
      </w:r>
      <w:r>
        <w:rPr>
          <w:rFonts w:hint="default" w:ascii="Segoe UI" w:hAnsi="Segoe UI" w:eastAsia="宋体" w:cs="Segoe UI"/>
          <w:i w:val="0"/>
          <w:iCs w:val="0"/>
          <w:caps w:val="0"/>
          <w:spacing w:val="0"/>
          <w:sz w:val="24"/>
          <w:szCs w:val="24"/>
          <w:shd w:val="clear" w:fill="FFFFFF"/>
          <w:lang w:val="en-US" w:eastAsia="zh-CN"/>
        </w:rPr>
        <w:t>。</w:t>
      </w:r>
    </w:p>
    <w:p w14:paraId="1048F2D1">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消费体验</w:t>
      </w:r>
      <w:r>
        <w:rPr>
          <w:rFonts w:hint="default" w:asciiTheme="majorEastAsia" w:hAnsiTheme="majorEastAsia" w:eastAsiaTheme="majorEastAsia" w:cstheme="majorEastAsia"/>
          <w:b/>
          <w:bCs/>
          <w:sz w:val="24"/>
          <w:szCs w:val="24"/>
          <w:lang w:val="en-US" w:eastAsia="zh-CN"/>
        </w:rPr>
        <w:t>类</w:t>
      </w:r>
    </w:p>
    <w:p w14:paraId="0317C5EA">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该类场景以满足个性化、高品质消费需求为核心，如低空旅游、航空运动、文化演艺等。该领域直接面向C端市场，是培育大众对低空经济认知、激发产业活力、塑造未来生活方式的重要窗口。</w:t>
      </w:r>
    </w:p>
    <w:p w14:paraId="2CF1A9F5">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核心驱动力：提供独特、沉浸式的感官体验和娱乐方式，创造新的消费增长点，推动“低空+”与文旅、体育产业的深度融合。</w:t>
      </w:r>
    </w:p>
    <w:p w14:paraId="2BA6EED6">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代表场景：白皮书聚焦的空中游览和低空无人机集群表演是消费体验类的核心。前者让游客从空中俯瞰美景，后者则用科技光影打造视觉盛宴。</w:t>
      </w:r>
    </w:p>
    <w:p w14:paraId="0FF06153">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发展现状：消费市场处于快速培育期。中国民航局数据显示，2025年1至9月份，空中游览业态共飞行3.4万小时、26.3万架次，接待观光乘客67.2万人次，同比均有显著增长。无人机表演已成为重大节庆和城市宣传的标配，展现出强大的吸引力和传播力。</w:t>
      </w:r>
    </w:p>
    <w:p w14:paraId="42E8DABD">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这四大场景矩阵并非孤立存在，而是相互促进、协同发展。产业赋能类场景的技术积累为民生服务提供了可靠保障；公共服务类场景的规模化建设为消费体验类场景培育了市场环境与公众接受度。它们共同构成了低空经济价值实现的完整生态闭环。</w:t>
      </w:r>
    </w:p>
    <w:p w14:paraId="2B0068AD">
      <w:pPr>
        <w:keepNext w:val="0"/>
        <w:keepLines w:val="0"/>
        <w:pageBreakBefore w:val="0"/>
        <w:widowControl/>
        <w:numPr>
          <w:ilvl w:val="2"/>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2"/>
        <w:rPr>
          <w:rFonts w:hint="default" w:ascii="Segoe UI" w:hAnsi="Segoe UI" w:eastAsia="Segoe UI" w:cs="Segoe UI"/>
          <w:b/>
          <w:bCs/>
          <w:i w:val="0"/>
          <w:iCs w:val="0"/>
          <w:caps w:val="0"/>
          <w:spacing w:val="0"/>
          <w:sz w:val="24"/>
          <w:szCs w:val="24"/>
          <w:shd w:val="clear" w:fill="FFFFFF"/>
          <w:lang w:val="en-US" w:eastAsia="zh-CN"/>
        </w:rPr>
      </w:pPr>
      <w:r>
        <w:rPr>
          <w:rFonts w:hint="eastAsia"/>
          <w:b/>
          <w:bCs/>
          <w:sz w:val="24"/>
          <w:szCs w:val="24"/>
          <w:lang w:val="en-US" w:eastAsia="zh-CN"/>
        </w:rPr>
        <w:t xml:space="preserve"> 场景典型案例</w:t>
      </w:r>
    </w:p>
    <w:p w14:paraId="496808EE">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以下分析紧密围绕《低空经济场景白皮书（2.0）》中定义的八大高价值场景，并整合官方数据与典型案例。</w:t>
      </w:r>
    </w:p>
    <w:p w14:paraId="0397D70E">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Theme="majorEastAsia" w:hAnsiTheme="majorEastAsia" w:eastAsiaTheme="majorEastAsia" w:cstheme="majorEastAsia"/>
          <w:b/>
          <w:bCs/>
          <w:sz w:val="24"/>
          <w:szCs w:val="24"/>
          <w:lang w:val="en-US" w:eastAsia="zh-CN"/>
        </w:rPr>
      </w:pPr>
      <w:r>
        <w:rPr>
          <w:rFonts w:hint="default" w:asciiTheme="majorEastAsia" w:hAnsiTheme="majorEastAsia" w:eastAsiaTheme="majorEastAsia" w:cstheme="majorEastAsia"/>
          <w:b/>
          <w:bCs/>
          <w:sz w:val="24"/>
          <w:szCs w:val="24"/>
          <w:lang w:val="en-US" w:eastAsia="zh-CN"/>
        </w:rPr>
        <w:t>农林植保“统防统治</w:t>
      </w:r>
      <w:r>
        <w:rPr>
          <w:rFonts w:hint="eastAsia" w:asciiTheme="majorEastAsia" w:hAnsiTheme="majorEastAsia" w:eastAsiaTheme="majorEastAsia" w:cstheme="majorEastAsia"/>
          <w:b/>
          <w:bCs/>
          <w:sz w:val="24"/>
          <w:szCs w:val="24"/>
          <w:lang w:val="en-US" w:eastAsia="zh-CN"/>
        </w:rPr>
        <w:t>”（产业赋能类）</w:t>
      </w:r>
    </w:p>
    <w:p w14:paraId="17476179">
      <w:pPr>
        <w:keepNext w:val="0"/>
        <w:keepLines w:val="0"/>
        <w:pageBreakBefore w:val="0"/>
        <w:widowControl/>
        <w:numPr>
          <w:ilvl w:val="0"/>
          <w:numId w:val="22"/>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简述</w:t>
      </w:r>
    </w:p>
    <w:p w14:paraId="3F49A933">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农林植保“统防统治”场景是指在农业耕作区域和林业管护区域，通过系统化部署低空载运装备及配套智能管控平台，整合农业农村、林业草原、气象、自然资源、生态环境、应急等部门的植保服务需求，对区域内的施肥播撒、病虫害防治、林地巡护、生态监测等作业进行集约化调度与数据融合，实现对农林生态系统的实时、精准、高效管护。</w:t>
      </w:r>
    </w:p>
    <w:p w14:paraId="2C343D81">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该场景的核心价值在于将传统依赖人工施药、地面巡护的“粗放式”农林植保模式，升级为“空天地一体化”的精准、智能植保新模式， 旨在解决农林生产中长期存在的“防治效率低、用药不规范、监管难度大、应急响应慢”的痛点。通过无人机规模化、标准化作业，实现病虫害防治从“人工分散施药”向“智能统防统治”转变， 林场管护从“人工徒步巡护”向“空中智能巡检”转变，最终实现农林生产效率的跨越式提升、农药使用量的显著降低、生态环境的有效保护以及粮食安全与森林资源的科学保护。</w:t>
      </w:r>
    </w:p>
    <w:p w14:paraId="3EFA0C93">
      <w:pPr>
        <w:keepNext w:val="0"/>
        <w:keepLines w:val="0"/>
        <w:pageBreakBefore w:val="0"/>
        <w:widowControl/>
        <w:numPr>
          <w:ilvl w:val="0"/>
          <w:numId w:val="22"/>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典型案例</w:t>
      </w:r>
    </w:p>
    <w:p w14:paraId="4C0D3FB0">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济南市构建飞防智慧监管“一平台五统一”新模式。济南市农业农村局创新建立济南市飞防智慧监管平台，集成地理信息系统、全球定位系统、大数据分析等先进技术，构建“一平台统管、五统一协同”的集约化农业统防统治新模式，为低空经济赋能农业现代化提供“济南方案”。平台通过统一调度飞机、统一用药标准、统一作业流程、统一质效评估、统一资金拨付五大核心功能，实现全市农作物病虫害防治工作的全方位、可视化管理。目前，平台已整合济南市农作物病虫害防治协会 55 家会员单位 932 架无人机资源，覆盖小麦“一喷三防”、玉米“一喷多促”等关键应用场景。</w:t>
      </w:r>
    </w:p>
    <w:p w14:paraId="42776410">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自运行以来，2024 年完成小麦防治作业 343.36 万亩、玉米防治 144.68 万亩，综合防治效果达 85%以上；2025 年已完成小麦防治 340 万亩全覆盖，节省招标费用 70 万元，降低用药成本 0.5-1.1 元/亩，整个作业期间实现零安全事故、零投诉，废弃包装回收率 100%，群众满意度 100%。该模式有效破解了无人机资源分散、作业标准不一、资金拨付滞后等痛点，推动济南市粮食生产连续 6 年实现“三增”，为农业领域低空经济规模化应用探索出可复制推广的实践路径。</w:t>
      </w:r>
    </w:p>
    <w:p w14:paraId="3421E2AB">
      <w:pPr>
        <w:keepNext w:val="0"/>
        <w:keepLines w:val="0"/>
        <w:pageBreakBefore w:val="0"/>
        <w:widowControl/>
        <w:numPr>
          <w:ilvl w:val="0"/>
          <w:numId w:val="22"/>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Theme="majorEastAsia" w:hAnsiTheme="majorEastAsia" w:eastAsiaTheme="majorEastAsia" w:cstheme="majorEastAsia"/>
          <w:i w:val="0"/>
          <w:iCs w:val="0"/>
          <w:caps w:val="0"/>
          <w:spacing w:val="0"/>
          <w:sz w:val="24"/>
          <w:szCs w:val="24"/>
          <w:shd w:val="clear" w:fill="FFFFFF"/>
          <w:lang w:val="en-US" w:eastAsia="zh-CN"/>
        </w:rPr>
      </w:pPr>
      <w:r>
        <w:rPr>
          <w:rFonts w:hint="eastAsia" w:asciiTheme="majorEastAsia" w:hAnsiTheme="majorEastAsia" w:eastAsiaTheme="majorEastAsia" w:cstheme="majorEastAsia"/>
          <w:i w:val="0"/>
          <w:iCs w:val="0"/>
          <w:caps w:val="0"/>
          <w:spacing w:val="0"/>
          <w:sz w:val="24"/>
          <w:szCs w:val="24"/>
          <w:shd w:val="clear" w:fill="FFFFFF"/>
          <w:lang w:val="en-US" w:eastAsia="zh-CN"/>
        </w:rPr>
        <w:t>相关政策法规（D4）</w:t>
      </w:r>
    </w:p>
    <w:p w14:paraId="11A50ABA">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国家和地方政府构建了覆盖农林双场景的政策支撑体系。国家层面，农业农村部出台《关于大力发展智慧农业的指导意见》， 强调建立健全“天空地”一体化监测体系，加大对智慧农业发展的政策支持和推广力度。 2025 年 10 月国家发展改革委等六部门联合印发《关于加快建设现代化国有林场的意见》， 明确“加快推动无人机在国有林场的普及应用”，为林场场景发展提供直接政策依据。地方政府层面，江苏省农业农村厅、财政厅联合制定《江苏省农用无人驾驶航空器购置补贴实施方案》(苏农机〔2025〕 1 号)；四川省农业农村厅 2025 年 4 月发布《关于加快农业领域低空经济发展的通知》，提出到 2027 年全省农用无人机保有量达 15000 台以上，打造“农用无人机+”5 类应用场景(植保、施肥、播种、农林产品吊运、农林草牧监测)。</w:t>
      </w:r>
    </w:p>
    <w:p w14:paraId="4A539C0E">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无人机吊运（产业赋能类）</w:t>
      </w:r>
    </w:p>
    <w:p w14:paraId="4340AB59">
      <w:pPr>
        <w:keepNext w:val="0"/>
        <w:keepLines w:val="0"/>
        <w:pageBreakBefore w:val="0"/>
        <w:widowControl/>
        <w:numPr>
          <w:ilvl w:val="0"/>
          <w:numId w:val="23"/>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简述</w:t>
      </w:r>
    </w:p>
    <w:p w14:paraId="09752DFE">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无人机吊运场景是指利用大载重无人机搭载专用吊挂作业装备，实现对各类物资、设备的空中运输与精准投放。该场景突破了传统地面运输在复杂地形、特殊环境下的局限性，构建起全新的“三维物流”解决方案，广泛应用于农林产品吊运、电力基建、通信施工、应急救援、建筑安装等多个领域。</w:t>
      </w:r>
    </w:p>
    <w:p w14:paraId="2755FB68">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该场景的核心价值在于将传统依赖人力、机械的平面运输模式升级为立体化、精准化、智能化的空中吊运新范式，有效解决了特殊工况下“运不了、运不快、运不起”的痛点。通过无人机的精准飞行控制与智能吊挂系统，实现了物资运输的“点对点”直达，大幅提升了作业效率，降低了人力成本与安全风险，在特定领域展现出不可替代的技术优势。</w:t>
      </w:r>
    </w:p>
    <w:p w14:paraId="38754D50">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该场景实践案例遍布多个行业：在电力基建领域，河南、重庆、深圳等地已成功应用重载无人机吊运塔材，解决了山区运输效率低、生态破坏大的问题。在交通工程勘察中，福建采用无人机吊运钻机设备，效率提升80%以上。在海洋渔业领域，浙江温岭试点无人机将渔获从锚地吊运至码头，将转运时长从小时级压缩至分钟级。在特色农业方面，广东惠州使用无人机吊运荔枝，破解了山地果园运输难题。</w:t>
      </w:r>
    </w:p>
    <w:p w14:paraId="5CA37753">
      <w:pPr>
        <w:keepNext w:val="0"/>
        <w:keepLines w:val="0"/>
        <w:pageBreakBefore w:val="0"/>
        <w:widowControl/>
        <w:numPr>
          <w:ilvl w:val="0"/>
          <w:numId w:val="23"/>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典型案例</w:t>
      </w:r>
    </w:p>
    <w:p w14:paraId="0CC2979C">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福建漳州市平和县无人机破解蜜柚运输难题。面对山地果园“采摘后运输难”、用工成本高等突出问题，平和县正式引入无人机技术破解山地蜜柚运输难题，无人机吊运技术实现三大突破： 一是运输成本显著降低，每斤蜜柚运输费用从 0.12 元降至 0.08 元；二是作业效率大幅提升，单台无人机日均作业量相当于 30 名挑工；三是安全性得到保障，通过 AR 辅助系统实现复杂地形的精准作业。据悉，大疆 T100 等主流农用无人机，单日吊运量可达 15-20 吨，效率是人工的 30 倍以上，亩均成本降低约 250 元，且无人机有防震算法和稳定性控制，柚子几乎不会碰伤，人工挑担做不到。</w:t>
      </w:r>
    </w:p>
    <w:p w14:paraId="494F38CF">
      <w:pPr>
        <w:keepNext w:val="0"/>
        <w:keepLines w:val="0"/>
        <w:pageBreakBefore w:val="0"/>
        <w:widowControl/>
        <w:numPr>
          <w:ilvl w:val="0"/>
          <w:numId w:val="23"/>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相关政策法规</w:t>
      </w:r>
      <w:r>
        <w:rPr>
          <w:rFonts w:hint="eastAsia" w:asciiTheme="majorEastAsia" w:hAnsiTheme="majorEastAsia" w:eastAsiaTheme="majorEastAsia" w:cstheme="majorEastAsia"/>
          <w:i w:val="0"/>
          <w:iCs w:val="0"/>
          <w:caps w:val="0"/>
          <w:spacing w:val="0"/>
          <w:sz w:val="24"/>
          <w:szCs w:val="24"/>
          <w:shd w:val="clear" w:fill="FFFFFF"/>
          <w:lang w:val="en-US" w:eastAsia="zh-CN"/>
        </w:rPr>
        <w:t>（D4）</w:t>
      </w:r>
    </w:p>
    <w:p w14:paraId="03903F59">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各地政府纷纷出台相应支持政策，如《四川省农业农村厅关于加快农业领域低空经济发展的通知》 （川农发〔2025〕11 号）提出， “打造农用无人机大载重吊运示范应用场景。在农机无法通过机耕道进出的坡耕地、高台地和背湾死角等区域，通过大载重农用无人机吊运轻简型农机上山、农产品下山等，开展低空飞行农业装备集成配套和中试熟化，促进新技术、新装备转化应用。”</w:t>
      </w:r>
    </w:p>
    <w:p w14:paraId="4E8F0C4C">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无人机城市物流配送（民生服务类）</w:t>
      </w:r>
    </w:p>
    <w:p w14:paraId="03371B0D">
      <w:pPr>
        <w:keepNext w:val="0"/>
        <w:keepLines w:val="0"/>
        <w:pageBreakBefore w:val="0"/>
        <w:widowControl/>
        <w:numPr>
          <w:ilvl w:val="0"/>
          <w:numId w:val="24"/>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简述</w:t>
      </w:r>
    </w:p>
    <w:p w14:paraId="56A0E246">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无人机城市物流配送是指利用中小型无人机在城市低空空域内执行包裹、文件、医疗急救物资及零售商品等货物的末端配送与区域快运服务。该场景通过构建城市低空物流网络，整合无人机运力、自动化机场及智能调度系统，实现货物从配送站到终端用户或站点之间的快速、精准、自动化转运，是智慧物流体系在城市维度的重要延伸与创新。</w:t>
      </w:r>
    </w:p>
    <w:p w14:paraId="7805F7C7">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核心价值在于有效破解城市传统地面物流面临的交通拥堵、配送效率瓶颈、人力成本攀升及特殊场景覆盖难等痛点，通过点对点低空飞行，大幅压缩配送时长，提升物流体系的韧性、响应速度与运营效率，为即时零售、医疗应急、同城快递等业务模式创造新的增长空间。</w:t>
      </w:r>
    </w:p>
    <w:p w14:paraId="136F6D82">
      <w:pPr>
        <w:keepNext w:val="0"/>
        <w:keepLines w:val="0"/>
        <w:pageBreakBefore w:val="0"/>
        <w:widowControl/>
        <w:numPr>
          <w:ilvl w:val="0"/>
          <w:numId w:val="24"/>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典型案例</w:t>
      </w:r>
    </w:p>
    <w:p w14:paraId="7B853544">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美团深圳城市无人机配送网络。美团自 2021 年起在深圳市大规模探索无人机即时配送业务，逐步构建起覆盖多个行政区域的城市低空物流网络。该网络采用自主研发的 FP400 系列无人机及自动化机场，与线下外卖商户及骑手形成协同。用户下单后， 货物由商户装载至无人机，经由规划航路自动飞往目的地附近的自动化机场，再由骑手完成“最后一米”交付或由用户自提。截至 2025 年末，该网络在深圳的累计订单量已突破 25 万单，平均配送时长约 12 分钟，验证了无人机在高温、降雨等复杂天气下的稳定运行能力，为城市即时物流提供了高效的空中解决方案。</w:t>
      </w:r>
    </w:p>
    <w:p w14:paraId="293D22D8">
      <w:pPr>
        <w:keepNext w:val="0"/>
        <w:keepLines w:val="0"/>
        <w:pageBreakBefore w:val="0"/>
        <w:widowControl/>
        <w:numPr>
          <w:ilvl w:val="0"/>
          <w:numId w:val="24"/>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Theme="majorEastAsia" w:hAnsiTheme="majorEastAsia" w:eastAsiaTheme="majorEastAsia" w:cstheme="majorEastAsia"/>
          <w:i w:val="0"/>
          <w:iCs w:val="0"/>
          <w:caps w:val="0"/>
          <w:spacing w:val="0"/>
          <w:sz w:val="24"/>
          <w:szCs w:val="24"/>
          <w:shd w:val="clear" w:fill="FFFFFF"/>
          <w:lang w:val="en-US" w:eastAsia="zh-CN"/>
        </w:rPr>
      </w:pPr>
      <w:r>
        <w:rPr>
          <w:rFonts w:hint="eastAsia" w:asciiTheme="majorEastAsia" w:hAnsiTheme="majorEastAsia" w:eastAsiaTheme="majorEastAsia" w:cstheme="majorEastAsia"/>
          <w:i w:val="0"/>
          <w:iCs w:val="0"/>
          <w:caps w:val="0"/>
          <w:spacing w:val="0"/>
          <w:sz w:val="24"/>
          <w:szCs w:val="24"/>
          <w:shd w:val="clear" w:fill="FFFFFF"/>
          <w:lang w:val="en-US" w:eastAsia="zh-CN"/>
        </w:rPr>
        <w:t>相关政策法规（D4）</w:t>
      </w:r>
    </w:p>
    <w:p w14:paraId="3E55A1D5">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国家与地方层面持续出台政策，鼓励并规范无人机物流配送发展。中国民航局先后发布《无人机物流配送运行规范》等系列文件，为商业运行提供法规依据。 2024 年国家发展改革委等部门联合印发的《关于打造低空经济新业态的行动方案》中，明确要求“拓展无人机在城市物流配送等领域的商业化应用”。上海、广州、重庆等多个城市也纷纷将无人机物流纳入城市综合交通体系规划与智慧物流基础设施建设方案，并开展相关试点示范，为产业发展创造了有利的政策环境。</w:t>
      </w:r>
    </w:p>
    <w:p w14:paraId="041FC514">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通用航空短途运输（民生服务类）</w:t>
      </w:r>
    </w:p>
    <w:p w14:paraId="1F0BE4DC">
      <w:pPr>
        <w:keepNext w:val="0"/>
        <w:keepLines w:val="0"/>
        <w:pageBreakBefore w:val="0"/>
        <w:widowControl/>
        <w:numPr>
          <w:ilvl w:val="0"/>
          <w:numId w:val="25"/>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简述</w:t>
      </w:r>
    </w:p>
    <w:p w14:paraId="2946787F">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通用航空短途运输是指利用 30 座以下航空器开展短距离定期载客运输的飞行活动。其中涉及跨省、自治区、直辖市飞行距离不超过 500 公里，涉及跨省且跨海飞行距离不超过 800 公里，省内飞行的距离不限。</w:t>
      </w:r>
    </w:p>
    <w:p w14:paraId="20879254">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通用航空短途运输的本质是利用三维空域资源，为地面交通提供补充和替代，从而构建一个更高效、更立体、更智能的现代化综合交通运输体系。其核心价值在于极大地提升了特定区域的交通便利性。对于偏远山区、岛屿和地广人稀的区域，传统的公路、铁路建设成本高昂且周期长，难以实现全面覆盖。利用空中走廊连接这些被地理条件分割的区域，能够将原本数小时甚至数天的陆路行程缩短至几十分钟。而在城市，特别是人口密集、交通拥堵问题突出的大都市和城市群，通用航空短途运输为缓解地面交通压力提供了全新的解决方案，不仅可以分流地面交通流量，还能通过构建“空地一体化”的立体交通体系，优化整个城市的交通资源配置，提升整体运行效率。</w:t>
      </w:r>
    </w:p>
    <w:p w14:paraId="0B0A3C12">
      <w:pPr>
        <w:keepNext w:val="0"/>
        <w:keepLines w:val="0"/>
        <w:pageBreakBefore w:val="0"/>
        <w:widowControl/>
        <w:numPr>
          <w:ilvl w:val="0"/>
          <w:numId w:val="25"/>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典型案例</w:t>
      </w:r>
    </w:p>
    <w:p w14:paraId="2C1ACCA9">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长三角首条城际低空公交航线。 2025 年 5 月，长三角首条城际低空公交航线（平湖—海宁—越城—柯桥）投入运营。该航线由上海新空直升机有限公司提供每日定班飞行服务，选用贝尔 505 直升机，单程飞行时间 18 分钟，采用“高频次、小单元”运输模式，推出阶梯式票价体系，单程最低 398 元/人，为区域交通一体化提供新方案。该航线同时提供拼机服务，实现资源共享。航线的运行标志着长三角区域交通一体化发展进入“空地协同”新阶段，为沿线居民带来更加灵活、高效的出行体验。</w:t>
      </w:r>
    </w:p>
    <w:p w14:paraId="32375B6F">
      <w:pPr>
        <w:keepNext w:val="0"/>
        <w:keepLines w:val="0"/>
        <w:pageBreakBefore w:val="0"/>
        <w:widowControl/>
        <w:numPr>
          <w:ilvl w:val="0"/>
          <w:numId w:val="25"/>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Theme="majorEastAsia" w:hAnsiTheme="majorEastAsia" w:eastAsiaTheme="majorEastAsia" w:cstheme="majorEastAsia"/>
          <w:i w:val="0"/>
          <w:iCs w:val="0"/>
          <w:caps w:val="0"/>
          <w:spacing w:val="0"/>
          <w:sz w:val="24"/>
          <w:szCs w:val="24"/>
          <w:shd w:val="clear" w:fill="FFFFFF"/>
          <w:lang w:val="en-US" w:eastAsia="zh-CN"/>
        </w:rPr>
      </w:pPr>
      <w:r>
        <w:rPr>
          <w:rFonts w:hint="eastAsia" w:asciiTheme="majorEastAsia" w:hAnsiTheme="majorEastAsia" w:eastAsiaTheme="majorEastAsia" w:cstheme="majorEastAsia"/>
          <w:i w:val="0"/>
          <w:iCs w:val="0"/>
          <w:caps w:val="0"/>
          <w:spacing w:val="0"/>
          <w:sz w:val="24"/>
          <w:szCs w:val="24"/>
          <w:shd w:val="clear" w:fill="FFFFFF"/>
          <w:lang w:val="en-US" w:eastAsia="zh-CN"/>
        </w:rPr>
        <w:t>相关政策法规（D4）</w:t>
      </w:r>
    </w:p>
    <w:p w14:paraId="3697060F">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国家和地方政府高度重视短途运输发展。《通用航空短途运输运营服务管理办法》（ 民航规〔2023〕 50 号）明确了通用航空短途运输在安全、市场和服务等方面管理要求。同时对标公共航空运输管理要求，兼顾通航短途运输运营实际和特点，着力优化服务衔接，打造“干支通，全网联”航空运输网络。提供短途运输飞行产品的运营公司应当取得《小型商业运输和空中游览运营人运行合格审定规则》（ CCAR-135R3）运营资质。2025 年 3 月，由中国民用航空局向亿航智能 EH216-S 的运营航司颁发了全球第一批载人类民用无人驾驶航空器运营合格证，开启了 eVTOL 的“载人时代”。</w:t>
      </w:r>
    </w:p>
    <w:p w14:paraId="4C27EBE8">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城市综合治理“一网统飞”（公共服务类）</w:t>
      </w:r>
    </w:p>
    <w:p w14:paraId="286A092A">
      <w:pPr>
        <w:keepNext w:val="0"/>
        <w:keepLines w:val="0"/>
        <w:pageBreakBefore w:val="0"/>
        <w:widowControl/>
        <w:numPr>
          <w:ilvl w:val="0"/>
          <w:numId w:val="26"/>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简述</w:t>
      </w:r>
    </w:p>
    <w:p w14:paraId="25482B99">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城市综合治理“一网统飞”场景是指通过在城市范围内系统化、 网格化地部署低空载运装备（主要是无人机机巢）和多样化的作业装备，依托先进的低空智联网和大数据分析平台，整合公安、自然资源、生态环境、林业、水利、应急、</w:t>
      </w:r>
    </w:p>
    <w:p w14:paraId="56463087">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住建、交通、农业农村等部门的低空飞行服务需求，对城市范围内的政务无人机进行集约化调度、数据融合与任务协同，实现对城市运行状态的实时、立体、全域感知与智能管理。</w:t>
      </w:r>
    </w:p>
    <w:p w14:paraId="6BC91F32">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该场景的核心价值在于将传统依赖人力、地面监控的二维城市治理模式升级为“空天地一体化”的三维、动态、精细化治理新范式，旨在解决城市治理中长期存在的“看不见、管不到、响应慢”的痛点，通过“空中网格员”的常态化、自动化巡航，大幅提升城市管理的覆盖广度、响应速度和决策精度，最终实现城市治理效率的革命性提升、运营成本的显著降低以及公共安全与服务水平的全面优化。</w:t>
      </w:r>
    </w:p>
    <w:p w14:paraId="26AABD07">
      <w:pPr>
        <w:keepNext w:val="0"/>
        <w:keepLines w:val="0"/>
        <w:pageBreakBefore w:val="0"/>
        <w:widowControl/>
        <w:numPr>
          <w:ilvl w:val="0"/>
          <w:numId w:val="26"/>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典型案例</w:t>
      </w:r>
    </w:p>
    <w:p w14:paraId="1169DC0C">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浙江移动助建低空政务“一网统飞”平台。浙江移动与湖州市交通运输局联合打造低空政务“一网统飞”平台，将 5G-A、AI 大模型、云计算等先进技术与城市治理需求深度融合，构建“一网统飞、一飞多用”的集约化政务服 务新模式，为城市低空政务管理提供“移动方案”。目前， “ 一网统飞”管理平台已接入湖州交通、城市治理、消防、应急等领域，覆盖水路、港口、公路、在建工程、城市治理、消防、应急等 9 大类应用场景 28 项落地细分应用。自运行以来，平台累计执行巡检任务 1260 架次，飞行 228.53 小时，覆盖里程 6162 公里，生成有效影像数据 58740 份，发现并处置各类隐患 348 起，闭环处理工单 105 张，实现从“单点试用”到“体系化运营”的跨越，为城市治理注入智慧动能。</w:t>
      </w:r>
    </w:p>
    <w:p w14:paraId="506C30D2">
      <w:pPr>
        <w:keepNext w:val="0"/>
        <w:keepLines w:val="0"/>
        <w:pageBreakBefore w:val="0"/>
        <w:widowControl/>
        <w:numPr>
          <w:ilvl w:val="0"/>
          <w:numId w:val="26"/>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Theme="majorEastAsia" w:hAnsiTheme="majorEastAsia" w:eastAsiaTheme="majorEastAsia" w:cstheme="majorEastAsia"/>
          <w:i w:val="0"/>
          <w:iCs w:val="0"/>
          <w:caps w:val="0"/>
          <w:spacing w:val="0"/>
          <w:sz w:val="24"/>
          <w:szCs w:val="24"/>
          <w:shd w:val="clear" w:fill="FFFFFF"/>
          <w:lang w:val="en-US" w:eastAsia="zh-CN"/>
        </w:rPr>
      </w:pPr>
      <w:r>
        <w:rPr>
          <w:rFonts w:hint="eastAsia" w:asciiTheme="majorEastAsia" w:hAnsiTheme="majorEastAsia" w:eastAsiaTheme="majorEastAsia" w:cstheme="majorEastAsia"/>
          <w:i w:val="0"/>
          <w:iCs w:val="0"/>
          <w:caps w:val="0"/>
          <w:spacing w:val="0"/>
          <w:sz w:val="24"/>
          <w:szCs w:val="24"/>
          <w:shd w:val="clear" w:fill="FFFFFF"/>
          <w:lang w:val="en-US" w:eastAsia="zh-CN"/>
        </w:rPr>
        <w:t>相关政策法规（D4）</w:t>
      </w:r>
    </w:p>
    <w:p w14:paraId="639D269F">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国家和地方政府高度重视低空经济在城市治理中的应用。国家层面，2025 年中央城市工作会议强调要“着力建设便捷高效的智慧城市”；2024 年 5 月 20 日，国家发展改革委、国家数据局、财政部、自然资源部联合发布《关于深化智慧城市发展推进城市全域数字化转型的指导意见》（发改数据〔2024〕660 号）， 首次明确“探索发展数字低空基础设施”，为“一网统飞”提供了直接政策依据。地方层面，各地政府也纷纷拓展该场景，并在标准制定方面做了积极探索，例如，广东省人民政府办公厅于 2025 年 10月 13 日印发《广东省支持低空经济高质量发展若干措施》，明确提出“鼓励各级政府部门扩大低空经济公共服务应用覆盖，重点支持在应急救援、医疗救护、国土测绘、生态治理、城市管理、农业生产等公共服务领域采用低空设备、技术和服务”；山东省地方标准《低空智联一张网技术规范》（ SZSD02 0012—2025）于 2025 年 10 月发布，作为山东省首个低空政务飞行技术规范，对该场景发展具有促进意义。</w:t>
      </w:r>
    </w:p>
    <w:p w14:paraId="387DDF33">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通用航空应急救援（公共服务类）</w:t>
      </w:r>
    </w:p>
    <w:p w14:paraId="5D8F6AA4">
      <w:pPr>
        <w:keepNext w:val="0"/>
        <w:keepLines w:val="0"/>
        <w:pageBreakBefore w:val="0"/>
        <w:widowControl/>
        <w:numPr>
          <w:ilvl w:val="0"/>
          <w:numId w:val="27"/>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简述</w:t>
      </w:r>
    </w:p>
    <w:p w14:paraId="000BC7DC">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通用航空应急救援是指除公共运输航空器以及警用航空器之外，综合利用直升机、固定翼、eVTOL 及多类型无人机实施应急救援的飞行作业。通常根据事件自身类型，把通用航空应急救援类型分为四类： 自然灾害救援、事故灾害救援、公共卫生救援、公共安全事件救援。</w:t>
      </w:r>
    </w:p>
    <w:p w14:paraId="7D6A95F9">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通用航空应急救援作为现代化救援体系的关键组成，其核心价值集中体现在高效性、广域性与技术集成性三大方面。凭借快速响应能力，航空救援能够突破地理限制，在第一时间抵达陆地、海洋乃至复杂边远地区，极大提升了生命救援的时效性，为遇险人员争取宝贵生机。同时，航空器具备覆盖范围广、机动性强的特点，能够有效执行传统交通方式难以到达区域的搜救任务，拓展了救援行动的边界。航空救援系统集成了先进导航定位、通信探测与任务吊舱等高技术装备，显著提升了搜索精度与作业效率，实现在单位时间内救助更多人员，并在多样化灾害场景中发挥不可替代的作用。因此，通用航空应急救援不仅代表了一种高技术含量的救援方式，更是国家综合应急能力与社会民生保障水平的重要标志。</w:t>
      </w:r>
    </w:p>
    <w:p w14:paraId="5CEA32B8">
      <w:pPr>
        <w:keepNext w:val="0"/>
        <w:keepLines w:val="0"/>
        <w:pageBreakBefore w:val="0"/>
        <w:widowControl/>
        <w:numPr>
          <w:ilvl w:val="0"/>
          <w:numId w:val="27"/>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典型案例</w:t>
      </w:r>
    </w:p>
    <w:p w14:paraId="004B063F">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应急指挥专网空中通信平台。应急指挥专网覆盖解决方案，创新性地整合无人机、有人机、飞艇等多元化低空航空器作为空中通信平台，通过搭载 PDT 集群、宽带自组网设备以及机载卫星站等专用载荷，构建起一个灵活、机动、高韧性的空天地一体化应急通信网络。这一能力的实战价值在 2023 年 12 月甘肃积石山县地震救援中得到充分验证，一架固定翼无人机搭载 PDT 窄带通信与 Mesh 宽带自组网基站，从远在 600 多公里外的四川自贡机场起飞，长途奔袭精准飞抵救援现场。其机载基站成功开机后，即刻为后方指挥机构与前方救援人员之间搭建起一条无缝的指挥通道，实现了清晰可靠的宽窄带音视频实时互通，使指挥员能够精准掌握现场态势、远程调度救援资源，极大地提升了指挥效率和救援行动的精准性。这一成功案例标志着低空应急通信已从概念验证走向成熟应用，展现出在“断路、断网、断电”的极端条件下快速恢复通信、赋能指挥调度的巨大潜力，为构建更加坚韧的国家应急指挥体系提供了关键的技术支撑和实战范式。</w:t>
      </w:r>
    </w:p>
    <w:p w14:paraId="4D18A85F">
      <w:pPr>
        <w:keepNext w:val="0"/>
        <w:keepLines w:val="0"/>
        <w:pageBreakBefore w:val="0"/>
        <w:widowControl/>
        <w:numPr>
          <w:ilvl w:val="0"/>
          <w:numId w:val="27"/>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Theme="majorEastAsia" w:hAnsiTheme="majorEastAsia" w:eastAsiaTheme="majorEastAsia" w:cstheme="majorEastAsia"/>
          <w:i w:val="0"/>
          <w:iCs w:val="0"/>
          <w:caps w:val="0"/>
          <w:spacing w:val="0"/>
          <w:sz w:val="24"/>
          <w:szCs w:val="24"/>
          <w:shd w:val="clear" w:fill="FFFFFF"/>
          <w:lang w:val="en-US" w:eastAsia="zh-CN"/>
        </w:rPr>
      </w:pPr>
      <w:r>
        <w:rPr>
          <w:rFonts w:hint="eastAsia" w:asciiTheme="majorEastAsia" w:hAnsiTheme="majorEastAsia" w:eastAsiaTheme="majorEastAsia" w:cstheme="majorEastAsia"/>
          <w:i w:val="0"/>
          <w:iCs w:val="0"/>
          <w:caps w:val="0"/>
          <w:spacing w:val="0"/>
          <w:sz w:val="24"/>
          <w:szCs w:val="24"/>
          <w:shd w:val="clear" w:fill="FFFFFF"/>
          <w:lang w:val="en-US" w:eastAsia="zh-CN"/>
        </w:rPr>
        <w:t>相关政策法规（D4）</w:t>
      </w:r>
    </w:p>
    <w:p w14:paraId="20C2DECE">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《国家综合防灾减灾规划（ 2016－ 2020年）》《“十四五”国家应急体系规划》等顶层设计文件，将航空应急救援纳入国家应急管理体系建设的重要内容，明确了发展目标和方向，从宏观层面推动了体系的逐步完善。应急管理部于 2019 年 9 月印发了《应急救援航空体系建设方案》， 明确了航空应急救援 5 种能力和主要担负 8 项重点任务，提出构建应急救援指挥平台、完善应急救援航空网络、建设应急救援航空关键力量和完善应急救援航空保障条件等重大工程，使航空应急救援体系建设的内容更加具象化。 《通用航空装备创新应用实施方案（ 2024—2030）》提出，到 2027 年实现“无人化、电动化、智能化”通用航空装备在应急救援等领域实现商业应用；到 2030 年，形成万亿级通用航空产业规模； 《安全应急装备重点领域发展行动计划（ 2023—2025 年）》聚焦灭火型固定翼飞机、重载灭火无人机、救援直升机、应急通信及指挥无人机研发，推广无人机载通信装备、巡检设备等。民航局利用民航财政资金持续支持通用航空应急服务能力提升，支持保险机构积极开发航空应急、医疗救护等领域的保险新产品，鼓励公益组织提供资金拓展通用航空应急服务。2025 年 3 月 25 日，民航局航空器适航审定司发布关于征求民航行业标准《通用航空应急救援运营指南（征求意见稿）》提供了通用航空企业使用有人驾驶的通用航空器开展应急救援时需要具备的企业能力、安全运营能力、保障能力、其他能力等方面的建议。</w:t>
      </w:r>
    </w:p>
    <w:p w14:paraId="48B827C9">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空中游览（消费体验类）</w:t>
      </w:r>
    </w:p>
    <w:p w14:paraId="387967D5">
      <w:pPr>
        <w:keepNext w:val="0"/>
        <w:keepLines w:val="0"/>
        <w:pageBreakBefore w:val="0"/>
        <w:widowControl/>
        <w:numPr>
          <w:ilvl w:val="0"/>
          <w:numId w:val="28"/>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简述</w:t>
      </w:r>
    </w:p>
    <w:p w14:paraId="041C7AC9">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空中游览是指以轻型飞机、直升机、垂直起降飞行器等低空载运工具为载体，在城市地标空域、自然风景区、滨海沿线、历史文化遗产区域等特定适航空域内开展的观光游览服务。该场景通过系统化构建低空游览航线网络，整合飞行器资源、地面保障设施与数字化运营平台，为游客提供独特、沉浸式、高品质的空中观景体验，是“低空经济”与“文旅产业”深度融合的典型业态，也是推动区域旅游消费升级与航空文化普及的重要载体。</w:t>
      </w:r>
    </w:p>
    <w:p w14:paraId="0EC9ABD5">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该场景的核心价值在于突破传统地面游览的视觉与空间局限， 以立体化、全景化、动态化的视角重新展现城市风貌与自然景观的壮美，满足公众日益增长的高品质、个性化、体验式旅游消费需求。同时，该场景有效拓展了旅游产品的时空边界，显著提升了旅游资源的利用效率与品牌吸引力，并有力带动了周边消费与夜间经济发展，正逐步成为地方文旅产业提质增效的新增长极。</w:t>
      </w:r>
    </w:p>
    <w:p w14:paraId="4AC28EB7">
      <w:pPr>
        <w:keepNext w:val="0"/>
        <w:keepLines w:val="0"/>
        <w:pageBreakBefore w:val="0"/>
        <w:widowControl/>
        <w:numPr>
          <w:ilvl w:val="0"/>
          <w:numId w:val="28"/>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典型案例</w:t>
      </w:r>
    </w:p>
    <w:p w14:paraId="3310A5B7">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2025 年 1 月 1 日，广东韶关，祥源通航在丹霞山景区举办载人无人机 eVTOL 试航首飞仪式，开启低空旅游的新篇章。在首飞仪式上，祥源通航与韶关市文化广电旅游体育局就资源共享、品牌共建、产品共创共赢达成战略合作，政企携手推动韶关低空经济展翅高飞；同时，祥源文旅与浙江数智交院签署战略合作协议，共同探索科技引领、产业协同、生态共融的特色发展模式，通过“数智赋能”跑出文旅融合高质量发展“加速度”。此次试航的 EH216-S 航空器由亿航智能自主研发，本次试飞的载人无人机不仅是全球首个且目前唯一集齐型号合格证、标准适航证和生产许可证的载人电动垂直起降航空器，更是低空旅游领域的一次革命性突破。本次首航成功标志着丹霞山正式成为全国首个载人无人机“低空经济”赛道的山岳型景区。预计未来，将会有更多的景区开展 eVTOL 商业化运营，为开展低空旅游提供更加高效率、低成本的航空器，推动低空旅游项目蓬勃发展。</w:t>
      </w:r>
    </w:p>
    <w:p w14:paraId="52700EAD">
      <w:pPr>
        <w:keepNext w:val="0"/>
        <w:keepLines w:val="0"/>
        <w:pageBreakBefore w:val="0"/>
        <w:widowControl/>
        <w:numPr>
          <w:ilvl w:val="0"/>
          <w:numId w:val="28"/>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Theme="majorEastAsia" w:hAnsiTheme="majorEastAsia" w:eastAsiaTheme="majorEastAsia" w:cstheme="majorEastAsia"/>
          <w:i w:val="0"/>
          <w:iCs w:val="0"/>
          <w:caps w:val="0"/>
          <w:spacing w:val="0"/>
          <w:sz w:val="24"/>
          <w:szCs w:val="24"/>
          <w:shd w:val="clear" w:fill="FFFFFF"/>
          <w:lang w:val="en-US" w:eastAsia="zh-CN"/>
        </w:rPr>
      </w:pPr>
      <w:r>
        <w:rPr>
          <w:rFonts w:hint="eastAsia" w:asciiTheme="majorEastAsia" w:hAnsiTheme="majorEastAsia" w:eastAsiaTheme="majorEastAsia" w:cstheme="majorEastAsia"/>
          <w:i w:val="0"/>
          <w:iCs w:val="0"/>
          <w:caps w:val="0"/>
          <w:spacing w:val="0"/>
          <w:sz w:val="24"/>
          <w:szCs w:val="24"/>
          <w:shd w:val="clear" w:fill="FFFFFF"/>
          <w:lang w:val="en-US" w:eastAsia="zh-CN"/>
        </w:rPr>
        <w:t>相关政策法规（D4）</w:t>
      </w:r>
    </w:p>
    <w:p w14:paraId="3595063F">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国家和地方政府层面持续释放政策红利，大力支持低空旅游发展。2024 年，工信部、科技部、财政部、民航局联合 印发 的《 通用航 空装备创新 应用 实施方 案（2024—2030 年）》中明确要求“创新发展低空旅游，推动通用航空与旅游融合发展”。各地也积极出台配套措施，海南、四川等地都明确提出支持低空旅游发展，并为空中游览、航线划设、安全标准、市场准入提供明确的指导与支持， 营造良好的发展环境。</w:t>
      </w:r>
    </w:p>
    <w:p w14:paraId="1632371A">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低空无人机集群表演（消费体验类）</w:t>
      </w:r>
    </w:p>
    <w:p w14:paraId="04E16C7F">
      <w:pPr>
        <w:keepNext w:val="0"/>
        <w:keepLines w:val="0"/>
        <w:pageBreakBefore w:val="0"/>
        <w:widowControl/>
        <w:numPr>
          <w:ilvl w:val="0"/>
          <w:numId w:val="29"/>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简述</w:t>
      </w:r>
    </w:p>
    <w:p w14:paraId="7CAB37EF">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低空无人机集群表演是指通过集中控制数百至数千架搭载 LED 灯光的无人机，在夜空中构成复杂、动态的三维光态图案与文字，并配以音乐，为大型公共活动提供视觉震撼的空中媒体展示服务。该场景深度融合了航空飞行控制、通信导航、灯光艺术与计算机编程技术，是低空经济在文化创意、城市营销与夜间消费领域的高度集成化应用，开创了“空中视觉艺术”的新形态。</w:t>
      </w:r>
    </w:p>
    <w:p w14:paraId="3F17308A">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该场景的核心价值在于其能够突破传统地面灯光秀或烟花表演的物理局限， 以夜空为画布，实现极具想象力、灵动多变且环保安全的动态艺术创作。它不仅为重大节庆、商业活动、城市宣传提供独一无二的视觉盛宴，极大提升活动的吸引力和传播力， 同时也作为一种新兴的公共文化产品，丰富市民的夜间文化生活，有效拉动活动举办地的夜间消费与旅游人气，成为展现城市科技实力与创新形象的重要窗口。</w:t>
      </w:r>
    </w:p>
    <w:p w14:paraId="74EE2865">
      <w:pPr>
        <w:keepNext w:val="0"/>
        <w:keepLines w:val="0"/>
        <w:pageBreakBefore w:val="0"/>
        <w:widowControl/>
        <w:numPr>
          <w:ilvl w:val="0"/>
          <w:numId w:val="29"/>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典型案例</w:t>
      </w:r>
    </w:p>
    <w:p w14:paraId="3A17CB95">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重庆常态化无人机灯光秀打造消费新业态。</w:t>
      </w:r>
      <w:r>
        <w:rPr>
          <w:rFonts w:hint="eastAsia" w:ascii="Segoe UI" w:hAnsi="Segoe UI" w:eastAsia="宋体" w:cs="Segoe UI"/>
          <w:i w:val="0"/>
          <w:iCs w:val="0"/>
          <w:caps w:val="0"/>
          <w:spacing w:val="0"/>
          <w:sz w:val="24"/>
          <w:szCs w:val="24"/>
          <w:shd w:val="clear" w:fill="FFFFFF"/>
          <w:lang w:val="en-US" w:eastAsia="zh-CN"/>
        </w:rPr>
        <w:t>2025 年</w:t>
      </w:r>
      <w:r>
        <w:rPr>
          <w:rFonts w:hint="default" w:ascii="Segoe UI" w:hAnsi="Segoe UI" w:eastAsia="宋体" w:cs="Segoe UI"/>
          <w:i w:val="0"/>
          <w:iCs w:val="0"/>
          <w:caps w:val="0"/>
          <w:spacing w:val="0"/>
          <w:sz w:val="24"/>
          <w:szCs w:val="24"/>
          <w:shd w:val="clear" w:fill="FFFFFF"/>
          <w:lang w:val="en-US" w:eastAsia="zh-CN"/>
        </w:rPr>
        <w:t xml:space="preserve"> 4 月 19 日起，每周六和重要节假日夜晚，重庆举行 “魅力重庆”无人机灯光秀常态化展演。 “五一”假期，展演现场累计观看人数超过 120 万人次。无人机灯光秀已成为重庆一张闪亮的城市名片。无人机灯光秀常态化展演与夜经济消费联动，成为市民游客晚餐后的另一场盛宴。6 月开始，“重庆无人机表演餐厅”搜索量同比上涨 285%。在展演带动下，节假日期间观赏无人机灯光秀展演最佳区域之一的南滨路沿线重点餐饮企业平均满客率超 70%、重点酒店平均入住率超 80%。无人机灯光秀展演，进一步带火了重庆“山水颜值”特色夜间消费，成为具有山城辨识度的消费新场景。</w:t>
      </w:r>
    </w:p>
    <w:p w14:paraId="5782FD7B">
      <w:pPr>
        <w:keepNext w:val="0"/>
        <w:keepLines w:val="0"/>
        <w:pageBreakBefore w:val="0"/>
        <w:widowControl/>
        <w:numPr>
          <w:ilvl w:val="0"/>
          <w:numId w:val="29"/>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Theme="majorEastAsia" w:hAnsiTheme="majorEastAsia" w:eastAsiaTheme="majorEastAsia" w:cstheme="majorEastAsia"/>
          <w:i w:val="0"/>
          <w:iCs w:val="0"/>
          <w:caps w:val="0"/>
          <w:spacing w:val="0"/>
          <w:sz w:val="24"/>
          <w:szCs w:val="24"/>
          <w:shd w:val="clear" w:fill="FFFFFF"/>
          <w:lang w:val="en-US" w:eastAsia="zh-CN"/>
        </w:rPr>
      </w:pPr>
      <w:r>
        <w:rPr>
          <w:rFonts w:hint="eastAsia" w:asciiTheme="majorEastAsia" w:hAnsiTheme="majorEastAsia" w:eastAsiaTheme="majorEastAsia" w:cstheme="majorEastAsia"/>
          <w:i w:val="0"/>
          <w:iCs w:val="0"/>
          <w:caps w:val="0"/>
          <w:spacing w:val="0"/>
          <w:sz w:val="24"/>
          <w:szCs w:val="24"/>
          <w:shd w:val="clear" w:fill="FFFFFF"/>
          <w:lang w:val="en-US" w:eastAsia="zh-CN"/>
        </w:rPr>
        <w:t>相关政策法规（D3）</w:t>
      </w:r>
    </w:p>
    <w:p w14:paraId="3EF3A387">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该场景的发展与规范管理受到国家和地方层面的共同关注。其空域使用和飞行活动严格遵循相关管理规定，每次表演均需提前完成空域申请与飞行计划审批。在内容层面，表演图案与文字需符合《广告法》及相关文化宣传管理规定。部分重点城市，如北京、上海、深圳等，已针对大型活动无人机表演出台更为细化的安全管理规定与审批流程， 旨在确保活动安全与公共秩序的同时，鼓励这一新兴业态的健康发展。</w:t>
      </w:r>
    </w:p>
    <w:p w14:paraId="6F93FA9A">
      <w:pPr>
        <w:keepNext w:val="0"/>
        <w:keepLines w:val="0"/>
        <w:pageBreakBefore w:val="0"/>
        <w:widowControl/>
        <w:numPr>
          <w:ilvl w:val="0"/>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0"/>
        <w:rPr>
          <w:rFonts w:hint="default"/>
          <w:b/>
          <w:bCs/>
          <w:sz w:val="28"/>
          <w:szCs w:val="28"/>
          <w:lang w:val="en-US" w:eastAsia="zh-CN"/>
        </w:rPr>
      </w:pPr>
      <w:bookmarkStart w:id="19" w:name="_Toc18090"/>
      <w:r>
        <w:rPr>
          <w:rFonts w:hint="eastAsia"/>
          <w:b/>
          <w:bCs/>
          <w:sz w:val="28"/>
          <w:szCs w:val="28"/>
          <w:lang w:val="en-US" w:eastAsia="zh-CN"/>
        </w:rPr>
        <w:t>低空经济市场概况</w:t>
      </w:r>
      <w:bookmarkEnd w:id="19"/>
    </w:p>
    <w:p w14:paraId="1F37E5AC">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低空经济作为战略性新兴产业，正从概念蓝图加速走向体系化落地，展现出万亿级的市场潜力与强劲的增长动能。本章节将基于官方数据与行业报告，从市场规模、区域格局、核心驱动力及面临挑战四个维度，对当前中国低空经济的发展态势进行全景透视。</w:t>
      </w:r>
    </w:p>
    <w:p w14:paraId="5D18F060">
      <w:pPr>
        <w:keepNext w:val="0"/>
        <w:keepLines w:val="0"/>
        <w:pageBreakBefore w:val="0"/>
        <w:widowControl/>
        <w:numPr>
          <w:ilvl w:val="1"/>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1"/>
        <w:rPr>
          <w:rFonts w:hint="eastAsia"/>
          <w:b/>
          <w:bCs/>
          <w:sz w:val="24"/>
          <w:szCs w:val="24"/>
          <w:lang w:val="en-US" w:eastAsia="zh-CN"/>
        </w:rPr>
      </w:pPr>
      <w:bookmarkStart w:id="20" w:name="_Toc24046"/>
      <w:r>
        <w:rPr>
          <w:rFonts w:hint="eastAsia"/>
          <w:b/>
          <w:bCs/>
          <w:sz w:val="24"/>
          <w:szCs w:val="24"/>
          <w:lang w:val="en-US" w:eastAsia="zh-CN"/>
        </w:rPr>
        <w:t>中国低空经济整体市场</w:t>
      </w:r>
      <w:bookmarkEnd w:id="20"/>
    </w:p>
    <w:p w14:paraId="09BC785A">
      <w:pPr>
        <w:keepNext w:val="0"/>
        <w:keepLines w:val="0"/>
        <w:pageBreakBefore w:val="0"/>
        <w:widowControl/>
        <w:numPr>
          <w:ilvl w:val="2"/>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2"/>
        <w:rPr>
          <w:rFonts w:hint="default" w:ascii="Segoe UI" w:hAnsi="Segoe UI" w:eastAsia="Segoe UI" w:cs="Segoe UI"/>
          <w:b/>
          <w:bCs/>
          <w:i w:val="0"/>
          <w:iCs w:val="0"/>
          <w:caps w:val="0"/>
          <w:spacing w:val="0"/>
          <w:sz w:val="24"/>
          <w:szCs w:val="24"/>
          <w:shd w:val="clear" w:fill="FFFFFF"/>
          <w:lang w:val="en-US" w:eastAsia="zh-CN"/>
        </w:rPr>
      </w:pPr>
      <w:r>
        <w:rPr>
          <w:rFonts w:hint="eastAsia"/>
          <w:b/>
          <w:bCs/>
          <w:sz w:val="24"/>
          <w:szCs w:val="24"/>
          <w:lang w:val="en-US" w:eastAsia="zh-CN"/>
        </w:rPr>
        <w:t xml:space="preserve"> 市场规模</w:t>
      </w:r>
    </w:p>
    <w:p w14:paraId="42B02763">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中国低空经济市场规模正经历高速增长，产业生态日趋成熟。根据中国民航局预测，2025年中国低空经济市场规模将达到</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1.5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万亿元，到</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2035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年有望突破</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3.5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万亿元。这一预测与</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2025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中国航空产业大会的预计基本一致，该大会同样预计</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2025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年市场规模达</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1.5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万亿元，并进一步预测</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2030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年有望突破</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2</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万亿元。从增长轨迹看，赛迪顾问数据显示，市场规模已从</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2023</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年的</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5059.5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亿元增长至</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2024</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年的</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6702.5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亿元，展现出强劲的增长势头</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[37]</w:t>
      </w:r>
      <w:r>
        <w:rPr>
          <w:rFonts w:hint="default" w:ascii="Segoe UI" w:hAnsi="Segoe UI" w:eastAsia="宋体" w:cs="Segoe UI"/>
          <w:i w:val="0"/>
          <w:iCs w:val="0"/>
          <w:caps w:val="0"/>
          <w:spacing w:val="0"/>
          <w:sz w:val="24"/>
          <w:szCs w:val="24"/>
          <w:shd w:val="clear" w:fill="FFFFFF"/>
          <w:lang w:val="en-US" w:eastAsia="zh-CN"/>
        </w:rPr>
        <w:t>。</w:t>
      </w:r>
    </w:p>
    <w:p w14:paraId="105E8F25">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市场活跃度的直接体现是飞行器数量与飞行时长的爆发式增长。根据中国民用航空局发布的《2025年民航行业发展统计公报》，截至2025年底，全行业注册无人机共</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328.7</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万架，比上年年底增长</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51.0%；全年无人机累计飞行</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4530.29</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万小时，同比增长</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69.89%。这一数据在</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2026</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年全国民航工作会议上得到确认，实名登记无人机总数突破</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328</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万架，累计飞行</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4530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万小时，同比增长近</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70%。与历史数据对比，无人机数量较</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2020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年的</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51.7</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万架大幅增长</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534.4%，飞行时长较</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2022</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年已实现翻倍增长。仅</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2025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年上半年，无人机飞行时间就达</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2447</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万小时。在有人驾驶航空器方面，传统通用航空同样稳步发展，</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2025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年完成飞行</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121.8</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万小时</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[38]</w:t>
      </w:r>
      <w:r>
        <w:rPr>
          <w:rFonts w:hint="default" w:ascii="Segoe UI" w:hAnsi="Segoe UI" w:eastAsia="宋体" w:cs="Segoe UI"/>
          <w:i w:val="0"/>
          <w:iCs w:val="0"/>
          <w:caps w:val="0"/>
          <w:spacing w:val="0"/>
          <w:sz w:val="24"/>
          <w:szCs w:val="24"/>
          <w:shd w:val="clear" w:fill="FFFFFF"/>
          <w:lang w:val="en-US" w:eastAsia="zh-CN"/>
        </w:rPr>
        <w:t>。</w:t>
      </w:r>
    </w:p>
    <w:p w14:paraId="636561BA">
      <w:pPr>
        <w:keepNext w:val="0"/>
        <w:keepLines w:val="0"/>
        <w:pageBreakBefore w:val="0"/>
        <w:widowControl/>
        <w:numPr>
          <w:ilvl w:val="2"/>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2"/>
        <w:rPr>
          <w:rFonts w:hint="default" w:ascii="Segoe UI" w:hAnsi="Segoe UI" w:eastAsia="Segoe UI" w:cs="Segoe UI"/>
          <w:b/>
          <w:bCs/>
          <w:i w:val="0"/>
          <w:iCs w:val="0"/>
          <w:caps w:val="0"/>
          <w:spacing w:val="0"/>
          <w:sz w:val="24"/>
          <w:szCs w:val="24"/>
          <w:shd w:val="clear" w:fill="FFFFFF"/>
          <w:lang w:val="en-US" w:eastAsia="zh-CN"/>
        </w:rPr>
      </w:pPr>
      <w:r>
        <w:rPr>
          <w:rFonts w:hint="eastAsia"/>
          <w:b/>
          <w:bCs/>
          <w:sz w:val="24"/>
          <w:szCs w:val="24"/>
          <w:lang w:val="en-US" w:eastAsia="zh-CN"/>
        </w:rPr>
        <w:t xml:space="preserve"> 区域发展格局</w:t>
      </w:r>
    </w:p>
    <w:p w14:paraId="551B7B3F">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中国低空经济已形成“头部城市引领、区域集群发展”的鲜明格局。根据中国经济信息社发布的</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2025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年中国低空经济产业城市竞争力TOP</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50榜单，深圳以91.40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的综合得分蝉联榜首，北京（91.19）、上海（88.08）分别位列第二、第三位。名列前十的依次还有杭州、西安、成都、苏州、长沙、广州和南京。从区域分布看，华东地区是低空经济城市发展的中坚力量，共有超过</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20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个城市上榜，包括上海、杭州、南京、苏州、合肥、宁波、无锡等，形成较为完整的区域产业链布局。华南地区以深圳、广州为核心，辐射东莞、珠海、惠州等地，产业集群效应显著</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[39]</w:t>
      </w:r>
      <w:r>
        <w:rPr>
          <w:rFonts w:hint="default" w:ascii="Segoe UI" w:hAnsi="Segoe UI" w:eastAsia="宋体" w:cs="Segoe UI"/>
          <w:i w:val="0"/>
          <w:iCs w:val="0"/>
          <w:caps w:val="0"/>
          <w:spacing w:val="0"/>
          <w:sz w:val="24"/>
          <w:szCs w:val="24"/>
          <w:shd w:val="clear" w:fill="FFFFFF"/>
          <w:lang w:val="en-US" w:eastAsia="zh-CN"/>
        </w:rPr>
        <w:t>。</w:t>
      </w:r>
    </w:p>
    <w:p w14:paraId="570D62F5">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各领先城市依托自身资源禀赋，走出了差异化、特色化的发展路径，形成了层次分明、协同发展的城市“雁阵”格局</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[40]</w:t>
      </w:r>
      <w:r>
        <w:rPr>
          <w:rFonts w:hint="default" w:ascii="Segoe UI" w:hAnsi="Segoe UI" w:eastAsia="宋体" w:cs="Segoe UI"/>
          <w:i w:val="0"/>
          <w:iCs w:val="0"/>
          <w:caps w:val="0"/>
          <w:spacing w:val="0"/>
          <w:sz w:val="24"/>
          <w:szCs w:val="24"/>
          <w:shd w:val="clear" w:fill="FFFFFF"/>
          <w:lang w:val="en-US" w:eastAsia="zh-CN"/>
        </w:rPr>
        <w:t>：</w:t>
      </w:r>
    </w:p>
    <w:p w14:paraId="79F363CC">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深圳：作为“无人机之都”和全球低空经济领跑城市，深圳凭借雄厚的产业基础厚积薄发，全力打造全链条低空产业高地。以大疆、美团、科卫泰等为代表的低空企业大量扎根深圳，持续投入创新，低空产业聚集效应凸显，规模化发展已成形成势。据统计，目前，深圳消费级无人机占全球市场</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70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%，工业级无人机占全球市场</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50%，已集聚1900余家低空经济产业链企业</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[41]</w:t>
      </w:r>
      <w:r>
        <w:rPr>
          <w:rFonts w:hint="default" w:ascii="Segoe UI" w:hAnsi="Segoe UI" w:eastAsia="宋体" w:cs="Segoe UI"/>
          <w:i w:val="0"/>
          <w:iCs w:val="0"/>
          <w:caps w:val="0"/>
          <w:spacing w:val="0"/>
          <w:sz w:val="24"/>
          <w:szCs w:val="24"/>
          <w:shd w:val="clear" w:fill="FFFFFF"/>
          <w:lang w:val="en-US" w:eastAsia="zh-CN"/>
        </w:rPr>
        <w:t>。根据《深圳市低空基础设施高质量建设方案（2024—2026年）》，到</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2026</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年底，深圳将建成低空起降点</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1200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个以上，开通各类低空商业航线</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1000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条以上。据统计，2025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年深圳低空经济与空天产业集群增加值</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350.61</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亿元，同比增长</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31%</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[42]</w:t>
      </w:r>
      <w:r>
        <w:rPr>
          <w:rFonts w:hint="default" w:ascii="Segoe UI" w:hAnsi="Segoe UI" w:eastAsia="宋体" w:cs="Segoe UI"/>
          <w:i w:val="0"/>
          <w:iCs w:val="0"/>
          <w:caps w:val="0"/>
          <w:spacing w:val="0"/>
          <w:sz w:val="24"/>
          <w:szCs w:val="24"/>
          <w:shd w:val="clear" w:fill="FFFFFF"/>
          <w:lang w:val="en-US" w:eastAsia="zh-CN"/>
        </w:rPr>
        <w:t>。</w:t>
      </w:r>
    </w:p>
    <w:p w14:paraId="696B4640">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上海：上海走高端化、集成化发展道路，聚焦eVTOL核心技术，已集聚近 800 家低空经济产业链企业、251 家创业企业、66 家整机制造企业，汇聚全国约 50% 的 eVTOL 头部创新企业（沃兰特、峰飞、时的科技、御风未来、天翎科 “五小龙”）。2025 年核心产业规模约 210 亿元</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[43]</w:t>
      </w:r>
      <w:r>
        <w:rPr>
          <w:rFonts w:hint="default" w:ascii="Segoe UI" w:hAnsi="Segoe UI" w:eastAsia="宋体" w:cs="Segoe UI"/>
          <w:i w:val="0"/>
          <w:iCs w:val="0"/>
          <w:caps w:val="0"/>
          <w:spacing w:val="0"/>
          <w:sz w:val="24"/>
          <w:szCs w:val="24"/>
          <w:shd w:val="clear" w:fill="FFFFFF"/>
          <w:lang w:val="en-US" w:eastAsia="zh-CN"/>
        </w:rPr>
        <w:t>。《上海市低空经济产业高质量发展行动方案（2024—2027 年）》提出：到2027 年，建成完整产业体系，核心产业规模 500 亿元以上；支持</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10 家以上eVTOL 领军企业、培育</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20 家运营服务企业、集聚</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100 家以上配套企业；形成年产200 架工业级无人机 / 载物 eVTOL、100 架载人 eVTOL 能力，打造30 个以上标志性产品上海虹桥国际中央商务区管理委员会。2026 年新政策进一步明确：到2028 年，核心产业规模突破 800 亿元，全力打造世界 eVTOL 之都</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[44]</w:t>
      </w:r>
      <w:r>
        <w:rPr>
          <w:rFonts w:hint="default" w:ascii="Segoe UI" w:hAnsi="Segoe UI" w:eastAsia="宋体" w:cs="Segoe UI"/>
          <w:i w:val="0"/>
          <w:iCs w:val="0"/>
          <w:caps w:val="0"/>
          <w:spacing w:val="0"/>
          <w:sz w:val="24"/>
          <w:szCs w:val="24"/>
          <w:shd w:val="clear" w:fill="FFFFFF"/>
          <w:lang w:val="en-US" w:eastAsia="zh-CN"/>
        </w:rPr>
        <w:t>。</w:t>
      </w:r>
    </w:p>
    <w:p w14:paraId="2962A23B">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北京：依托雄厚的科研实力和均衡的产业链布局，拥有</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1240 家低空经济企业北京市人民政府，产业链上中下游布局最为均衡北京市人民政府，专利总量全国第一，拥有</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17 家人才培养机构、124 项国家级科技项目立项北京市人民政府，上市企业 23 家、国家级小巨人 33 家、高新技术企业 132 家，重点企业数量均居全国首位。聚焦 eVTOL 等前沿技术，汇聚6 家eVTOL 创新企业36氪，占全国约 15%。2024 年核心产业规模约</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350 亿元，中关村（延庆）、丰台等园区形成产业高地</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[45]</w:t>
      </w:r>
      <w:r>
        <w:rPr>
          <w:rFonts w:hint="default" w:ascii="Segoe UI" w:hAnsi="Segoe UI" w:eastAsia="宋体" w:cs="Segoe UI"/>
          <w:i w:val="0"/>
          <w:iCs w:val="0"/>
          <w:caps w:val="0"/>
          <w:spacing w:val="0"/>
          <w:sz w:val="24"/>
          <w:szCs w:val="24"/>
          <w:shd w:val="clear" w:fill="FFFFFF"/>
          <w:lang w:val="en-US" w:eastAsia="zh-CN"/>
        </w:rPr>
        <w:t>。《北京市促进低空经济产业高质量发展行动方案（2024-2027 年）》提出，到 2027 年低空经济相关企业突破 5000 家、产业规模达到 1000 亿元北京市人民政府，打造全国低空经济创新示范区</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[46]</w:t>
      </w:r>
      <w:r>
        <w:rPr>
          <w:rFonts w:hint="default" w:ascii="Segoe UI" w:hAnsi="Segoe UI" w:eastAsia="宋体" w:cs="Segoe UI"/>
          <w:i w:val="0"/>
          <w:iCs w:val="0"/>
          <w:caps w:val="0"/>
          <w:spacing w:val="0"/>
          <w:sz w:val="24"/>
          <w:szCs w:val="24"/>
          <w:shd w:val="clear" w:fill="FFFFFF"/>
          <w:lang w:val="en-US" w:eastAsia="zh-CN"/>
        </w:rPr>
        <w:t>。</w:t>
      </w:r>
    </w:p>
    <w:p w14:paraId="1CC42D4D">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广州：拥有超 4200 家低空经济产业链企业，数量居全国第二，其中核心企业 65 家，形成覆盖</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“科研创新—设计咨询—高端制造—基础设施—飞行保障— 场景运营”</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的完整产业生态</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[47]</w:t>
      </w:r>
      <w:r>
        <w:rPr>
          <w:rFonts w:hint="default" w:ascii="Segoe UI" w:hAnsi="Segoe UI" w:eastAsia="宋体" w:cs="Segoe UI"/>
          <w:i w:val="0"/>
          <w:iCs w:val="0"/>
          <w:caps w:val="0"/>
          <w:spacing w:val="0"/>
          <w:sz w:val="24"/>
          <w:szCs w:val="24"/>
          <w:shd w:val="clear" w:fill="FFFFFF"/>
          <w:lang w:val="en-US" w:eastAsia="zh-CN"/>
        </w:rPr>
        <w:t>。诞生全球首款全认证载人无人驾驶航空器、建成全球最大飞行汽车量产基地，应用覆盖 6 大领域 93 项场景，设立百亿元级空天产业基金</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[48]</w:t>
      </w:r>
      <w:r>
        <w:rPr>
          <w:rFonts w:hint="default" w:ascii="Segoe UI" w:hAnsi="Segoe UI" w:eastAsia="宋体" w:cs="Segoe UI"/>
          <w:i w:val="0"/>
          <w:iCs w:val="0"/>
          <w:caps w:val="0"/>
          <w:spacing w:val="0"/>
          <w:sz w:val="24"/>
          <w:szCs w:val="24"/>
          <w:shd w:val="clear" w:fill="FFFFFF"/>
          <w:lang w:val="en-US" w:eastAsia="zh-CN"/>
        </w:rPr>
        <w:t>。《广州市低空经济发展实施方案》提出，到 2027 年低空经济整体规模达到 1500 亿元左右，其中航空器制造业超 1100 亿元、运营服务 300 亿元、基础设施投资超 100 亿元</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[49]</w:t>
      </w:r>
      <w:r>
        <w:rPr>
          <w:rFonts w:hint="default" w:ascii="Segoe UI" w:hAnsi="Segoe UI" w:eastAsia="宋体" w:cs="Segoe UI"/>
          <w:i w:val="0"/>
          <w:iCs w:val="0"/>
          <w:caps w:val="0"/>
          <w:spacing w:val="0"/>
          <w:sz w:val="24"/>
          <w:szCs w:val="24"/>
          <w:shd w:val="clear" w:fill="FFFFFF"/>
          <w:lang w:val="en-US" w:eastAsia="zh-CN"/>
        </w:rPr>
        <w:t>。</w:t>
      </w:r>
    </w:p>
    <w:p w14:paraId="2B65774E">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合肥：呈现 “技术引领、场景多元” 的特点，选择以 “场景驱动 + 技术突破” 双轮并进，凭借全国唯一性的先发优势、硬核技术卡位与创新政策机制，率先构建低空经济全产业链生态，成为低空经济第一梯队中唯一的新一线城市，常与北上广深同框</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[50]</w:t>
      </w:r>
      <w:r>
        <w:rPr>
          <w:rFonts w:hint="default" w:ascii="Segoe UI" w:hAnsi="Segoe UI" w:eastAsia="宋体" w:cs="Segoe UI"/>
          <w:i w:val="0"/>
          <w:iCs w:val="0"/>
          <w:caps w:val="0"/>
          <w:spacing w:val="0"/>
          <w:sz w:val="24"/>
          <w:szCs w:val="24"/>
          <w:shd w:val="clear" w:fill="FFFFFF"/>
          <w:lang w:val="en-US" w:eastAsia="zh-CN"/>
        </w:rPr>
        <w:t>。截至 2025 年底，合肥已汇聚低空经济相关企业近 400 家，实现无人机研发、测试、生产到运营全链条本地化布局，集聚亿航智能、零重力、览翌航空、峰飞航空等头部企业，攻克固态电池（500Wh/kg，全球领先）、飞控系统、厘米级定位等核心技术</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[51]</w:t>
      </w:r>
      <w:r>
        <w:rPr>
          <w:rFonts w:hint="default" w:ascii="Segoe UI" w:hAnsi="Segoe UI" w:eastAsia="宋体" w:cs="Segoe UI"/>
          <w:i w:val="0"/>
          <w:iCs w:val="0"/>
          <w:caps w:val="0"/>
          <w:spacing w:val="0"/>
          <w:sz w:val="24"/>
          <w:szCs w:val="24"/>
          <w:shd w:val="clear" w:fill="FFFFFF"/>
          <w:lang w:val="en-US" w:eastAsia="zh-CN"/>
        </w:rPr>
        <w:t>。作为全国第三个、长三角首个全域低空空域改革试点省的核心城市，合肥落地多项 “全国首个” 标杆成果：全国首条 eVTOL 跨城跨湾商业化航线、全国首个城市空中交通枢纽港（骆岗公园）、全国首个城市级低空联合飞行服务中心（实现空域 “一窗服务”），并拿下全球首张民用无人驾驶航空器运营合格证（OC）</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[52]</w:t>
      </w:r>
      <w:r>
        <w:rPr>
          <w:rFonts w:hint="default" w:ascii="Segoe UI" w:hAnsi="Segoe UI" w:eastAsia="宋体" w:cs="Segoe UI"/>
          <w:i w:val="0"/>
          <w:iCs w:val="0"/>
          <w:caps w:val="0"/>
          <w:spacing w:val="0"/>
          <w:sz w:val="24"/>
          <w:szCs w:val="24"/>
          <w:shd w:val="clear" w:fill="FFFFFF"/>
          <w:lang w:val="en-US" w:eastAsia="zh-CN"/>
        </w:rPr>
        <w:t>。目前已常态化运行物流航线 98 条，累计飞行超 12000 架次，场景覆盖载人通勤、医疗救援、文旅观光、消防巡检等多元领域已拓展 4 大类、22 中类应用场景，建设 180 余个低空起降设施</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[53]</w:t>
      </w:r>
      <w:r>
        <w:rPr>
          <w:rFonts w:hint="default" w:ascii="Segoe UI" w:hAnsi="Segoe UI" w:eastAsia="宋体" w:cs="Segoe UI"/>
          <w:i w:val="0"/>
          <w:iCs w:val="0"/>
          <w:caps w:val="0"/>
          <w:spacing w:val="0"/>
          <w:sz w:val="24"/>
          <w:szCs w:val="24"/>
          <w:shd w:val="clear" w:fill="FFFFFF"/>
          <w:lang w:val="en-US" w:eastAsia="zh-CN"/>
        </w:rPr>
        <w:t>。依托 “国资领投 + 链式招商” 的合肥模式，当地设立 10 亿元省级低空产业基金，出台 eVTOL 适航证最高 1500 万元、航线运营最高 1000 万元的专项补贴，复制此前在半导体、新能源领域的成功经验，全力打造全国低空经济综合发展标杆与国际影响力 “低空之城”</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[54]</w:t>
      </w:r>
      <w:r>
        <w:rPr>
          <w:rFonts w:hint="default" w:ascii="Segoe UI" w:hAnsi="Segoe UI" w:eastAsia="宋体" w:cs="Segoe UI"/>
          <w:i w:val="0"/>
          <w:iCs w:val="0"/>
          <w:caps w:val="0"/>
          <w:spacing w:val="0"/>
          <w:sz w:val="24"/>
          <w:szCs w:val="24"/>
          <w:shd w:val="clear" w:fill="FFFFFF"/>
          <w:lang w:val="en-US" w:eastAsia="zh-CN"/>
        </w:rPr>
        <w:t>。</w:t>
      </w:r>
    </w:p>
    <w:p w14:paraId="46FA6010">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“头部城市领跑”的格局背后，是全国范围的产业热潮。2025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年，全国31</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个省份均将发展低空经济写入政府工作报告或出台相关政策。中央空管办、国家发改委等多部门已联合行动，制定相关政策参与和推动低空经济发展</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[55]</w:t>
      </w:r>
      <w:r>
        <w:rPr>
          <w:rFonts w:hint="default" w:ascii="Segoe UI" w:hAnsi="Segoe UI" w:eastAsia="宋体" w:cs="Segoe UI"/>
          <w:i w:val="0"/>
          <w:iCs w:val="0"/>
          <w:caps w:val="0"/>
          <w:spacing w:val="0"/>
          <w:sz w:val="24"/>
          <w:szCs w:val="24"/>
          <w:shd w:val="clear" w:fill="FFFFFF"/>
          <w:lang w:val="en-US" w:eastAsia="zh-CN"/>
        </w:rPr>
        <w:t>。</w:t>
      </w:r>
      <w:r>
        <w:rPr>
          <w:rFonts w:ascii="宋体" w:hAnsi="宋体" w:eastAsia="宋体" w:cs="宋体"/>
          <w:sz w:val="24"/>
          <w:szCs w:val="24"/>
        </w:rPr>
        <w:t>在政策红利持续释放、头部城市示范引领与区域协同发力的多重驱动下，中国低空经济正从 “点状突破” 迈向 “全域开花”，产业规模持续扩容、创新活力加速迸发，未来将逐步形成更具竞争力的全国性产业生态体系，成为拉动经济增长的新引擎。</w:t>
      </w:r>
    </w:p>
    <w:p w14:paraId="45FF7340">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center"/>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drawing>
          <wp:inline distT="0" distB="0" distL="114300" distR="114300">
            <wp:extent cx="3278505" cy="5216525"/>
            <wp:effectExtent l="0" t="0" r="17145" b="3175"/>
            <wp:docPr id="12" name="图片 12" descr="f331769a81b65165171d7b51b1b85dde~tplv-be4g95zd3a-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331769a81b65165171d7b51b1b85dde~tplv-be4g95zd3a-image"/>
                    <pic:cNvPicPr>
                      <a:picLocks noChangeAspect="1"/>
                    </pic:cNvPicPr>
                  </pic:nvPicPr>
                  <pic:blipFill>
                    <a:blip r:embed="rId15"/>
                    <a:stretch>
                      <a:fillRect/>
                    </a:stretch>
                  </pic:blipFill>
                  <pic:spPr>
                    <a:xfrm>
                      <a:off x="0" y="0"/>
                      <a:ext cx="3278505" cy="5216525"/>
                    </a:xfrm>
                    <a:prstGeom prst="rect">
                      <a:avLst/>
                    </a:prstGeom>
                  </pic:spPr>
                </pic:pic>
              </a:graphicData>
            </a:graphic>
          </wp:inline>
        </w:drawing>
      </w:r>
    </w:p>
    <w:p w14:paraId="537E3080">
      <w:pPr>
        <w:keepNext w:val="0"/>
        <w:keepLines w:val="0"/>
        <w:pageBreakBefore w:val="0"/>
        <w:widowControl/>
        <w:numPr>
          <w:ilvl w:val="1"/>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1"/>
        <w:rPr>
          <w:rFonts w:hint="eastAsia"/>
          <w:b/>
          <w:bCs/>
          <w:sz w:val="24"/>
          <w:szCs w:val="24"/>
          <w:lang w:val="en-US" w:eastAsia="zh-CN"/>
        </w:rPr>
      </w:pPr>
      <w:bookmarkStart w:id="21" w:name="_Toc19296"/>
      <w:r>
        <w:rPr>
          <w:rFonts w:hint="eastAsia"/>
          <w:b/>
          <w:bCs/>
          <w:sz w:val="24"/>
          <w:szCs w:val="24"/>
          <w:lang w:val="en-US" w:eastAsia="zh-CN"/>
        </w:rPr>
        <w:t>沈阳市低空经济市场分析</w:t>
      </w:r>
      <w:bookmarkEnd w:id="21"/>
    </w:p>
    <w:p w14:paraId="123FF7D5">
      <w:pPr>
        <w:keepNext w:val="0"/>
        <w:keepLines w:val="0"/>
        <w:pageBreakBefore w:val="0"/>
        <w:widowControl/>
        <w:numPr>
          <w:ilvl w:val="2"/>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2"/>
        <w:rPr>
          <w:rFonts w:hint="default" w:ascii="Segoe UI" w:hAnsi="Segoe UI" w:eastAsia="Segoe UI" w:cs="Segoe UI"/>
          <w:b/>
          <w:bCs/>
          <w:i w:val="0"/>
          <w:iCs w:val="0"/>
          <w:caps w:val="0"/>
          <w:spacing w:val="0"/>
          <w:sz w:val="24"/>
          <w:szCs w:val="24"/>
          <w:shd w:val="clear" w:fill="FFFFFF"/>
          <w:lang w:val="en-US" w:eastAsia="zh-CN"/>
        </w:rPr>
      </w:pPr>
      <w:r>
        <w:rPr>
          <w:rFonts w:hint="eastAsia"/>
          <w:b/>
          <w:bCs/>
          <w:sz w:val="24"/>
          <w:szCs w:val="24"/>
          <w:lang w:val="en-US" w:eastAsia="zh-CN"/>
        </w:rPr>
        <w:t xml:space="preserve"> 背景分析</w:t>
      </w:r>
    </w:p>
    <w:p w14:paraId="0D3D194A">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历史背景</w:t>
      </w:r>
    </w:p>
    <w:p w14:paraId="7DE29B85">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沈阳市作为中国航空工业的发源地，拥有深厚的航空产业底蕴。这里诞生了我国第一架国产歼击机，聚集了沈飞、黎明等大型航空央企，是国内承担航空发动机研制任务最多的地区。2024年，沈阳航空产业集群成功入选国家级先进制造业集群，产业规模突破千亿元，形成了"从军机、民机、发动机到通用飞机、无人机"的完整产业链。</w:t>
      </w:r>
    </w:p>
    <w:p w14:paraId="702A6605">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沈阳拥有东北地区最强的航空科创实力。依托沈阳航空航天大学、中国科学院自动化所、601所（飞机设计）、606所（发动机研发）等高校和科研机构，沈阳在低空技术领域形成"产学研用"一体化攻关能力。2025年低空经济创新集聚度排名全国第六，仅次于北京、深圳、广州、上海和南京。2025年4月，沈阳航空航天大学成立国内首家低空经济学院；6月，东北首个国际化低空经济技术学院--冯庸国际低空经济技术学院在沈阳工学院揭牌，进一步强化了人才培养能力。</w:t>
      </w:r>
    </w:p>
    <w:p w14:paraId="548D5192">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政策背景</w:t>
      </w:r>
    </w:p>
    <w:p w14:paraId="58199C91">
      <w:pPr>
        <w:keepNext w:val="0"/>
        <w:keepLines w:val="0"/>
        <w:pageBreakBefore w:val="0"/>
        <w:widowControl/>
        <w:numPr>
          <w:ilvl w:val="0"/>
          <w:numId w:val="3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国家战略定位</w:t>
      </w:r>
    </w:p>
    <w:p w14:paraId="1A2B75D1">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2024</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10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月，国务院正式批复《沈阳市国土空间规划（2021—2035年）》</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[56]</w:t>
      </w:r>
      <w:r>
        <w:rPr>
          <w:rFonts w:hint="default" w:ascii="Segoe UI" w:hAnsi="Segoe UI" w:eastAsia="宋体" w:cs="Segoe UI"/>
          <w:i w:val="0"/>
          <w:iCs w:val="0"/>
          <w:caps w:val="0"/>
          <w:spacing w:val="0"/>
          <w:sz w:val="24"/>
          <w:szCs w:val="24"/>
          <w:shd w:val="clear" w:fill="FFFFFF"/>
          <w:lang w:val="en-US" w:eastAsia="zh-CN"/>
        </w:rPr>
        <w:t>，确定了沈阳东北亚国际化中心城市的定位。2025年7月，《沈阳市建设东北亚国际化中心城市行动纲要（2025-2035年）》正式发布，明确提出打造"国家低空经济先行区、集聚区"的目标，标志着沈阳低空经济发展进入国家战略牵引的新阶段。</w:t>
      </w:r>
    </w:p>
    <w:p w14:paraId="4969BD20">
      <w:pPr>
        <w:keepNext w:val="0"/>
        <w:keepLines w:val="0"/>
        <w:pageBreakBefore w:val="0"/>
        <w:widowControl/>
        <w:numPr>
          <w:ilvl w:val="0"/>
          <w:numId w:val="3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地方政策体系</w:t>
      </w:r>
    </w:p>
    <w:p w14:paraId="42FDE86A">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沈阳市通过多层次、系统化的政策设计，为低空经济发展构建了相对清晰的制度框架：</w:t>
      </w:r>
    </w:p>
    <w:p w14:paraId="506EEA23">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《沈阳市低空经济高质量发展行动计划（2024-2026年）》：设定了明确的短期目标，到</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2026</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年，低空经济相关企业突破</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100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家，产业规模达</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30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亿元，打造</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10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个以上应用示范场景</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[57]</w:t>
      </w:r>
      <w:r>
        <w:rPr>
          <w:rFonts w:hint="default" w:ascii="Segoe UI" w:hAnsi="Segoe UI" w:eastAsia="宋体" w:cs="Segoe UI"/>
          <w:i w:val="0"/>
          <w:iCs w:val="0"/>
          <w:caps w:val="0"/>
          <w:spacing w:val="0"/>
          <w:sz w:val="24"/>
          <w:szCs w:val="24"/>
          <w:shd w:val="clear" w:fill="FFFFFF"/>
          <w:lang w:val="en-US" w:eastAsia="zh-CN"/>
        </w:rPr>
        <w:t>。</w:t>
      </w:r>
    </w:p>
    <w:p w14:paraId="0039A6DE">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《沈阳市促进低空经济高质量发展若干政策措施》：2025年1月出台，设立了"真金白银"的扶持政策，关键技术研发最高补助</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1000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万元，对取得适航证的eVTOL奖励</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800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万元，对试飞基地建设给予最高</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500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万元补助</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[58]</w:t>
      </w:r>
      <w:r>
        <w:rPr>
          <w:rFonts w:hint="default" w:ascii="Segoe UI" w:hAnsi="Segoe UI" w:eastAsia="宋体" w:cs="Segoe UI"/>
          <w:i w:val="0"/>
          <w:iCs w:val="0"/>
          <w:caps w:val="0"/>
          <w:spacing w:val="0"/>
          <w:sz w:val="24"/>
          <w:szCs w:val="24"/>
          <w:shd w:val="clear" w:fill="FFFFFF"/>
          <w:lang w:val="en-US" w:eastAsia="zh-CN"/>
        </w:rPr>
        <w:t>。</w:t>
      </w:r>
    </w:p>
    <w:p w14:paraId="3D26734C">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配套实施细则：同步制定《低空空域使用管理办法》《无人机运营安全规范》等实施细则，形成覆盖"空域管理-产业培育-安全保障"的完整制度框架。</w:t>
      </w:r>
    </w:p>
    <w:p w14:paraId="4C2259AE">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产业基础</w:t>
      </w:r>
    </w:p>
    <w:p w14:paraId="3FDDAEF7">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沈阳市发展低空经济具备战略优势，使其在全国竞争中脱颖而出：</w:t>
      </w:r>
    </w:p>
    <w:p w14:paraId="35654401">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雄厚的航空制造底蕴：作为新中国航空工业的摇篮，沈阳聚集了沈飞、黎明等大型航空央企，是国内承担航空发动机研制任务最多的地区。</w:t>
      </w:r>
    </w:p>
    <w:p w14:paraId="4B3D377D">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强大的航空科创实力：依托沈阳航空航天大学、中国科学院自动化所、601所、606所等高校和科研机构，沈阳在低空技术领域形成"产学研用"一体化攻关能力。</w:t>
      </w:r>
    </w:p>
    <w:p w14:paraId="1F145960">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独特的区位优势：作为东北亚经济走廊枢纽，沈阳拥有构建面向日韩俄蒙的区域低空交通网络的先天条件。</w:t>
      </w:r>
    </w:p>
    <w:p w14:paraId="5255BBA8">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发展现状</w:t>
      </w:r>
    </w:p>
    <w:p w14:paraId="0E8EDE8E">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根据《城市低空经济"链接力"指数（2025）》显示，沈阳跻身低空经济“链接力”指数</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50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强，位列全国第十。在创新聚集度、环境友好度两项一级指标排名中，沈阳均排名全国第六</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[59]</w:t>
      </w:r>
      <w:r>
        <w:rPr>
          <w:rFonts w:hint="default" w:ascii="Segoe UI" w:hAnsi="Segoe UI" w:eastAsia="宋体" w:cs="Segoe UI"/>
          <w:i w:val="0"/>
          <w:iCs w:val="0"/>
          <w:caps w:val="0"/>
          <w:spacing w:val="0"/>
          <w:sz w:val="24"/>
          <w:szCs w:val="24"/>
          <w:shd w:val="clear" w:fill="FFFFFF"/>
          <w:lang w:val="en-US" w:eastAsia="zh-CN"/>
        </w:rPr>
        <w:t>。这一成绩凸显了沈阳在低空经济领域的独特优势与引领作用。</w:t>
      </w:r>
    </w:p>
    <w:p w14:paraId="6A481C01">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沈阳还是首批国家通用航空产业综合示范区，首批国家民用无人驾驶航空试验基地（试验区），是国内低空经济产业发展基础最好、最具增长潜力的地区之一</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[60]</w:t>
      </w:r>
      <w:r>
        <w:rPr>
          <w:rFonts w:hint="default" w:ascii="Segoe UI" w:hAnsi="Segoe UI" w:eastAsia="宋体" w:cs="Segoe UI"/>
          <w:i w:val="0"/>
          <w:iCs w:val="0"/>
          <w:caps w:val="0"/>
          <w:spacing w:val="0"/>
          <w:sz w:val="24"/>
          <w:szCs w:val="24"/>
          <w:shd w:val="clear" w:fill="FFFFFF"/>
          <w:lang w:val="en-US" w:eastAsia="zh-CN"/>
        </w:rPr>
        <w:t>。</w:t>
      </w:r>
    </w:p>
    <w:p w14:paraId="1BC491E3">
      <w:pPr>
        <w:keepNext w:val="0"/>
        <w:keepLines w:val="0"/>
        <w:pageBreakBefore w:val="0"/>
        <w:widowControl/>
        <w:numPr>
          <w:ilvl w:val="2"/>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2"/>
        <w:rPr>
          <w:rFonts w:hint="default" w:ascii="Segoe UI" w:hAnsi="Segoe UI" w:eastAsia="Segoe UI" w:cs="Segoe UI"/>
          <w:b/>
          <w:bCs/>
          <w:i w:val="0"/>
          <w:iCs w:val="0"/>
          <w:caps w:val="0"/>
          <w:spacing w:val="0"/>
          <w:sz w:val="24"/>
          <w:szCs w:val="24"/>
          <w:shd w:val="clear" w:fill="FFFFFF"/>
          <w:lang w:val="en-US" w:eastAsia="zh-CN"/>
        </w:rPr>
      </w:pPr>
      <w:r>
        <w:rPr>
          <w:rFonts w:hint="eastAsia"/>
          <w:b/>
          <w:bCs/>
          <w:sz w:val="24"/>
          <w:szCs w:val="24"/>
          <w:lang w:val="en-US" w:eastAsia="zh-CN"/>
        </w:rPr>
        <w:t xml:space="preserve"> 需求端分析</w:t>
      </w:r>
    </w:p>
    <w:p w14:paraId="5E874287">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总体市场需求规模</w:t>
      </w:r>
    </w:p>
    <w:p w14:paraId="0305A530">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239" w:leftChars="114" w:firstLine="240" w:firstLineChars="10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根据《沈阳市低空经济高质量发展行动计划（2024-2026年）》，到</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2026年沈阳市低空经济产业规模将达到30亿元，培育低空经济相关企业突破</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100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家，打造</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10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个以上低空经济应用示范场景。</w:t>
      </w:r>
    </w:p>
    <w:p w14:paraId="78EBB8F8">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239" w:leftChars="114" w:firstLine="240" w:firstLineChars="10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从全国市场来看</w:t>
      </w:r>
      <w:r>
        <w:rPr>
          <w:rFonts w:hint="eastAsia" w:ascii="Segoe UI" w:hAnsi="Segoe UI" w:eastAsia="宋体" w:cs="Segoe UI"/>
          <w:i w:val="0"/>
          <w:iCs w:val="0"/>
          <w:caps w:val="0"/>
          <w:spacing w:val="0"/>
          <w:sz w:val="24"/>
          <w:szCs w:val="24"/>
          <w:shd w:val="clear" w:fill="FFFFFF"/>
          <w:lang w:val="en-US" w:eastAsia="zh-CN"/>
        </w:rPr>
        <w:t>数</w:t>
      </w:r>
      <w:r>
        <w:rPr>
          <w:rFonts w:hint="default" w:ascii="Segoe UI" w:hAnsi="Segoe UI" w:eastAsia="宋体" w:cs="Segoe UI"/>
          <w:i w:val="0"/>
          <w:iCs w:val="0"/>
          <w:caps w:val="0"/>
          <w:spacing w:val="0"/>
          <w:sz w:val="24"/>
          <w:szCs w:val="24"/>
          <w:shd w:val="clear" w:fill="FFFFFF"/>
          <w:lang w:val="en-US" w:eastAsia="zh-CN"/>
        </w:rPr>
        <w:t>据预测，2025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年中国低空经济市场规模将达</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1.5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万亿元，2035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年有望突破</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3.5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万亿元。沈阳市作为东北地区低空经济发展的领头羊，有望在这一巨大市场中占据重要份额。</w:t>
      </w:r>
    </w:p>
    <w:p w14:paraId="3C564A5D">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市场需求案例分析</w:t>
      </w:r>
    </w:p>
    <w:p w14:paraId="58D1876D">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本</w:t>
      </w:r>
      <w:r>
        <w:rPr>
          <w:rFonts w:hint="eastAsia" w:ascii="Segoe UI" w:hAnsi="Segoe UI" w:eastAsia="宋体" w:cs="Segoe UI"/>
          <w:i w:val="0"/>
          <w:iCs w:val="0"/>
          <w:caps w:val="0"/>
          <w:spacing w:val="0"/>
          <w:sz w:val="24"/>
          <w:szCs w:val="24"/>
          <w:shd w:val="clear" w:fill="FFFFFF"/>
          <w:lang w:val="en-US" w:eastAsia="zh-CN"/>
        </w:rPr>
        <w:t>部分</w:t>
      </w:r>
      <w:r>
        <w:rPr>
          <w:rFonts w:hint="default" w:ascii="Segoe UI" w:hAnsi="Segoe UI" w:eastAsia="宋体" w:cs="Segoe UI"/>
          <w:i w:val="0"/>
          <w:iCs w:val="0"/>
          <w:caps w:val="0"/>
          <w:spacing w:val="0"/>
          <w:sz w:val="24"/>
          <w:szCs w:val="24"/>
          <w:shd w:val="clear" w:fill="FFFFFF"/>
          <w:lang w:val="en-US" w:eastAsia="zh-CN"/>
        </w:rPr>
        <w:t>将深入剖析沈阳市低空经济的需求端结构，从城市治理、物流配送、文旅消费、农业工业、教育培训等维度，全面展现沈阳低空经济的市场潜力与发展前景。</w:t>
      </w:r>
    </w:p>
    <w:p w14:paraId="6E8951CE">
      <w:pPr>
        <w:keepNext w:val="0"/>
        <w:keepLines w:val="0"/>
        <w:pageBreakBefore w:val="0"/>
        <w:widowControl/>
        <w:numPr>
          <w:ilvl w:val="4"/>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4"/>
        <w:rPr>
          <w:rFonts w:hint="eastAsia" w:asciiTheme="majorEastAsia" w:hAnsiTheme="majorEastAsia" w:eastAsiaTheme="majorEastAsia" w:cstheme="majorEastAsia"/>
          <w:b/>
          <w:bCs/>
          <w:i w:val="0"/>
          <w:iCs w:val="0"/>
          <w:caps w:val="0"/>
          <w:spacing w:val="0"/>
          <w:sz w:val="24"/>
          <w:szCs w:val="24"/>
          <w:shd w:val="clear" w:fill="FFFFFF"/>
          <w:lang w:val="en-US" w:eastAsia="zh-CN"/>
        </w:rPr>
      </w:pPr>
      <w:r>
        <w:rPr>
          <w:rFonts w:hint="eastAsia" w:asciiTheme="majorEastAsia" w:hAnsiTheme="majorEastAsia" w:eastAsiaTheme="majorEastAsia" w:cstheme="majorEastAsia"/>
          <w:b/>
          <w:bCs/>
          <w:i w:val="0"/>
          <w:iCs w:val="0"/>
          <w:caps w:val="0"/>
          <w:spacing w:val="0"/>
          <w:sz w:val="24"/>
          <w:szCs w:val="24"/>
          <w:shd w:val="clear" w:fill="FFFFFF"/>
          <w:lang w:val="en-US" w:eastAsia="zh-CN"/>
        </w:rPr>
        <w:t>城市治理与公共服务需求</w:t>
      </w:r>
    </w:p>
    <w:p w14:paraId="6B25A080">
      <w:pPr>
        <w:keepNext w:val="0"/>
        <w:keepLines w:val="0"/>
        <w:pageBreakBefore w:val="0"/>
        <w:widowControl/>
        <w:numPr>
          <w:ilvl w:val="0"/>
          <w:numId w:val="3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政务巡检的智能化升级</w:t>
      </w:r>
    </w:p>
    <w:p w14:paraId="778CEE6F">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沈北新区在低空政务巡检领域实现了突破性进展。</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2025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国庆中秋假期期间，该区低空政务巡检平台完成全面升级，城市治理迈入"空天地一体"的智慧管理新阶段。这一升级的核心是部署新一代无人机自动机场系统，这些无人值守平台搭载多传感器融合设备，结合AI识别与实时直播技术，构建起覆盖全区的立体化巡检网络，成为城市管理的"空中智慧大脑"。</w:t>
      </w:r>
    </w:p>
    <w:p w14:paraId="2AD240D8">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在沈北新区城市管理指挥中心，值班人员通过智能管理平台即可便捷调度全区各点的无人机自动执行巡检任务，实现了"自动巡查、智能分析、实时推送、快速处置"的全流程数字化闭环管理。新引入的无人机自动机场系统具备强大的环境适应性，可在各种气候条件下稳定运行。指挥中心值班负责人介绍："这套系统在国庆期间全面启用，通过无人机自动巡航与人工智能识别相结合，实现了对重点区域的</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24</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小时智能监控</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[61]</w:t>
      </w:r>
      <w:r>
        <w:rPr>
          <w:rFonts w:hint="default" w:ascii="Segoe UI" w:hAnsi="Segoe UI" w:eastAsia="宋体" w:cs="Segoe UI"/>
          <w:i w:val="0"/>
          <w:iCs w:val="0"/>
          <w:caps w:val="0"/>
          <w:spacing w:val="0"/>
          <w:sz w:val="24"/>
          <w:szCs w:val="24"/>
          <w:shd w:val="clear" w:fill="FFFFFF"/>
          <w:lang w:val="en-US" w:eastAsia="zh-CN"/>
        </w:rPr>
        <w:t>。"</w:t>
      </w:r>
    </w:p>
    <w:p w14:paraId="4B92088F">
      <w:pPr>
        <w:keepNext w:val="0"/>
        <w:keepLines w:val="0"/>
        <w:pageBreakBefore w:val="0"/>
        <w:widowControl/>
        <w:numPr>
          <w:ilvl w:val="0"/>
          <w:numId w:val="3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应急管理的快速响应</w:t>
      </w:r>
    </w:p>
    <w:p w14:paraId="66C2D98F">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Theme="majorEastAsia" w:hAnsiTheme="majorEastAsia" w:eastAsiaTheme="majorEastAsia" w:cstheme="majorEastAsia"/>
          <w:b/>
          <w:bCs/>
          <w:i w:val="0"/>
          <w:iCs w:val="0"/>
          <w:caps w:val="0"/>
          <w:spacing w:val="0"/>
          <w:sz w:val="24"/>
          <w:szCs w:val="24"/>
          <w:shd w:val="clear" w:fill="FFFFFF"/>
          <w:lang w:val="en-US" w:eastAsia="zh-CN"/>
        </w:rPr>
        <w:t>2</w:t>
      </w:r>
      <w:r>
        <w:rPr>
          <w:rFonts w:hint="default" w:ascii="Segoe UI" w:hAnsi="Segoe UI" w:eastAsia="宋体" w:cs="Segoe UI"/>
          <w:i w:val="0"/>
          <w:iCs w:val="0"/>
          <w:caps w:val="0"/>
          <w:spacing w:val="0"/>
          <w:sz w:val="24"/>
          <w:szCs w:val="24"/>
          <w:shd w:val="clear" w:fill="FFFFFF"/>
          <w:lang w:val="en-US" w:eastAsia="zh-CN"/>
        </w:rPr>
        <w:t>025年7月31日，沈阳市首条城市中心无人机应用航线在皇姑区崇山中路完成首次验证飞行。这条位于主城区一环以内、近零环区域的航线，主要服务于城市应急巡检，如发现火源、人员异动、交通异常、管网泄漏等应急情况，辅助公安、交通、应急等相关部门快速处理。</w:t>
      </w:r>
    </w:p>
    <w:p w14:paraId="77A138AA">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辽宁起飞智能科技有限公司技术总监关凌飞详细解释了其应用价值："比如，无人机在巡检过程中，发现崇山路交通拥堵，就能第一时间确定拥堵点在哪儿，产生拥堵的原因是事故还是违停。同时锁定导致拥堵车辆的具体位置，并识别车牌号。信息传回后端，交警人员就可以判断事故，快速取证、快速处理。"传统人工出警到现场可能需要</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20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分钟或半小时，而无人机可以在</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分钟内快速到达事故点，帮助交警部门通过搭载的喊话系统"遥控"指挥、快速疏导现场。</w:t>
      </w:r>
    </w:p>
    <w:p w14:paraId="5E5A333E">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eastAsia" w:ascii="Segoe UI" w:hAnsi="Segoe UI" w:eastAsia="宋体" w:cs="Segoe UI"/>
          <w:i w:val="0"/>
          <w:iCs w:val="0"/>
          <w:caps w:val="0"/>
          <w:spacing w:val="0"/>
          <w:sz w:val="21"/>
          <w:szCs w:val="21"/>
          <w:shd w:val="clear" w:fill="FFFFFF"/>
          <w:vertAlign w:val="superscript"/>
          <w:lang w:val="en-US" w:eastAsia="zh-CN"/>
        </w:rPr>
      </w:pPr>
      <w:r>
        <w:rPr>
          <w:rFonts w:hint="default" w:ascii="Segoe UI" w:hAnsi="Segoe UI" w:eastAsia="宋体" w:cs="Segoe UI"/>
          <w:i w:val="0"/>
          <w:iCs w:val="0"/>
          <w:caps w:val="0"/>
          <w:spacing w:val="0"/>
          <w:sz w:val="24"/>
          <w:szCs w:val="24"/>
          <w:shd w:val="clear" w:fill="FFFFFF"/>
          <w:lang w:val="en-US" w:eastAsia="zh-CN"/>
        </w:rPr>
        <w:t>在管网监测方面，无人机同样展现出独特优势。关凌飞进一步说明："再比如城市地下管网渗漏，无人机在输气管道上方</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50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米到</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80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米范围内飞行，依靠搭载的热成像和气体检测传感器，快速感知地下管道温度异常，快速锁定漏点</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[62]</w:t>
      </w:r>
      <w:r>
        <w:rPr>
          <w:rFonts w:hint="default" w:ascii="Segoe UI" w:hAnsi="Segoe UI" w:eastAsia="宋体" w:cs="Segoe UI"/>
          <w:i w:val="0"/>
          <w:iCs w:val="0"/>
          <w:caps w:val="0"/>
          <w:spacing w:val="0"/>
          <w:sz w:val="24"/>
          <w:szCs w:val="24"/>
          <w:shd w:val="clear" w:fill="FFFFFF"/>
          <w:lang w:val="en-US" w:eastAsia="zh-CN"/>
        </w:rPr>
        <w:t>。"</w:t>
      </w:r>
    </w:p>
    <w:p w14:paraId="32658304">
      <w:pPr>
        <w:keepNext w:val="0"/>
        <w:keepLines w:val="0"/>
        <w:pageBreakBefore w:val="0"/>
        <w:widowControl/>
        <w:numPr>
          <w:ilvl w:val="0"/>
          <w:numId w:val="3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河道巡查与防汛监测</w:t>
      </w:r>
    </w:p>
    <w:p w14:paraId="5BF25559">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2025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3</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月</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14</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日，在沈阳蒲河、辽河流域春汛来临之际，辽宁众飞科技有限公司两名专业无人机飞手协助沈北新区农业农村局开展河道智能巡查作业。搭载高精度传感器的无人机与智能管理平台联动，标志着当地正式构建"空天地一体化"科技防汛体系。</w:t>
      </w:r>
    </w:p>
    <w:p w14:paraId="01E078E8">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沈北新区河道总长超</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300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公里，传统人工巡查长期面临冰面盲区覆盖难、垃圾清理滞后、汛期高频监测不足等痛点。本次引入的无人机巡查技术，通过预设航线实现全流域自动巡检，3</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小时即可完成人工</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2-3</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天工作量。无人机搭载的多光谱传感器可精准识别水面漂浮物、非法排污及岸线塌陷等隐患，实时回传数据至智慧管理平台，让河面垃圾清理不及时、汛期隐患发现晚等问题迎刃而解</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[63]</w:t>
      </w:r>
      <w:r>
        <w:rPr>
          <w:rFonts w:hint="default" w:ascii="Segoe UI" w:hAnsi="Segoe UI" w:eastAsia="宋体" w:cs="Segoe UI"/>
          <w:i w:val="0"/>
          <w:iCs w:val="0"/>
          <w:caps w:val="0"/>
          <w:spacing w:val="0"/>
          <w:sz w:val="24"/>
          <w:szCs w:val="24"/>
          <w:shd w:val="clear" w:fill="FFFFFF"/>
          <w:lang w:val="en-US" w:eastAsia="zh-CN"/>
        </w:rPr>
        <w:t>。</w:t>
      </w:r>
    </w:p>
    <w:p w14:paraId="7B8AC40C">
      <w:pPr>
        <w:keepNext w:val="0"/>
        <w:keepLines w:val="0"/>
        <w:pageBreakBefore w:val="0"/>
        <w:widowControl/>
        <w:numPr>
          <w:ilvl w:val="0"/>
          <w:numId w:val="3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道路巡检与养护管理</w:t>
      </w:r>
    </w:p>
    <w:p w14:paraId="4D4D699E">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2025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秋日，在四环快速路棋盘山段、西北连接线旁，沈阳城投集团所属交建发公司一架白色无人机稳稳升空，沿着道路走向自主飞行，开始了一天的巡检任务。操控手紧盯手中的控制屏，屏幕上实时显示着无人机传回的高清路面影像。</w:t>
      </w:r>
    </w:p>
    <w:p w14:paraId="31655E59">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我们就像给公路做'CT检查'，路面是否有裂缝、破损，标线是否清晰，都能看得一清二楚。"操控手一边操作一边介绍。站在一旁的技术负责人陈相茹补充道："这台无人机搭载了高清摄像头和激光雷达传感器，飞行高度</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120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米以内，一次飞行可覆盖</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10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公里路段。它不仅能够识别道路病害，还能辅助交管部门监测车流、识别违停车辆，甚至协助处理积水和障碍物等问题。"</w:t>
      </w:r>
    </w:p>
    <w:p w14:paraId="0FC328A5">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这是交建发公司开展低空经济业务的一个生动场景。</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2025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4</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月，城投集团子公司沈阳交通建设发展有限公司注资成立沈阳悦翔低空经济发展有限公司，标志着沈阳城投在低空经济领域从顶层设计迈入实质运营阶段。截至目前，该系统已在马宋公路、沈闫线、西北连接线、四环棋盘山段等路段累计飞行200余次、飞行里程超</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700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公里，识别并处理</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80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余件各类异常问题，为道路养护提供了精准高效的技术支撑</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[64]</w:t>
      </w:r>
      <w:r>
        <w:rPr>
          <w:rFonts w:hint="default" w:ascii="Segoe UI" w:hAnsi="Segoe UI" w:eastAsia="宋体" w:cs="Segoe UI"/>
          <w:i w:val="0"/>
          <w:iCs w:val="0"/>
          <w:caps w:val="0"/>
          <w:spacing w:val="0"/>
          <w:sz w:val="24"/>
          <w:szCs w:val="24"/>
          <w:shd w:val="clear" w:fill="FFFFFF"/>
          <w:lang w:val="en-US" w:eastAsia="zh-CN"/>
        </w:rPr>
        <w:t>。</w:t>
      </w:r>
    </w:p>
    <w:p w14:paraId="5CB4871A">
      <w:pPr>
        <w:keepNext w:val="0"/>
        <w:keepLines w:val="0"/>
        <w:pageBreakBefore w:val="0"/>
        <w:widowControl/>
        <w:numPr>
          <w:ilvl w:val="4"/>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4"/>
        <w:rPr>
          <w:rFonts w:hint="eastAsia" w:asciiTheme="majorEastAsia" w:hAnsiTheme="majorEastAsia" w:eastAsiaTheme="majorEastAsia" w:cstheme="majorEastAsia"/>
          <w:b/>
          <w:bCs/>
          <w:i w:val="0"/>
          <w:iCs w:val="0"/>
          <w:caps w:val="0"/>
          <w:spacing w:val="0"/>
          <w:sz w:val="24"/>
          <w:szCs w:val="24"/>
          <w:shd w:val="clear" w:fill="FFFFFF"/>
          <w:lang w:val="en-US" w:eastAsia="zh-CN"/>
        </w:rPr>
      </w:pPr>
      <w:r>
        <w:rPr>
          <w:rFonts w:hint="eastAsia" w:asciiTheme="majorEastAsia" w:hAnsiTheme="majorEastAsia" w:eastAsiaTheme="majorEastAsia" w:cstheme="majorEastAsia"/>
          <w:b/>
          <w:bCs/>
          <w:i w:val="0"/>
          <w:iCs w:val="0"/>
          <w:caps w:val="0"/>
          <w:spacing w:val="0"/>
          <w:sz w:val="24"/>
          <w:szCs w:val="24"/>
          <w:shd w:val="clear" w:fill="FFFFFF"/>
          <w:lang w:val="en-US" w:eastAsia="zh-CN"/>
        </w:rPr>
        <w:t>物流配送需求</w:t>
      </w:r>
    </w:p>
    <w:p w14:paraId="0B0A1834">
      <w:pPr>
        <w:keepNext w:val="0"/>
        <w:keepLines w:val="0"/>
        <w:pageBreakBefore w:val="0"/>
        <w:widowControl/>
        <w:numPr>
          <w:ilvl w:val="0"/>
          <w:numId w:val="32"/>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无人机物流的突破</w:t>
      </w:r>
    </w:p>
    <w:p w14:paraId="4F9A08EC">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2025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月</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13</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日，沈阳市沈北新区无人机物流运输测试验证航线首飞成功，标志着沈阳开启无人机"送快递"时代。当日上午</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9</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时</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38</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分，随着"飞手"按下"一键起飞"按钮，一台大疆FC30运载无人机携带</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30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公斤货物平稳爬升至半空，按照指定航线飞往收货点位。</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6</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分钟后，无人机平稳降落。</w:t>
      </w:r>
    </w:p>
    <w:p w14:paraId="665A1280">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这次首飞共运载</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30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千克货物，"无人车+无人机"协作，不到</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15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分钟就将货物送到终端客户手中。辽宁顺丰沈北经营分部负责人王梓汇表示："正常需要</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45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分钟完成的配送任务，使用无人机只需要</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15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分钟。"这意味着无人机配送效率较传统人工配送提升了</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3</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倍。</w:t>
      </w:r>
    </w:p>
    <w:p w14:paraId="1270E712">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沈北新区打造的无人机物流运输应用场景一期规划两条飞行航线：从辽宁顺丰沈北经营分部虎石台综合营业店至中国医科大学（沈北校区）的</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2.7</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公里航线，以及至辽宁经济管理干部学院的</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1.6</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公里航线。这两条测试验证航线均已获批，为后续沈阳乃至全省同步开展无人机物流配送积累了宝贵经验。</w:t>
      </w:r>
    </w:p>
    <w:p w14:paraId="2B309EE7">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此次首飞不仅是沈阳的首条无人机物流航线，更是东北地区的首次突破。首飞所在地——位于沈北新区的沈阳航空航天城是沈阳市"双核一基地"航空产业发展格局中的"一核"，目前已初步形成生产、配套、服务、平台等低空经济产业体系。沈北新区获批众飞全场景、爱飞客飞行体验、金鹿飞行培训等7个空域以及大学城无人机物流运输两条测试验证航线，并配套建设了10个低空起降点</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[65]</w:t>
      </w:r>
      <w:r>
        <w:rPr>
          <w:rFonts w:hint="default" w:ascii="Segoe UI" w:hAnsi="Segoe UI" w:eastAsia="宋体" w:cs="Segoe UI"/>
          <w:i w:val="0"/>
          <w:iCs w:val="0"/>
          <w:caps w:val="0"/>
          <w:spacing w:val="0"/>
          <w:sz w:val="24"/>
          <w:szCs w:val="24"/>
          <w:shd w:val="clear" w:fill="FFFFFF"/>
          <w:lang w:val="en-US" w:eastAsia="zh-CN"/>
        </w:rPr>
        <w:t>。</w:t>
      </w:r>
    </w:p>
    <w:p w14:paraId="784F4738">
      <w:pPr>
        <w:keepNext w:val="0"/>
        <w:keepLines w:val="0"/>
        <w:pageBreakBefore w:val="0"/>
        <w:widowControl/>
        <w:numPr>
          <w:ilvl w:val="0"/>
          <w:numId w:val="32"/>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全吨位货运无人机矩阵的构建</w:t>
      </w:r>
    </w:p>
    <w:p w14:paraId="2B52FFF3">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2025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12</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月</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8</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日，沈阳</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2</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吨级运投无人机正式下线，标志着全吨位货运无人机矩阵成型。依托"一核三基地"空间布局与沈阳航空航天城产业优势，当地已集聚</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30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余家低空经济相关企业，形成整机生产梯队、配套产业集群以及服务企业集群，2024</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年相关产业集群已位列辽宁省中小企业特色产业集群第一。</w:t>
      </w:r>
    </w:p>
    <w:p w14:paraId="0E231283">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目前，区域已获批</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14</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个空域、2</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条测试航线，建成</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21</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个临时起降点，5G-A通感一体化基站建设稳步推进，从核心技术研发、动力系统匹配到基础设施保障，为不同吨位货运无人机的落地运营提供了全链条支撑。SUNNY-T2000下线后将进入全面试验阶段，后续通过适航取证后，将与</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7</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吨、6</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吨级产品及</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10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吨级攻坚产品共同构建"干线重载+区域中转+末端覆盖"的立体物流网络，与已试飞的大学城无人机快递航线形成高效协同</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[66]</w:t>
      </w:r>
      <w:r>
        <w:rPr>
          <w:rFonts w:hint="default" w:ascii="Segoe UI" w:hAnsi="Segoe UI" w:eastAsia="宋体" w:cs="Segoe UI"/>
          <w:i w:val="0"/>
          <w:iCs w:val="0"/>
          <w:caps w:val="0"/>
          <w:spacing w:val="0"/>
          <w:sz w:val="24"/>
          <w:szCs w:val="24"/>
          <w:shd w:val="clear" w:fill="FFFFFF"/>
          <w:lang w:val="en-US" w:eastAsia="zh-CN"/>
        </w:rPr>
        <w:t>。</w:t>
      </w:r>
    </w:p>
    <w:p w14:paraId="218DBB02">
      <w:pPr>
        <w:keepNext w:val="0"/>
        <w:keepLines w:val="0"/>
        <w:pageBreakBefore w:val="0"/>
        <w:widowControl/>
        <w:numPr>
          <w:ilvl w:val="4"/>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4"/>
        <w:rPr>
          <w:rFonts w:hint="eastAsia" w:asciiTheme="majorEastAsia" w:hAnsiTheme="majorEastAsia" w:eastAsiaTheme="majorEastAsia" w:cstheme="majorEastAsia"/>
          <w:b/>
          <w:bCs/>
          <w:i w:val="0"/>
          <w:iCs w:val="0"/>
          <w:caps w:val="0"/>
          <w:spacing w:val="0"/>
          <w:sz w:val="24"/>
          <w:szCs w:val="24"/>
          <w:shd w:val="clear" w:fill="FFFFFF"/>
          <w:lang w:val="en-US" w:eastAsia="zh-CN"/>
        </w:rPr>
      </w:pPr>
      <w:r>
        <w:rPr>
          <w:rFonts w:hint="eastAsia" w:asciiTheme="majorEastAsia" w:hAnsiTheme="majorEastAsia" w:eastAsiaTheme="majorEastAsia" w:cstheme="majorEastAsia"/>
          <w:b/>
          <w:bCs/>
          <w:i w:val="0"/>
          <w:iCs w:val="0"/>
          <w:caps w:val="0"/>
          <w:spacing w:val="0"/>
          <w:sz w:val="24"/>
          <w:szCs w:val="24"/>
          <w:shd w:val="clear" w:fill="FFFFFF"/>
          <w:lang w:val="en-US" w:eastAsia="zh-CN"/>
        </w:rPr>
        <w:t>文旅消费需求</w:t>
      </w:r>
    </w:p>
    <w:p w14:paraId="03F589A3">
      <w:pPr>
        <w:keepNext w:val="0"/>
        <w:keepLines w:val="0"/>
        <w:pageBreakBefore w:val="0"/>
        <w:widowControl/>
        <w:numPr>
          <w:ilvl w:val="0"/>
          <w:numId w:val="33"/>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eVTOL观光旅游的兴起</w:t>
      </w:r>
    </w:p>
    <w:p w14:paraId="1C4AF643">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2025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7</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月</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4</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日，在沈北新区地坤湖公园低空文化园内，一架"蒲河1号"eVTOL（电动垂直起降）飞行器腾空起飞，5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分钟后平稳降落在地坤湖公园起降场，各项飞行数据指标正常。此次低空观光旅游场景应用试飞，是沈北新区联合沈阳市航产集团有限公司使用亿航智能EH216-S无人驾驶载人eVTOL开展的。</w:t>
      </w:r>
    </w:p>
    <w:p w14:paraId="58F2ED17">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该机型具备集群管理、无人驾驶、垂直起降、电力驱动等特点，能够自动完成起飞、巡航与降落。试飞过程中，无人机传回的蒲河廊道鸟瞰画面，展现了低空观光的独特魅力，为文旅消费开辟了新场景</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[67]</w:t>
      </w:r>
      <w:r>
        <w:rPr>
          <w:rFonts w:hint="default" w:ascii="Segoe UI" w:hAnsi="Segoe UI" w:eastAsia="宋体" w:cs="Segoe UI"/>
          <w:i w:val="0"/>
          <w:iCs w:val="0"/>
          <w:caps w:val="0"/>
          <w:spacing w:val="0"/>
          <w:sz w:val="24"/>
          <w:szCs w:val="24"/>
          <w:shd w:val="clear" w:fill="FFFFFF"/>
          <w:lang w:val="en-US" w:eastAsia="zh-CN"/>
        </w:rPr>
        <w:t>。</w:t>
      </w:r>
    </w:p>
    <w:p w14:paraId="254F09D7">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2025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7</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月</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28</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日，在浑南奥林匹克公园3号码头西广场，沈阳浑河廊道eVTOL低空观光旅游项目惊艳亮相并完成验证性试验飞行。这种全新的低空观光方式既为市民游客提供了前所未有的游览体验，也将成为浑南文旅产业的一张靓丽名片。</w:t>
      </w:r>
    </w:p>
    <w:p w14:paraId="66CE7F7E">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作为低空经济领域的创新代表，eVTOL飞行器融合了先进科技与性能。其采用模块化与轻量化设计，机身由高强度碳纤维材质打造，不仅结实耐用，还便于快速装配和更换部件，有效降低了运输与存储成本。</w:t>
      </w:r>
    </w:p>
    <w:p w14:paraId="0A3FD7CB">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特别值得一提的是，浑河廊道eVTOL低空观光项目带动了低空飞行器租赁、维护、飞行服务等相关产业发展。项目现场推出了东北首家"共享无人机柜"创新智能设备，实现24小时无人值守自助租赁，为沈阳低空经济注入新活力。</w:t>
      </w:r>
    </w:p>
    <w:p w14:paraId="5EC398AD">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2025 年</w:t>
      </w:r>
      <w:r>
        <w:rPr>
          <w:rFonts w:hint="default" w:ascii="Segoe UI" w:hAnsi="Segoe UI" w:eastAsia="宋体" w:cs="Segoe UI"/>
          <w:i w:val="0"/>
          <w:iCs w:val="0"/>
          <w:caps w:val="0"/>
          <w:spacing w:val="0"/>
          <w:sz w:val="24"/>
          <w:szCs w:val="24"/>
          <w:shd w:val="clear" w:fill="FFFFFF"/>
          <w:lang w:val="en-US" w:eastAsia="zh-CN"/>
        </w:rPr>
        <w:t>以来，浑南区率先成立低空经济工作专班，制定《浑南区低空经济发展行动计划(2025)》，已规划</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86</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个低空起降点、6</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个枢纽站，为低空经济的发展奠定了坚实基础。浑南区发改局副局长尹燕飞表示："相信以后空中出租车、无人机快递等低空经济应用场景会逐步融入日常生活</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[68]</w:t>
      </w:r>
      <w:r>
        <w:rPr>
          <w:rFonts w:hint="default" w:ascii="Segoe UI" w:hAnsi="Segoe UI" w:eastAsia="宋体" w:cs="Segoe UI"/>
          <w:i w:val="0"/>
          <w:iCs w:val="0"/>
          <w:caps w:val="0"/>
          <w:spacing w:val="0"/>
          <w:sz w:val="24"/>
          <w:szCs w:val="24"/>
          <w:shd w:val="clear" w:fill="FFFFFF"/>
          <w:lang w:val="en-US" w:eastAsia="zh-CN"/>
        </w:rPr>
        <w:t>。"</w:t>
      </w:r>
    </w:p>
    <w:p w14:paraId="223DD1D3">
      <w:pPr>
        <w:keepNext w:val="0"/>
        <w:keepLines w:val="0"/>
        <w:pageBreakBefore w:val="0"/>
        <w:widowControl/>
        <w:numPr>
          <w:ilvl w:val="0"/>
          <w:numId w:val="33"/>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eVTOL观光旅游的兴起</w:t>
      </w:r>
    </w:p>
    <w:p w14:paraId="715FCB02">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沈北低空文化园以无人机竞赛和娱乐为特色，集生态景观与科技体验于一体，成为低空经济的"试验田"。文化园不仅为无人机爱好者提供展示技艺的舞台，也为普通游客带来前所未有的娱乐体验。</w:t>
      </w:r>
    </w:p>
    <w:p w14:paraId="7D8038C9">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园区组织开展丰富多彩的无人机竞赛项目。有装调物流搬运赛、空中格斗赛、个人空中射击赛、“魁地奇”无人机足球赛等操控类竞赛；有蜂群舞蹈编程赛、创意图形编程赛、“飞越巅峰”赛等编程类竞赛；有“蜂鸟行动”赛、协同穿越挑战赛等组合类竞赛；有模拟飞行定点返场挑战赛、模拟飞行大飞机转场挑战赛、模拟飞行直升机团队救援挑战赛等虚拟类竞赛；有动力飞行器创意赛、扑翼飞行器个人飞行赛等创意类竞赛</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[69]</w:t>
      </w:r>
      <w:r>
        <w:rPr>
          <w:rFonts w:hint="default" w:ascii="Segoe UI" w:hAnsi="Segoe UI" w:eastAsia="宋体" w:cs="Segoe UI"/>
          <w:i w:val="0"/>
          <w:iCs w:val="0"/>
          <w:caps w:val="0"/>
          <w:spacing w:val="0"/>
          <w:sz w:val="24"/>
          <w:szCs w:val="24"/>
          <w:shd w:val="clear" w:fill="FFFFFF"/>
          <w:lang w:val="en-US" w:eastAsia="zh-CN"/>
        </w:rPr>
        <w:t>。</w:t>
      </w:r>
    </w:p>
    <w:p w14:paraId="5E790FE9">
      <w:pPr>
        <w:keepNext w:val="0"/>
        <w:keepLines w:val="0"/>
        <w:pageBreakBefore w:val="0"/>
        <w:widowControl/>
        <w:numPr>
          <w:ilvl w:val="4"/>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4"/>
        <w:rPr>
          <w:rFonts w:hint="eastAsia" w:asciiTheme="majorEastAsia" w:hAnsiTheme="majorEastAsia" w:eastAsiaTheme="majorEastAsia" w:cstheme="majorEastAsia"/>
          <w:b/>
          <w:bCs/>
          <w:i w:val="0"/>
          <w:iCs w:val="0"/>
          <w:caps w:val="0"/>
          <w:spacing w:val="0"/>
          <w:sz w:val="24"/>
          <w:szCs w:val="24"/>
          <w:shd w:val="clear" w:fill="FFFFFF"/>
          <w:lang w:val="en-US" w:eastAsia="zh-CN"/>
        </w:rPr>
      </w:pPr>
      <w:r>
        <w:rPr>
          <w:rFonts w:hint="eastAsia" w:asciiTheme="majorEastAsia" w:hAnsiTheme="majorEastAsia" w:eastAsiaTheme="majorEastAsia" w:cstheme="majorEastAsia"/>
          <w:b/>
          <w:bCs/>
          <w:i w:val="0"/>
          <w:iCs w:val="0"/>
          <w:caps w:val="0"/>
          <w:spacing w:val="0"/>
          <w:sz w:val="24"/>
          <w:szCs w:val="24"/>
          <w:shd w:val="clear" w:fill="FFFFFF"/>
          <w:lang w:val="en-US" w:eastAsia="zh-CN"/>
        </w:rPr>
        <w:t>农业与工业应用需求</w:t>
      </w:r>
    </w:p>
    <w:p w14:paraId="36F29DF9">
      <w:pPr>
        <w:keepNext w:val="0"/>
        <w:keepLines w:val="0"/>
        <w:pageBreakBefore w:val="0"/>
        <w:widowControl/>
        <w:numPr>
          <w:ilvl w:val="0"/>
          <w:numId w:val="34"/>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无人机植保的技术革新</w:t>
      </w:r>
    </w:p>
    <w:p w14:paraId="6F394733">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2025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6</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月，正值农作物生长关键期，辽宁各地农田里涌现出不少科技"神器"，农作物夏管变得更加智慧和高效。在沈阳市苏家屯区，玉米生长正值拔节期，一架植保无人机低空掠过翠绿的田野，投下一个个乒乓球大小的白色球体。这是装着赤眼蜂的"放蜂器"。</w:t>
      </w:r>
    </w:p>
    <w:p w14:paraId="49FCE399">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沈阳市乡村振兴发展中心研究员黄欣阳拿起一个"放蜂器"向记者介绍："赤眼蜂是一种寄生性天敌昆虫，是玉米螟的天敌。每个'放蜂器'里能释放超过</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5000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只赤眼蜂，羽化后的赤眼蜂会将自己的卵产在玉米螟的卵内，赤眼蜂幼虫孵化后，以玉米螟卵液为食，从而抑制玉米螟卵的孵化，达到'以虫治虫'的生物防治效果。"</w:t>
      </w:r>
    </w:p>
    <w:p w14:paraId="48166F9A">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辽宁省植保植检总站研究员张丹介绍，玉米螟是玉米生产中的主要害虫之一，其幼虫蛀食玉米茎秆、穗部等，严重影响玉米的产量和品质。相对于以往依靠化学农药防治玉米螟，利用赤眼蜂进行生物防治，不仅绿色环保，而且效果显著。</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2025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年，沈阳市在九个涉农区、县（市）推广无人机投放赤眼蜂防治玉米螟技术，推广面积达到</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34</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万亩</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[70]</w:t>
      </w:r>
      <w:r>
        <w:rPr>
          <w:rFonts w:hint="default" w:ascii="Segoe UI" w:hAnsi="Segoe UI" w:eastAsia="宋体" w:cs="Segoe UI"/>
          <w:i w:val="0"/>
          <w:iCs w:val="0"/>
          <w:caps w:val="0"/>
          <w:spacing w:val="0"/>
          <w:sz w:val="24"/>
          <w:szCs w:val="24"/>
          <w:shd w:val="clear" w:fill="FFFFFF"/>
          <w:lang w:val="en-US" w:eastAsia="zh-CN"/>
        </w:rPr>
        <w:t>。</w:t>
      </w:r>
    </w:p>
    <w:p w14:paraId="7836E6E1">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沈北新区积极推动无人机农业应用场景，引进极飞、沃谷、金丰春、优选空天科工等企业开展无人机植保服务，全力打造"低空经济+农业"应用场景。目前，沈北新区无人机植保已覆盖</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40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余万亩，大幅提高了植保水平，为科技赋能农业提供了有力支撑</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[71]</w:t>
      </w:r>
      <w:r>
        <w:rPr>
          <w:rFonts w:hint="default" w:ascii="Segoe UI" w:hAnsi="Segoe UI" w:eastAsia="宋体" w:cs="Segoe UI"/>
          <w:i w:val="0"/>
          <w:iCs w:val="0"/>
          <w:caps w:val="0"/>
          <w:spacing w:val="0"/>
          <w:sz w:val="24"/>
          <w:szCs w:val="24"/>
          <w:shd w:val="clear" w:fill="FFFFFF"/>
          <w:lang w:val="en-US" w:eastAsia="zh-CN"/>
        </w:rPr>
        <w:t>。</w:t>
      </w:r>
    </w:p>
    <w:p w14:paraId="3EA20053">
      <w:pPr>
        <w:keepNext w:val="0"/>
        <w:keepLines w:val="0"/>
        <w:pageBreakBefore w:val="0"/>
        <w:widowControl/>
        <w:numPr>
          <w:ilvl w:val="0"/>
          <w:numId w:val="34"/>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电力巡检的效率提升</w:t>
      </w:r>
    </w:p>
    <w:p w14:paraId="300301F3">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2025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3</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月</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24</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日，辽宁省沈阳市沈北新区兴隆台街道五家子村水稻种植基地上空，5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架搭载高清摄像头和红外热成像设备的无人机沿着预设航线，对水田中的26眼机井供电的</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10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千伏线路进行全面巡检。今年春季，国网沈阳供电公司首次将无人机自主巡检应用在春耕春灌保电工作中。</w:t>
      </w:r>
    </w:p>
    <w:p w14:paraId="0444A3B6">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pPr>
      <w:r>
        <w:rPr>
          <w:rFonts w:hint="default" w:ascii="Segoe UI" w:hAnsi="Segoe UI" w:eastAsia="宋体" w:cs="Segoe UI"/>
          <w:i w:val="0"/>
          <w:iCs w:val="0"/>
          <w:caps w:val="0"/>
          <w:spacing w:val="0"/>
          <w:sz w:val="24"/>
          <w:szCs w:val="24"/>
          <w:shd w:val="clear" w:fill="FFFFFF"/>
          <w:lang w:val="en-US" w:eastAsia="zh-CN"/>
        </w:rPr>
        <w:t>国网沈阳供电公司相关负责人介绍说："10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千伏农田机井配电线路作为农业灌溉的'生命线'，人工巡检时，工作人员需徒步穿越泥泞田地，日均仅能完成</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公里线路巡检，不仅耗费大量人力，而且存在视觉盲区。"参加春耕春灌保电工作的无人机，单日巡检能力已突破</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17</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公里，相比人工巡检效率可提升</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倍，其中每台无人机可精准覆盖</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53</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个机井台区的</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10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千伏线路，对绝缘子破损、导线断股等缺陷识别准确率达</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90%。</w:t>
      </w:r>
    </w:p>
    <w:p w14:paraId="38B52059">
      <w:pPr>
        <w:keepNext w:val="0"/>
        <w:keepLines w:val="0"/>
        <w:pageBreakBefore w:val="0"/>
        <w:widowControl/>
        <w:numPr>
          <w:ilvl w:val="4"/>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4"/>
        <w:rPr>
          <w:rFonts w:hint="eastAsia" w:asciiTheme="majorEastAsia" w:hAnsiTheme="majorEastAsia" w:eastAsiaTheme="majorEastAsia" w:cstheme="majorEastAsia"/>
          <w:b/>
          <w:bCs/>
          <w:i w:val="0"/>
          <w:iCs w:val="0"/>
          <w:caps w:val="0"/>
          <w:spacing w:val="0"/>
          <w:sz w:val="24"/>
          <w:szCs w:val="24"/>
          <w:shd w:val="clear" w:fill="FFFFFF"/>
          <w:lang w:val="en-US" w:eastAsia="zh-CN"/>
        </w:rPr>
      </w:pPr>
      <w:r>
        <w:rPr>
          <w:rFonts w:hint="eastAsia" w:asciiTheme="majorEastAsia" w:hAnsiTheme="majorEastAsia" w:eastAsiaTheme="majorEastAsia" w:cstheme="majorEastAsia"/>
          <w:b/>
          <w:bCs/>
          <w:i w:val="0"/>
          <w:iCs w:val="0"/>
          <w:caps w:val="0"/>
          <w:spacing w:val="0"/>
          <w:sz w:val="24"/>
          <w:szCs w:val="24"/>
          <w:shd w:val="clear" w:fill="FFFFFF"/>
          <w:lang w:val="en-US" w:eastAsia="zh-CN"/>
        </w:rPr>
        <w:t>教育培训需求</w:t>
      </w:r>
    </w:p>
    <w:p w14:paraId="514F8422">
      <w:pPr>
        <w:keepNext w:val="0"/>
        <w:keepLines w:val="0"/>
        <w:widowControl/>
        <w:numPr>
          <w:ilvl w:val="0"/>
          <w:numId w:val="35"/>
        </w:numPr>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Segoe UI" w:hAnsi="Segoe UI" w:eastAsia="宋体" w:cs="Segoe UI"/>
          <w:i w:val="0"/>
          <w:iCs w:val="0"/>
          <w:caps w:val="0"/>
          <w:color w:val="000000"/>
          <w:spacing w:val="0"/>
          <w:sz w:val="24"/>
          <w:szCs w:val="24"/>
          <w:shd w:val="clear" w:fill="FFFFFF"/>
          <w:vertAlign w:val="baseline"/>
        </w:rPr>
      </w:pP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专业人才培养体系构建</w:t>
      </w:r>
    </w:p>
    <w:p w14:paraId="10EB8E84">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Segoe UI" w:hAnsi="Segoe UI" w:eastAsia="宋体" w:cs="Segoe UI"/>
          <w:i w:val="0"/>
          <w:iCs w:val="0"/>
          <w:caps w:val="0"/>
          <w:color w:val="000000"/>
          <w:spacing w:val="0"/>
          <w:sz w:val="24"/>
          <w:szCs w:val="24"/>
          <w:shd w:val="clear" w:fill="FFFFFF"/>
          <w:vertAlign w:val="baseline"/>
        </w:rPr>
      </w:pP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沈北新区引进金鹿通用航空有限公司，建设无人机飞行学校，培养航拍、测绘、巡检等行业无人机从业人员。推动众飞科技打造无人机培训考试比赛区，培养新一代无人机操作人才。</w:t>
      </w:r>
    </w:p>
    <w:p w14:paraId="782FE5D2">
      <w:pPr>
        <w:keepNext w:val="0"/>
        <w:keepLines w:val="0"/>
        <w:widowControl/>
        <w:numPr>
          <w:ilvl w:val="0"/>
          <w:numId w:val="35"/>
        </w:numPr>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Segoe UI" w:hAnsi="Segoe UI" w:eastAsia="宋体" w:cs="Segoe UI"/>
          <w:i w:val="0"/>
          <w:iCs w:val="0"/>
          <w:caps w:val="0"/>
          <w:color w:val="000000"/>
          <w:spacing w:val="0"/>
          <w:sz w:val="24"/>
          <w:szCs w:val="24"/>
          <w:shd w:val="clear" w:fill="FFFFFF"/>
          <w:vertAlign w:val="baseline"/>
        </w:rPr>
      </w:pP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多元化培训场景的创设</w:t>
      </w:r>
    </w:p>
    <w:p w14:paraId="5505A781">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Segoe UI" w:hAnsi="Segoe UI" w:eastAsia="宋体" w:cs="Segoe UI"/>
          <w:i w:val="0"/>
          <w:iCs w:val="0"/>
          <w:caps w:val="0"/>
          <w:color w:val="000000"/>
          <w:spacing w:val="0"/>
          <w:sz w:val="24"/>
          <w:szCs w:val="24"/>
          <w:shd w:val="clear" w:fill="FFFFFF"/>
          <w:vertAlign w:val="baseline"/>
        </w:rPr>
      </w:pP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在沈北新区中兴科技园，每个周末或是节假日，众飞科技精心打造的青少年无人机研学基地都会吸引来自八方的无人机青少年爱好者。无人机竞技正以</w:t>
      </w:r>
      <w:r>
        <w:rPr>
          <w:rFonts w:hint="default" w:ascii="Segoe UI" w:hAnsi="Segoe UI" w:eastAsia="宋体" w:cs="Segoe UI"/>
          <w:i w:val="0"/>
          <w:iCs w:val="0"/>
          <w:caps w:val="0"/>
          <w:snapToGrid w:val="0"/>
          <w:color w:val="000000"/>
          <w:spacing w:val="0"/>
          <w:kern w:val="0"/>
          <w:sz w:val="24"/>
          <w:szCs w:val="24"/>
          <w:shd w:val="clear" w:fill="FFFFFF"/>
          <w:vertAlign w:val="baseline"/>
          <w:lang w:val="en-US" w:eastAsia="zh-CN" w:bidi="ar"/>
        </w:rPr>
        <w:t>"</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玩中学</w:t>
      </w:r>
      <w:r>
        <w:rPr>
          <w:rFonts w:hint="default" w:ascii="Segoe UI" w:hAnsi="Segoe UI" w:eastAsia="Segoe UI" w:cs="Segoe UI"/>
          <w:i w:val="0"/>
          <w:iCs w:val="0"/>
          <w:caps w:val="0"/>
          <w:snapToGrid w:val="0"/>
          <w:color w:val="000000"/>
          <w:spacing w:val="0"/>
          <w:kern w:val="0"/>
          <w:sz w:val="24"/>
          <w:szCs w:val="24"/>
          <w:shd w:val="clear" w:fill="FFFFFF"/>
          <w:vertAlign w:val="baseline"/>
          <w:lang w:val="en-US" w:eastAsia="zh-CN" w:bidi="ar"/>
        </w:rPr>
        <w:t>"</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的创新模式悄然改变青少年教育模式</w:t>
      </w:r>
      <w:r>
        <w:rPr>
          <w:rFonts w:hint="default" w:ascii="Segoe UI" w:hAnsi="Segoe UI" w:eastAsia="Segoe UI" w:cs="Segoe UI"/>
          <w:i w:val="0"/>
          <w:iCs w:val="0"/>
          <w:caps w:val="0"/>
          <w:snapToGrid w:val="0"/>
          <w:color w:val="000000"/>
          <w:spacing w:val="0"/>
          <w:kern w:val="0"/>
          <w:sz w:val="24"/>
          <w:szCs w:val="24"/>
          <w:shd w:val="clear" w:fill="FFFFFF"/>
          <w:vertAlign w:val="baseline"/>
          <w:lang w:val="en-US" w:eastAsia="zh-CN" w:bidi="ar"/>
        </w:rPr>
        <w:t>——</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孩子们通过比赛激发学习兴趣，让空气动力学、计算机编程等专业知识，从</w:t>
      </w:r>
      <w:r>
        <w:rPr>
          <w:rFonts w:hint="default" w:ascii="Segoe UI" w:hAnsi="Segoe UI" w:eastAsia="Segoe UI" w:cs="Segoe UI"/>
          <w:i w:val="0"/>
          <w:iCs w:val="0"/>
          <w:caps w:val="0"/>
          <w:snapToGrid w:val="0"/>
          <w:color w:val="000000"/>
          <w:spacing w:val="0"/>
          <w:kern w:val="0"/>
          <w:sz w:val="24"/>
          <w:szCs w:val="24"/>
          <w:shd w:val="clear" w:fill="FFFFFF"/>
          <w:vertAlign w:val="baseline"/>
          <w:lang w:val="en-US" w:eastAsia="zh-CN" w:bidi="ar"/>
        </w:rPr>
        <w:t>"</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枯燥课本</w:t>
      </w:r>
      <w:r>
        <w:rPr>
          <w:rFonts w:hint="default" w:ascii="Segoe UI" w:hAnsi="Segoe UI" w:eastAsia="Segoe UI" w:cs="Segoe UI"/>
          <w:i w:val="0"/>
          <w:iCs w:val="0"/>
          <w:caps w:val="0"/>
          <w:snapToGrid w:val="0"/>
          <w:color w:val="000000"/>
          <w:spacing w:val="0"/>
          <w:kern w:val="0"/>
          <w:sz w:val="24"/>
          <w:szCs w:val="24"/>
          <w:shd w:val="clear" w:fill="FFFFFF"/>
          <w:vertAlign w:val="baseline"/>
          <w:lang w:val="en-US" w:eastAsia="zh-CN" w:bidi="ar"/>
        </w:rPr>
        <w:t>"</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变为</w:t>
      </w:r>
      <w:r>
        <w:rPr>
          <w:rFonts w:hint="default" w:ascii="Segoe UI" w:hAnsi="Segoe UI" w:eastAsia="Segoe UI" w:cs="Segoe UI"/>
          <w:i w:val="0"/>
          <w:iCs w:val="0"/>
          <w:caps w:val="0"/>
          <w:snapToGrid w:val="0"/>
          <w:color w:val="000000"/>
          <w:spacing w:val="0"/>
          <w:kern w:val="0"/>
          <w:sz w:val="24"/>
          <w:szCs w:val="24"/>
          <w:shd w:val="clear" w:fill="FFFFFF"/>
          <w:vertAlign w:val="baseline"/>
          <w:lang w:val="en-US" w:eastAsia="zh-CN" w:bidi="ar"/>
        </w:rPr>
        <w:t>"</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制胜法宝</w:t>
      </w:r>
      <w:r>
        <w:rPr>
          <w:rFonts w:hint="default" w:ascii="Segoe UI" w:hAnsi="Segoe UI" w:eastAsia="Segoe UI" w:cs="Segoe UI"/>
          <w:i w:val="0"/>
          <w:iCs w:val="0"/>
          <w:caps w:val="0"/>
          <w:snapToGrid w:val="0"/>
          <w:color w:val="000000"/>
          <w:spacing w:val="0"/>
          <w:kern w:val="0"/>
          <w:sz w:val="24"/>
          <w:szCs w:val="24"/>
          <w:shd w:val="clear" w:fill="FFFFFF"/>
          <w:vertAlign w:val="baseline"/>
          <w:lang w:val="en-US" w:eastAsia="zh-CN" w:bidi="ar"/>
        </w:rPr>
        <w:t>"</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w:t>
      </w:r>
    </w:p>
    <w:p w14:paraId="3285F3AB">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市场需求增长潜力</w:t>
      </w:r>
    </w:p>
    <w:p w14:paraId="7076D338">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沈阳市低空经济需求端呈现出多元化、多层次、多领域的特点。从城市治理的智慧化升级到物流配送的效率革命，从文旅消费的创新体验到农业工业的技术赋能，从专业人才培养到市场规模扩张，每一个需求维度都蕴含着巨大的市场潜力和发展空间。</w:t>
      </w:r>
    </w:p>
    <w:p w14:paraId="0096D684">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城市治理需求推动了"空中智慧大脑"的部署，实现了政务巡检的智能化升级；物流配送需求催生了从大学城到全吨位货运的立体物流网络；文旅消费需求创造了"空中瞰沈阳"的全新体验；农业工业需求实现了传统产业的技术赋能；教育培训需求构建了产业未来的人才支撑。</w:t>
      </w:r>
    </w:p>
    <w:p w14:paraId="52C9B3B0">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这些需求不仅反映了沈阳市低空经济发展的现实需要，更预示着低空经济作为新质生产力的重要组成部分，将在未来城市发展中发挥越来越重要的作用。随着《沈阳市低空经济高质量发展行动计划(2024-2026年)》的深入实施，以及各项应用场景的不断拓展，沈阳市低空经济需求端将继续保持快速增长态势，为产业高质量发展提供强劲动力。</w:t>
      </w:r>
    </w:p>
    <w:p w14:paraId="30BEC56D">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低空经济正在从概念走向现实，从试点走向规模化，从单一应用走向生态构建。沈阳市凭借其雄厚的产业基础、完善的政策体系和多元化的市场需求，在低空经济这一新赛道上加速前行，为东北振兴和城市高质量发展开辟新的航道。</w:t>
      </w:r>
    </w:p>
    <w:p w14:paraId="16036015">
      <w:pPr>
        <w:keepNext w:val="0"/>
        <w:keepLines w:val="0"/>
        <w:pageBreakBefore w:val="0"/>
        <w:widowControl/>
        <w:numPr>
          <w:ilvl w:val="2"/>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2"/>
        <w:rPr>
          <w:rFonts w:hint="default" w:ascii="Segoe UI" w:hAnsi="Segoe UI" w:eastAsia="Segoe UI" w:cs="Segoe UI"/>
          <w:b/>
          <w:bCs/>
          <w:i w:val="0"/>
          <w:iCs w:val="0"/>
          <w:caps w:val="0"/>
          <w:spacing w:val="0"/>
          <w:sz w:val="24"/>
          <w:szCs w:val="24"/>
          <w:shd w:val="clear" w:fill="FFFFFF"/>
          <w:lang w:val="en-US" w:eastAsia="zh-CN"/>
        </w:rPr>
      </w:pPr>
      <w:r>
        <w:rPr>
          <w:rFonts w:hint="eastAsia"/>
          <w:b/>
          <w:bCs/>
          <w:sz w:val="24"/>
          <w:szCs w:val="24"/>
          <w:lang w:val="en-US" w:eastAsia="zh-CN"/>
        </w:rPr>
        <w:t xml:space="preserve"> 供给端分析</w:t>
      </w:r>
    </w:p>
    <w:p w14:paraId="31D24815">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供给端产业生态</w:t>
      </w:r>
    </w:p>
    <w:p w14:paraId="79031681">
      <w:pPr>
        <w:keepNext w:val="0"/>
        <w:keepLines w:val="0"/>
        <w:pageBreakBefore w:val="0"/>
        <w:widowControl/>
        <w:numPr>
          <w:ilvl w:val="4"/>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4"/>
        <w:rPr>
          <w:rFonts w:hint="eastAsia" w:asciiTheme="majorEastAsia" w:hAnsiTheme="majorEastAsia" w:eastAsiaTheme="majorEastAsia" w:cstheme="majorEastAsia"/>
          <w:b/>
          <w:bCs/>
          <w:i w:val="0"/>
          <w:iCs w:val="0"/>
          <w:caps w:val="0"/>
          <w:spacing w:val="0"/>
          <w:sz w:val="24"/>
          <w:szCs w:val="24"/>
          <w:shd w:val="clear" w:fill="FFFFFF"/>
          <w:lang w:val="en-US" w:eastAsia="zh-CN"/>
        </w:rPr>
      </w:pPr>
      <w:r>
        <w:rPr>
          <w:rFonts w:hint="eastAsia" w:asciiTheme="majorEastAsia" w:hAnsiTheme="majorEastAsia" w:eastAsiaTheme="majorEastAsia" w:cstheme="majorEastAsia"/>
          <w:b/>
          <w:bCs/>
          <w:i w:val="0"/>
          <w:iCs w:val="0"/>
          <w:caps w:val="0"/>
          <w:spacing w:val="0"/>
          <w:sz w:val="24"/>
          <w:szCs w:val="24"/>
          <w:shd w:val="clear" w:fill="FFFFFF"/>
          <w:lang w:val="en-US" w:eastAsia="zh-CN"/>
        </w:rPr>
        <w:t>概况</w:t>
      </w:r>
    </w:p>
    <w:p w14:paraId="6A028F5B">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Chars="0" w:firstLine="420" w:firstLineChars="0"/>
        <w:jc w:val="left"/>
        <w:textAlignment w:val="baseline"/>
        <w:outlineLvl w:val="9"/>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沈阳作为新中国航空工业的核心发源地，深耕航空装备制造七十余年，依托雄厚的航空工业积淀、多层次科研创新载体、双国家级低空经济试点资质与完善的政策扶持体系，整体形成了整机制造引领、核心部件配套、科创研发赋能、空管系统保障、园区载体承载、专业人才支撑的低空经济供给端产业生态。凭借完整的产业链布局与成熟的产业协作模式，沈阳具备从飞行器原始设计、核心零部件加工、整机总装集成，到飞行管控、运维服务、适航验证的全流程供给能力，是国内低空经济产业基础最扎实、配套体系最完善、综合供给实力最突出的重点城市之一。</w:t>
      </w:r>
    </w:p>
    <w:p w14:paraId="4BDC60F9">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Chars="0" w:firstLine="420" w:firstLineChars="0"/>
        <w:jc w:val="left"/>
        <w:textAlignment w:val="baseline"/>
        <w:outlineLvl w:val="9"/>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产业结构层面，沈阳低空经济供给端布局层次清晰、分工明确、协同紧密。整机制造领域集聚大载重货运无人机、新能源通用飞机、氢动力特种无人机、工业级多旋翼飞行器多条产品线，形成 2 吨级至 10 吨级梯度化货运无人装备产能矩阵，错位布局高附加值工业级低空装备赛道；核心部件领域覆盖飞行控制系统、航空动力装置、新能源动力系统、复合材料结构件、智能任务载荷等关键环节，本地配套协作体系成熟，上下游企业联动紧密，有效降低研发生产成本、缩短产品迭代周期；智能保障领域依托本土空管龙头企业，搭建一体化低空管控、监视预警、航路规划、气象保障综合体系，率先破解低空空域开放、飞行安全监管、跨区域飞行协同等行业共性难题；科创与人才层面依托头部科研院所、重点高校、企业研发中心，构建产学研用深度融合的创新机制，持续为产业迭代输出关键技术与专业人才。</w:t>
      </w:r>
    </w:p>
    <w:p w14:paraId="1EDD161B">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Chars="0" w:firstLine="420" w:firstLineChars="0"/>
        <w:jc w:val="left"/>
        <w:textAlignment w:val="baseline"/>
        <w:outlineLvl w:val="9"/>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空间布局层面，沈阳打造双核驱动、多点联动、全域覆盖的低空产业承载格局。沈北新区聚焦大型无人运输机、新能源飞行器总装制造，集聚一批龙头整机企业与核心配套厂商，打造北方重要低空装备智造基地；法库通用航空产业基地依托成熟跑道设施、专用试飞空域与通航运营基础，承担飞行试验、适航验证、低空文旅、运维保障等功能；皇姑低空数智产业园聚焦低空数字管控、软件研发、项目孵化与企业总部经济，补齐低空经济数字服务短板；浑南、于洪等区域分批布局城市低空起降节点、物流接驳场站与巡检服务网点，形成生产制造、试验试飞、运营应用相互衔接的空间发展格局。</w:t>
      </w:r>
    </w:p>
    <w:p w14:paraId="1CACE547">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Chars="0" w:firstLine="420" w:firstLineChars="0"/>
        <w:jc w:val="left"/>
        <w:textAlignment w:val="baseline"/>
        <w:outlineLvl w:val="9"/>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政策与制度层面，沈阳叠加国家级战略试点优势与省市专项政策红利，持续优化供给端发展环境。沈阳是全国为数不多同时获批首批国家通用航空产业综合示范区、首批国家民用无人驾驶航空试验基地（试验区）的城市，在空域审批、飞行试点、适航准入、场景应用等方面享有先行先试权限。《沈阳市低空经济高质量发展行动计划（2024-2026 年）》系统性明确产业发展目标、重点任务与扶持举措，从技术研发补贴、整机取证奖励、航线运营补助、企业培育扶持等多维度，持续降低企业生产经营与创新研发成本，不断激活市场主体活力，持续夯实低空经济供给端综合实力。</w:t>
      </w:r>
    </w:p>
    <w:p w14:paraId="2FE5F0FA">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Chars="0" w:firstLine="420" w:firstLineChars="0"/>
        <w:jc w:val="left"/>
        <w:textAlignment w:val="baseline"/>
        <w:outlineLvl w:val="9"/>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整体来看，沈阳低空经济供给生态呈现军工技术民用转化、央地企业协同发展、大中小企业融通配套、科创产业深度耦合的鲜明特征。依托长期积累的航空制造底蕴与科研攻关能力，沈阳跳出消费级无人机同质化竞争，重点发力大载重物流无人机、新能源载人通航飞机、极端环境特种飞行器等高壁垒领域，形成不可复制的供给优势，为全市低空经济规模化发展、场景化落地、产业化升级筑牢坚实产业根基</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[72]</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w:t>
      </w:r>
    </w:p>
    <w:p w14:paraId="6DC2EA5D">
      <w:pPr>
        <w:keepNext w:val="0"/>
        <w:keepLines w:val="0"/>
        <w:pageBreakBefore w:val="0"/>
        <w:widowControl/>
        <w:numPr>
          <w:ilvl w:val="4"/>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4"/>
        <w:rPr>
          <w:rFonts w:hint="eastAsia" w:asciiTheme="majorEastAsia" w:hAnsiTheme="majorEastAsia" w:eastAsiaTheme="majorEastAsia" w:cstheme="majorEastAsia"/>
          <w:b/>
          <w:bCs/>
          <w:i w:val="0"/>
          <w:iCs w:val="0"/>
          <w:caps w:val="0"/>
          <w:spacing w:val="0"/>
          <w:sz w:val="24"/>
          <w:szCs w:val="24"/>
          <w:shd w:val="clear" w:fill="FFFFFF"/>
          <w:lang w:val="en-US" w:eastAsia="zh-CN"/>
        </w:rPr>
      </w:pPr>
      <w:r>
        <w:rPr>
          <w:rFonts w:hint="eastAsia" w:asciiTheme="majorEastAsia" w:hAnsiTheme="majorEastAsia" w:eastAsiaTheme="majorEastAsia" w:cstheme="majorEastAsia"/>
          <w:b/>
          <w:bCs/>
          <w:i w:val="0"/>
          <w:iCs w:val="0"/>
          <w:caps w:val="0"/>
          <w:spacing w:val="0"/>
          <w:sz w:val="24"/>
          <w:szCs w:val="24"/>
          <w:shd w:val="clear" w:fill="FFFFFF"/>
          <w:lang w:val="en-US" w:eastAsia="zh-CN"/>
        </w:rPr>
        <w:t>产业生态构建核心企业</w:t>
      </w:r>
    </w:p>
    <w:p w14:paraId="0544A2CD">
      <w:pPr>
        <w:keepNext w:val="0"/>
        <w:keepLines w:val="0"/>
        <w:widowControl/>
        <w:numPr>
          <w:ilvl w:val="5"/>
          <w:numId w:val="1"/>
        </w:numPr>
        <w:suppressLineNumbers w:val="0"/>
        <w:kinsoku w:val="0"/>
        <w:autoSpaceDE w:val="0"/>
        <w:autoSpaceDN w:val="0"/>
        <w:adjustRightInd w:val="0"/>
        <w:snapToGrid w:val="0"/>
        <w:spacing w:before="0" w:beforeLines="10" w:beforeAutospacing="0" w:after="0" w:afterLines="30" w:afterAutospacing="0" w:line="288" w:lineRule="auto"/>
        <w:ind w:left="0" w:leftChars="0" w:right="0" w:rightChars="0" w:firstLine="0" w:firstLineChars="0"/>
        <w:jc w:val="left"/>
        <w:textAlignment w:val="baseline"/>
        <w:outlineLvl w:val="5"/>
        <w:rPr>
          <w:rFonts w:hint="default" w:ascii="宋体" w:hAnsi="宋体" w:eastAsia="宋体" w:cs="宋体"/>
          <w:b/>
          <w:bCs/>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b/>
          <w:bCs/>
          <w:i w:val="0"/>
          <w:iCs w:val="0"/>
          <w:caps w:val="0"/>
          <w:snapToGrid w:val="0"/>
          <w:color w:val="000000"/>
          <w:spacing w:val="0"/>
          <w:kern w:val="0"/>
          <w:sz w:val="24"/>
          <w:szCs w:val="24"/>
          <w:shd w:val="clear" w:fill="FFFFFF"/>
          <w:vertAlign w:val="baseline"/>
          <w:lang w:val="en-US" w:eastAsia="zh-CN" w:bidi="ar"/>
        </w:rPr>
        <w:t>沈阳航空产业集团</w:t>
      </w:r>
    </w:p>
    <w:p w14:paraId="6D5E460A">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Chars="0" w:firstLine="420" w:firstLineChars="0"/>
        <w:jc w:val="left"/>
        <w:textAlignment w:val="baseline"/>
        <w:outlineLvl w:val="9"/>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沈阳航空产业集团有限公司成立于 2016 年 6 月，是沈阳市市属一级国企中唯一专注于航空航天产业的资本投资运营管理平台，是作为推动沈阳建设航空航天产业集群的链长单位和重要实施主体。集团以"搭建服务平台，实现场景应用，拉动研发生产"为发展思路，在低空经济领域构建了"资本+产业+平台"的生态引领模式，成为沈阳市低空经济发展的核心引擎和系统集成者。</w:t>
      </w:r>
    </w:p>
    <w:p w14:paraId="58A3F579">
      <w:pPr>
        <w:keepNext w:val="0"/>
        <w:keepLines w:val="0"/>
        <w:widowControl/>
        <w:numPr>
          <w:ilvl w:val="0"/>
          <w:numId w:val="36"/>
        </w:numPr>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Segoe UI" w:hAnsi="Segoe UI" w:eastAsia="宋体" w:cs="Segoe UI"/>
          <w:i w:val="0"/>
          <w:iCs w:val="0"/>
          <w:caps w:val="0"/>
          <w:color w:val="000000"/>
          <w:spacing w:val="0"/>
          <w:sz w:val="24"/>
          <w:szCs w:val="24"/>
          <w:shd w:val="clear" w:fill="FFFFFF"/>
          <w:vertAlign w:val="baseline"/>
          <w:lang w:val="en-US" w:eastAsia="zh-CN"/>
        </w:rPr>
      </w:pPr>
      <w:r>
        <w:rPr>
          <w:rFonts w:hint="default" w:ascii="Segoe UI" w:hAnsi="Segoe UI" w:eastAsia="宋体" w:cs="Segoe UI"/>
          <w:i w:val="0"/>
          <w:iCs w:val="0"/>
          <w:caps w:val="0"/>
          <w:color w:val="000000"/>
          <w:spacing w:val="0"/>
          <w:sz w:val="24"/>
          <w:szCs w:val="24"/>
          <w:shd w:val="clear" w:fill="FFFFFF"/>
          <w:vertAlign w:val="baseline"/>
          <w:lang w:val="en-US" w:eastAsia="zh-CN"/>
        </w:rPr>
        <w:t xml:space="preserve">战略投资与产业布局 </w:t>
      </w:r>
    </w:p>
    <w:p w14:paraId="4817F589">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Chars="0" w:firstLine="420" w:firstLineChars="0"/>
        <w:jc w:val="left"/>
        <w:textAlignment w:val="baseline"/>
        <w:outlineLvl w:val="9"/>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沈阳航空产业集团在低空经济产业积极展开战略布局，通过市场化投资平台精准对接产业链关键环节。2026 年 3 月，集团旗下全资子公司沈阳航空产业投资基金管理有限公司高效完成了对低空安防领域明星企业珠海中科慧智科技有限公司的千万元级战略投资。中科慧智专注于低空预警雷达、反无人机系统等关键技术，其业务布局与沈阳市低空经济发展战略高度契合。此次投资是沈阳国资以耐心资本撬动新兴产业的生动注脚，标志着集团"战略投资+产业合作+金融服务"模式进入实质性推进阶段。</w:t>
      </w:r>
    </w:p>
    <w:p w14:paraId="45A32123">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Chars="0" w:firstLine="420" w:firstLineChars="0"/>
        <w:jc w:val="left"/>
        <w:textAlignment w:val="baseline"/>
        <w:outlineLvl w:val="9"/>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集团的投资布局不仅限于单一企业，而是围绕低空经济全产业链进行系统化配置。通过"直投+自管+协同"的投资模式，集团已发起设立 6 支基金，实缴管理规模达 7 亿元，投资了沈飞民机、10 吨级无人机、eVTOL飞行器、昌兴航空、强航时代等优质项目十余个。同时，集团按照"双核一基地"空间布局，坚持"头部企业+配套园区"的建设模式，围绕主机厂已建在建航空产业园区七期，入驻企业 70 余户，拉动投资约 120 亿元，推动了央企配套产业链的本地化集聚</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[73]</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w:t>
      </w:r>
    </w:p>
    <w:p w14:paraId="7CAB5D02">
      <w:pPr>
        <w:keepNext w:val="0"/>
        <w:keepLines w:val="0"/>
        <w:widowControl/>
        <w:numPr>
          <w:ilvl w:val="0"/>
          <w:numId w:val="36"/>
        </w:numPr>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Segoe UI" w:hAnsi="Segoe UI" w:eastAsia="宋体" w:cs="Segoe UI"/>
          <w:i w:val="0"/>
          <w:iCs w:val="0"/>
          <w:caps w:val="0"/>
          <w:color w:val="000000"/>
          <w:spacing w:val="0"/>
          <w:sz w:val="24"/>
          <w:szCs w:val="24"/>
          <w:shd w:val="clear" w:fill="FFFFFF"/>
          <w:vertAlign w:val="baseline"/>
          <w:lang w:val="en-US" w:eastAsia="zh-CN"/>
        </w:rPr>
      </w:pPr>
      <w:r>
        <w:rPr>
          <w:rFonts w:hint="default" w:ascii="Segoe UI" w:hAnsi="Segoe UI" w:eastAsia="宋体" w:cs="Segoe UI"/>
          <w:i w:val="0"/>
          <w:iCs w:val="0"/>
          <w:caps w:val="0"/>
          <w:color w:val="000000"/>
          <w:spacing w:val="0"/>
          <w:sz w:val="24"/>
          <w:szCs w:val="24"/>
          <w:shd w:val="clear" w:fill="FFFFFF"/>
          <w:vertAlign w:val="baseline"/>
          <w:lang w:val="en-US" w:eastAsia="zh-CN"/>
        </w:rPr>
        <w:t xml:space="preserve">基金规模与金融服务 </w:t>
      </w:r>
    </w:p>
    <w:p w14:paraId="039C5D4F">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Chars="0" w:firstLine="420" w:firstLineChars="0"/>
        <w:jc w:val="left"/>
        <w:textAlignment w:val="baseline"/>
        <w:outlineLvl w:val="9"/>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沈阳航空产业集团已组建多支基金，管理规模突破12亿元，初步形成支持低空经济全链条的金融服务体系。集团秉持"既作空间的提供者，又作时间的合伙人"的理念，通过资本纽带吸引更多优质企业落户，加速构建具有国际竞争力的低空经济产业集群，为新时代东北振兴、辽宁振兴注入强劲"航产动力"。</w:t>
      </w:r>
    </w:p>
    <w:p w14:paraId="57F7BB12">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Chars="0" w:firstLine="420" w:firstLineChars="0"/>
        <w:jc w:val="left"/>
        <w:textAlignment w:val="baseline"/>
        <w:outlineLvl w:val="9"/>
        <w:rPr>
          <w:rFonts w:hint="default" w:ascii="Segoe UI" w:hAnsi="Segoe UI" w:eastAsia="Segoe UI" w:cs="Segoe UI"/>
          <w:b/>
          <w:bCs/>
          <w:i w:val="0"/>
          <w:iCs w:val="0"/>
          <w:caps w:val="0"/>
          <w:spacing w:val="0"/>
          <w:sz w:val="24"/>
          <w:szCs w:val="24"/>
          <w:shd w:val="clear" w:fill="FFFFFF"/>
          <w:lang w:val="en-US" w:eastAsia="zh-CN"/>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集团在管的基金产品形成了多层次、专业化的投资矩阵：</w:t>
      </w:r>
    </w:p>
    <w:p w14:paraId="2E16974C">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沈阳航投四号产业基金合伙企业：注册资本2220万元，已完成中国证券投资基金业协会备案，对外投资"沈阳强航时代精密科技有限公司"。</w:t>
      </w:r>
    </w:p>
    <w:p w14:paraId="0C95C99A">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沈阳民机基金股权投资合伙企业：注册资本2亿元，实缴金额2亿元，对外投资中航沈飞民用飞机有限责任公司。</w:t>
      </w:r>
    </w:p>
    <w:p w14:paraId="5443FB35">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沈阳航投未来产业基金合伙企业：注册资本6051万元，基金将全部投资于低空经济产业相关项目，包括低空制造、低空飞行、低空保障、低空基础设施和综合服务。该基金于2025年12月成功获得辽宁基金投资有限公司增资，总规模达到6051万元，资金实力得到有效增强。</w:t>
      </w:r>
    </w:p>
    <w:p w14:paraId="6619E19A">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辽宁沈阳航投基金股权投资合伙企业：基金总规模5亿元，分两期成立，首期规模2.5亿元，以促进辽沈地区航空相关产业链协同发展为方向。</w:t>
      </w:r>
    </w:p>
    <w:p w14:paraId="680AC352">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沈阳航投迅翼股权投资合伙企业：注册资本4.01亿元，分四期成立，首期规模1.633亿元，基金将全部投资于高商载无人货运飞机研制项目，填补沈阳民用大飞机整机研制的空白。</w:t>
      </w:r>
    </w:p>
    <w:p w14:paraId="2B69A57C">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这一基金矩阵的构建</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[74]</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，为沈阳市低空经济从研发制造到运营服务的全产业链提供了强有力的资本支撑，形成了"耐心资本"长期培育产业生态的良性循环。</w:t>
      </w:r>
    </w:p>
    <w:p w14:paraId="2CB724AD">
      <w:pPr>
        <w:keepNext w:val="0"/>
        <w:keepLines w:val="0"/>
        <w:widowControl/>
        <w:numPr>
          <w:ilvl w:val="0"/>
          <w:numId w:val="36"/>
        </w:numPr>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Segoe UI" w:hAnsi="Segoe UI" w:eastAsia="宋体" w:cs="Segoe UI"/>
          <w:i w:val="0"/>
          <w:iCs w:val="0"/>
          <w:caps w:val="0"/>
          <w:color w:val="000000"/>
          <w:spacing w:val="0"/>
          <w:sz w:val="24"/>
          <w:szCs w:val="24"/>
          <w:shd w:val="clear" w:fill="FFFFFF"/>
          <w:vertAlign w:val="baseline"/>
          <w:lang w:val="en-US" w:eastAsia="zh-CN"/>
        </w:rPr>
      </w:pPr>
      <w:r>
        <w:rPr>
          <w:rFonts w:hint="default" w:ascii="Segoe UI" w:hAnsi="Segoe UI" w:eastAsia="宋体" w:cs="Segoe UI"/>
          <w:i w:val="0"/>
          <w:iCs w:val="0"/>
          <w:caps w:val="0"/>
          <w:color w:val="000000"/>
          <w:spacing w:val="0"/>
          <w:sz w:val="24"/>
          <w:szCs w:val="24"/>
          <w:shd w:val="clear" w:fill="FFFFFF"/>
          <w:vertAlign w:val="baseline"/>
          <w:lang w:val="en-US" w:eastAsia="zh-CN"/>
        </w:rPr>
        <w:t xml:space="preserve">管理服务与平台建设 </w:t>
      </w:r>
    </w:p>
    <w:p w14:paraId="0F860C65">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沈阳航空产业集团作为主力军，于</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2024</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年</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6</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月率先成立"低空经济管理服务有限公司"，聚焦空域精细化管理、飞行服务保障与科技成果转化三大核心任务。该公司由沈阳航空产业集团有限公司牵头会同沈北新区、法库县联合组建，主要负责沈阳全域低空飞行服务保障系统的搭建和运营，军方和民航空管系统对接和协调，沈阳低空空域合理划分，低空资源有效释放，参与并协助创建低空飞行应用场景。</w:t>
      </w:r>
    </w:p>
    <w:p w14:paraId="5C26D896">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2024</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年</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6</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月</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13</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日，以"低空视界 腾飞未来"为主题的沈阳低空经济管理服务平台揭牌仪式活动隆重召开，标志着沈阳低空经济管理服务平台正式运行。该平台的建设是沈阳市为低空经济搭建的关键底座，来自低空经济领域的专家学者、专业金融机构的代表、沈阳无人机龙头企业代表共</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50</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余人齐聚一堂，共同见证了这一重要时刻</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[75]</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w:t>
      </w:r>
    </w:p>
    <w:p w14:paraId="69AD3E0F">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平台在具体应用场景中发挥了核心作用。2025</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年</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5</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月</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18</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日，东北首条无人机血液运输航线开航，一架标有"航产一号"的中型无人机装载着血液专用恒温箱从沈阳中心血站起飞，历经18分钟空中飞行后，精准降落在沈阳市第六人民医院无人机起降场。这条航线由沈阳航空产业集团与沈阳市卫健委联合谋划，辽宁众飞科技有限公司执飞。在航产集团成立的沈阳低空经济管理服务平台指挥中心，工作人员通过实时监控系统对无人机飞行动态进行全程监控，确保整个飞行过程平稳。</w:t>
      </w:r>
    </w:p>
    <w:p w14:paraId="4DD11D96">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更为重要的是，集团正在牵头编制《沈阳市新型立体交通体系建设规划》，计划构建"基地—枢纽—节点"三级起降设施体系，科学划设"低空廊道、主干航路及场景应用三级航路网络"，旨在打造"空天地一体化"的未来交通新格局。集团将积极参与物流、巡检、应急救援等领域的无人机应用推广，推出更多具有"标志性、引领性"的"沈阳造"低空经济产品和航线</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[76]</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w:t>
      </w:r>
    </w:p>
    <w:p w14:paraId="23F821E2">
      <w:pPr>
        <w:keepNext w:val="0"/>
        <w:keepLines w:val="0"/>
        <w:widowControl/>
        <w:numPr>
          <w:ilvl w:val="5"/>
          <w:numId w:val="1"/>
        </w:numPr>
        <w:suppressLineNumbers w:val="0"/>
        <w:kinsoku w:val="0"/>
        <w:autoSpaceDE w:val="0"/>
        <w:autoSpaceDN w:val="0"/>
        <w:adjustRightInd w:val="0"/>
        <w:snapToGrid w:val="0"/>
        <w:spacing w:before="0" w:beforeLines="10" w:beforeAutospacing="0" w:after="0" w:afterLines="30" w:afterAutospacing="0" w:line="288" w:lineRule="auto"/>
        <w:ind w:left="0" w:leftChars="0" w:right="0" w:rightChars="0" w:firstLine="0" w:firstLineChars="0"/>
        <w:jc w:val="left"/>
        <w:textAlignment w:val="baseline"/>
        <w:outlineLvl w:val="5"/>
        <w:rPr>
          <w:rFonts w:hint="default" w:ascii="宋体" w:hAnsi="宋体" w:eastAsia="宋体" w:cs="宋体"/>
          <w:b/>
          <w:bCs/>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b/>
          <w:bCs/>
          <w:i w:val="0"/>
          <w:iCs w:val="0"/>
          <w:caps w:val="0"/>
          <w:snapToGrid w:val="0"/>
          <w:color w:val="000000"/>
          <w:spacing w:val="0"/>
          <w:kern w:val="0"/>
          <w:sz w:val="24"/>
          <w:szCs w:val="24"/>
          <w:shd w:val="clear" w:fill="FFFFFF"/>
          <w:vertAlign w:val="baseline"/>
          <w:lang w:val="en-US" w:eastAsia="zh-CN" w:bidi="ar"/>
        </w:rPr>
        <w:t>沈阳飞机工业（集团）有限公司</w:t>
      </w:r>
    </w:p>
    <w:p w14:paraId="4628A12F">
      <w:pPr>
        <w:keepNext w:val="0"/>
        <w:keepLines w:val="0"/>
        <w:widowControl/>
        <w:numPr>
          <w:ilvl w:val="0"/>
          <w:numId w:val="37"/>
        </w:numPr>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Segoe UI" w:hAnsi="Segoe UI" w:eastAsia="宋体" w:cs="Segoe UI"/>
          <w:i w:val="0"/>
          <w:iCs w:val="0"/>
          <w:caps w:val="0"/>
          <w:color w:val="000000"/>
          <w:spacing w:val="0"/>
          <w:sz w:val="24"/>
          <w:szCs w:val="24"/>
          <w:shd w:val="clear" w:fill="FFFFFF"/>
          <w:vertAlign w:val="baseline"/>
          <w:lang w:val="en-US" w:eastAsia="zh-CN"/>
        </w:rPr>
      </w:pPr>
      <w:r>
        <w:rPr>
          <w:rFonts w:hint="default" w:ascii="Segoe UI" w:hAnsi="Segoe UI" w:eastAsia="宋体" w:cs="Segoe UI"/>
          <w:i w:val="0"/>
          <w:iCs w:val="0"/>
          <w:caps w:val="0"/>
          <w:color w:val="000000"/>
          <w:spacing w:val="0"/>
          <w:sz w:val="24"/>
          <w:szCs w:val="24"/>
          <w:shd w:val="clear" w:fill="FFFFFF"/>
          <w:vertAlign w:val="baseline"/>
          <w:lang w:val="en-US" w:eastAsia="zh-CN"/>
        </w:rPr>
        <w:t>政策</w:t>
      </w:r>
      <w:r>
        <w:rPr>
          <w:rFonts w:hint="eastAsia" w:ascii="Segoe UI" w:hAnsi="Segoe UI" w:eastAsia="宋体" w:cs="Segoe UI"/>
          <w:i w:val="0"/>
          <w:iCs w:val="0"/>
          <w:caps w:val="0"/>
          <w:color w:val="000000"/>
          <w:spacing w:val="0"/>
          <w:sz w:val="24"/>
          <w:szCs w:val="24"/>
          <w:shd w:val="clear" w:fill="FFFFFF"/>
          <w:vertAlign w:val="baseline"/>
          <w:lang w:val="en-US" w:eastAsia="zh-CN"/>
        </w:rPr>
        <w:t>沟通和产业生态倡导</w:t>
      </w:r>
      <w:r>
        <w:rPr>
          <w:rFonts w:hint="default" w:ascii="Segoe UI" w:hAnsi="Segoe UI" w:eastAsia="宋体" w:cs="Segoe UI"/>
          <w:i w:val="0"/>
          <w:iCs w:val="0"/>
          <w:caps w:val="0"/>
          <w:color w:val="000000"/>
          <w:spacing w:val="0"/>
          <w:sz w:val="24"/>
          <w:szCs w:val="24"/>
          <w:shd w:val="clear" w:fill="FFFFFF"/>
          <w:vertAlign w:val="baseline"/>
          <w:lang w:val="en-US" w:eastAsia="zh-CN"/>
        </w:rPr>
        <w:t xml:space="preserve"> </w:t>
      </w:r>
    </w:p>
    <w:p w14:paraId="3118E73F">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全国人大代表、航空工业沈飞党委书记、董事长纪瑞东在</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2024</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年全国两会上提出了关于低空经济发展的重要建议。他建议扩大低空空域开放试点范围，制定适用于工业级无人机商用融合飞行的适航标准与运营监管政策，发展干/支线航空无人智慧物流生态，加速实现高商载货运无人机系统商用融合飞行运营</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[77]</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w:t>
      </w:r>
    </w:p>
    <w:p w14:paraId="556808EA">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在地方层面，沈飞深度参与沈阳市低空经济顶层设计，作为核心智囊为《沈阳市低空经济高质量发展行动计划》等关键文件的制定提供专业意见。同时，沈飞通过牵头或参与组建产业联盟（如沈阳都市圈低空经济合作发展联盟）、举办高端行业论坛、开展国际技术交流等活动，不断提升沈阳低空经济生态在国内外的影响力和资源整合能力。</w:t>
      </w:r>
    </w:p>
    <w:p w14:paraId="7BF511DD">
      <w:pPr>
        <w:keepNext w:val="0"/>
        <w:keepLines w:val="0"/>
        <w:widowControl/>
        <w:numPr>
          <w:ilvl w:val="0"/>
          <w:numId w:val="37"/>
        </w:numPr>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Segoe UI" w:hAnsi="Segoe UI" w:eastAsia="宋体" w:cs="Segoe UI"/>
          <w:i w:val="0"/>
          <w:iCs w:val="0"/>
          <w:caps w:val="0"/>
          <w:color w:val="000000"/>
          <w:spacing w:val="0"/>
          <w:sz w:val="24"/>
          <w:szCs w:val="24"/>
          <w:shd w:val="clear" w:fill="FFFFFF"/>
          <w:vertAlign w:val="baseline"/>
          <w:lang w:val="en-US" w:eastAsia="zh-CN"/>
        </w:rPr>
      </w:pPr>
      <w:r>
        <w:rPr>
          <w:rFonts w:hint="default" w:ascii="Segoe UI" w:hAnsi="Segoe UI" w:eastAsia="宋体" w:cs="Segoe UI"/>
          <w:i w:val="0"/>
          <w:iCs w:val="0"/>
          <w:caps w:val="0"/>
          <w:color w:val="000000"/>
          <w:spacing w:val="0"/>
          <w:sz w:val="24"/>
          <w:szCs w:val="24"/>
          <w:shd w:val="clear" w:fill="FFFFFF"/>
          <w:vertAlign w:val="baseline"/>
          <w:lang w:val="en-US" w:eastAsia="zh-CN"/>
        </w:rPr>
        <w:t xml:space="preserve">技术标准与行业规范的引领 </w:t>
      </w:r>
    </w:p>
    <w:p w14:paraId="7EBE2145">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沈飞凭借其深厚的航空器研发、制造、适航与安全管理的体系化经验，成为低空经济领域技术标准与行业规范的重要制定者和输出者。公司积极参与国家及行业层面关于无人机、eVTOL等低空航空器的适航审定标准、安全运行规范、维修保障体系的研讨与制定工作，将有人航空领域积累的严谨方法论和工程实践，转化应用于新兴的低空业态</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为沈阳市乃至东北地区的低空经济企业提供了清晰的技术发展路径和合规指引，降低了企业尤其是初创企业的技术试错成本和政策不确定性风险。例如，在低空飞行器适航认证、空域运行安全评估、地面保障设施建设等关键环节，沈飞的经验成为本地企业对接民航监管体系、实现商业化运营的重要桥梁。其技术权威性也增强了整个沈阳低空经济生态在投资者、合作伙伴及终端用户眼中的可信度和成熟度</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[78]</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w:t>
      </w:r>
    </w:p>
    <w:p w14:paraId="72CA1426">
      <w:pPr>
        <w:keepNext w:val="0"/>
        <w:keepLines w:val="0"/>
        <w:widowControl/>
        <w:numPr>
          <w:ilvl w:val="0"/>
          <w:numId w:val="37"/>
        </w:numPr>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Segoe UI" w:hAnsi="Segoe UI" w:eastAsia="宋体" w:cs="Segoe UI"/>
          <w:i w:val="0"/>
          <w:iCs w:val="0"/>
          <w:caps w:val="0"/>
          <w:color w:val="000000"/>
          <w:spacing w:val="0"/>
          <w:sz w:val="24"/>
          <w:szCs w:val="24"/>
          <w:shd w:val="clear" w:fill="FFFFFF"/>
          <w:vertAlign w:val="baseline"/>
          <w:lang w:val="en-US" w:eastAsia="zh-CN"/>
        </w:rPr>
      </w:pPr>
      <w:r>
        <w:rPr>
          <w:rFonts w:hint="default" w:ascii="Segoe UI" w:hAnsi="Segoe UI" w:eastAsia="宋体" w:cs="Segoe UI"/>
          <w:i w:val="0"/>
          <w:iCs w:val="0"/>
          <w:caps w:val="0"/>
          <w:color w:val="000000"/>
          <w:spacing w:val="0"/>
          <w:sz w:val="24"/>
          <w:szCs w:val="24"/>
          <w:shd w:val="clear" w:fill="FFFFFF"/>
          <w:vertAlign w:val="baseline"/>
          <w:lang w:val="en-US" w:eastAsia="zh-CN"/>
        </w:rPr>
        <w:t xml:space="preserve">产业链协同与集群效应的催化 </w:t>
      </w:r>
    </w:p>
    <w:p w14:paraId="20672DCC">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沈飞通过供应链协同、技术合作、合资共建等多种模式，强力牵引并催化了沈阳低空经济上下游产业集群的形成与发展。公司依托其庞大的供应链管理体系，积极推动高端零部件、先进材料、机载系统等配套环节的本地化布局，引导和培育了一批“专精特新”配套企业围绕低空经济新需求进行转型升级。</w:t>
      </w:r>
    </w:p>
    <w:p w14:paraId="74D5D2E0">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例如，沈飞通过技术扩散和订单牵引，带动本地企业在复合材料成型、精密加工、航空电子、地面支持设备等领域形成专业化能力，这些能力不仅服务于传统航空业务，也迅速适配无人机、eVTOL等低空飞行器的制造需求。这种“以大带小、以老育新”的协同模式，有效避免了低空经济产业链的“空心化”，快速构建起一个涵盖研发设计、核心部件、总装集成、测试验证的本地化产业闭环，显著提升了沈阳低空经济生态的韧性和竞争力</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[79]</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w:t>
      </w:r>
    </w:p>
    <w:p w14:paraId="715BB780">
      <w:pPr>
        <w:keepNext w:val="0"/>
        <w:keepLines w:val="0"/>
        <w:widowControl/>
        <w:numPr>
          <w:ilvl w:val="0"/>
          <w:numId w:val="37"/>
        </w:numPr>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Segoe UI" w:hAnsi="Segoe UI" w:eastAsia="宋体" w:cs="Segoe UI"/>
          <w:i w:val="0"/>
          <w:iCs w:val="0"/>
          <w:caps w:val="0"/>
          <w:color w:val="000000"/>
          <w:spacing w:val="0"/>
          <w:sz w:val="24"/>
          <w:szCs w:val="24"/>
          <w:shd w:val="clear" w:fill="FFFFFF"/>
          <w:vertAlign w:val="baseline"/>
          <w:lang w:val="en-US" w:eastAsia="zh-CN"/>
        </w:rPr>
      </w:pPr>
      <w:r>
        <w:rPr>
          <w:rFonts w:hint="default" w:ascii="Segoe UI" w:hAnsi="Segoe UI" w:eastAsia="宋体" w:cs="Segoe UI"/>
          <w:i w:val="0"/>
          <w:iCs w:val="0"/>
          <w:caps w:val="0"/>
          <w:color w:val="000000"/>
          <w:spacing w:val="0"/>
          <w:sz w:val="24"/>
          <w:szCs w:val="24"/>
          <w:shd w:val="clear" w:fill="FFFFFF"/>
          <w:vertAlign w:val="baseline"/>
          <w:lang w:val="en-US" w:eastAsia="zh-CN"/>
        </w:rPr>
        <w:t xml:space="preserve">高端基础设施与研发平台的共享 </w:t>
      </w:r>
    </w:p>
    <w:p w14:paraId="6DB344AB">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沈飞向低空经济生态开放共享其世界级的航空研发与试验验证基础设施，这是其对生态最实质性的赋能之一。公司拥有的国家级重点实验室、风洞试验设施、全机静力/疲劳试验平台、综合航电测试环境、飞行模拟器等稀缺资源，为本地低空经济企业，特别是研发型中小企业，提供了难以自建的关键研发条件。</w:t>
      </w:r>
    </w:p>
    <w:p w14:paraId="553EB42B">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通过建立开放合作机制，如共建联合实验室、提供测试服务、开放试飞空域协调渠道等，沈飞极大地降低了生态内其他创新主体的研发门槛和周期。这种基础设施的共享，不仅加速了技术创新和产品迭代，也吸引了更多高端研发机构和人才向沈阳集聚，强化了区域创新策源功能</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[80]</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w:t>
      </w:r>
    </w:p>
    <w:p w14:paraId="239D29F3">
      <w:pPr>
        <w:keepNext w:val="0"/>
        <w:keepLines w:val="0"/>
        <w:widowControl/>
        <w:numPr>
          <w:ilvl w:val="0"/>
          <w:numId w:val="37"/>
        </w:numPr>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Segoe UI" w:hAnsi="Segoe UI" w:eastAsia="宋体" w:cs="Segoe UI"/>
          <w:i w:val="0"/>
          <w:iCs w:val="0"/>
          <w:caps w:val="0"/>
          <w:color w:val="000000"/>
          <w:spacing w:val="0"/>
          <w:sz w:val="24"/>
          <w:szCs w:val="24"/>
          <w:shd w:val="clear" w:fill="FFFFFF"/>
          <w:vertAlign w:val="baseline"/>
          <w:lang w:val="en-US" w:eastAsia="zh-CN"/>
        </w:rPr>
      </w:pPr>
      <w:r>
        <w:rPr>
          <w:rFonts w:hint="default" w:ascii="Segoe UI" w:hAnsi="Segoe UI" w:eastAsia="宋体" w:cs="Segoe UI"/>
          <w:i w:val="0"/>
          <w:iCs w:val="0"/>
          <w:caps w:val="0"/>
          <w:color w:val="000000"/>
          <w:spacing w:val="0"/>
          <w:sz w:val="24"/>
          <w:szCs w:val="24"/>
          <w:shd w:val="clear" w:fill="FFFFFF"/>
          <w:vertAlign w:val="baseline"/>
          <w:lang w:val="en-US" w:eastAsia="zh-CN"/>
        </w:rPr>
        <w:t xml:space="preserve">航空人才体系与创新文化的辐射 </w:t>
      </w:r>
    </w:p>
    <w:p w14:paraId="23725DF9">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沈飞七十余年积淀形成的庞大高素质工程技术人才队伍、严谨的航空工程文化和成熟的培训体系，为沈阳低空经济生态提供了源源不断的人才“蓄水池”和文化“基因库”。一方面，沈飞通过人才流动（如内部创业、技术专家兼职顾问、退休工程师再就业）、联合培养（与本地高校、职业院校合作）、专业培训等方式，向生态内输送了大量具备系统思维、熟悉航空标准、掌握核心技术的工程和管理人才</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[81]</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w:t>
      </w:r>
    </w:p>
    <w:p w14:paraId="785A5EF7">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另一方面，沈飞所代表的“忠诚奉献、逐梦蓝天”的航空报国精神，以及“质量就是生命”、“一次做好”的严谨工程文化，深刻影响着整个低空经济生态的创业氛围和价值取向。这种文化辐射促使生态内企业从一开始就注重产品可靠性、飞行安全和长期发展，而非短期炒作，为沈阳低空经济实现健康、可持续发展奠定了坚实的文化基础。</w:t>
      </w:r>
    </w:p>
    <w:p w14:paraId="0E6FB31F">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供给端重点企业</w:t>
      </w:r>
    </w:p>
    <w:p w14:paraId="4B857EDC">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Chars="0" w:firstLine="420" w:firstLineChars="0"/>
        <w:jc w:val="left"/>
        <w:textAlignment w:val="baseline"/>
        <w:outlineLvl w:val="9"/>
        <w:rPr>
          <w:rFonts w:hint="default" w:asciiTheme="majorEastAsia" w:hAnsiTheme="majorEastAsia" w:eastAsiaTheme="majorEastAsia" w:cstheme="majorEastAsia"/>
          <w:b/>
          <w:bCs/>
          <w:sz w:val="24"/>
          <w:szCs w:val="24"/>
          <w:lang w:val="en-US" w:eastAsia="zh-CN"/>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本</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部分</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将深入剖析沈阳市低空经济供给端的重点企业集群，揭示其技术实力、产品矩阵和产业生态构建能力，展现沈阳在低空经济领域的供给优势和发展潜力。</w:t>
      </w:r>
    </w:p>
    <w:p w14:paraId="1A1A993B">
      <w:pPr>
        <w:keepNext w:val="0"/>
        <w:keepLines w:val="0"/>
        <w:pageBreakBefore w:val="0"/>
        <w:widowControl/>
        <w:numPr>
          <w:ilvl w:val="4"/>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4"/>
        <w:rPr>
          <w:rFonts w:hint="eastAsia" w:asciiTheme="majorEastAsia" w:hAnsiTheme="majorEastAsia" w:eastAsiaTheme="majorEastAsia" w:cstheme="majorEastAsia"/>
          <w:b/>
          <w:bCs/>
          <w:i w:val="0"/>
          <w:iCs w:val="0"/>
          <w:caps w:val="0"/>
          <w:spacing w:val="0"/>
          <w:sz w:val="24"/>
          <w:szCs w:val="24"/>
          <w:shd w:val="clear" w:fill="FFFFFF"/>
          <w:lang w:val="en-US" w:eastAsia="zh-CN"/>
        </w:rPr>
      </w:pPr>
      <w:r>
        <w:rPr>
          <w:rFonts w:hint="eastAsia" w:asciiTheme="majorEastAsia" w:hAnsiTheme="majorEastAsia" w:eastAsiaTheme="majorEastAsia" w:cstheme="majorEastAsia"/>
          <w:b/>
          <w:bCs/>
          <w:i w:val="0"/>
          <w:iCs w:val="0"/>
          <w:caps w:val="0"/>
          <w:spacing w:val="0"/>
          <w:sz w:val="24"/>
          <w:szCs w:val="24"/>
          <w:shd w:val="clear" w:fill="FFFFFF"/>
          <w:lang w:val="en-US" w:eastAsia="zh-CN"/>
        </w:rPr>
        <w:t>整机制造企业集群</w:t>
      </w:r>
    </w:p>
    <w:p w14:paraId="3BFE730E">
      <w:pPr>
        <w:keepNext w:val="0"/>
        <w:keepLines w:val="0"/>
        <w:widowControl/>
        <w:numPr>
          <w:ilvl w:val="5"/>
          <w:numId w:val="1"/>
        </w:numPr>
        <w:suppressLineNumbers w:val="0"/>
        <w:kinsoku w:val="0"/>
        <w:autoSpaceDE w:val="0"/>
        <w:autoSpaceDN w:val="0"/>
        <w:adjustRightInd w:val="0"/>
        <w:snapToGrid w:val="0"/>
        <w:spacing w:before="0" w:beforeLines="10" w:beforeAutospacing="0" w:after="0" w:afterLines="30" w:afterAutospacing="0" w:line="288" w:lineRule="auto"/>
        <w:ind w:left="0" w:leftChars="0" w:right="0" w:rightChars="0" w:firstLine="0" w:firstLineChars="0"/>
        <w:jc w:val="left"/>
        <w:textAlignment w:val="baseline"/>
        <w:outlineLvl w:val="5"/>
        <w:rPr>
          <w:rFonts w:hint="default" w:ascii="宋体" w:hAnsi="宋体" w:eastAsia="宋体" w:cs="宋体"/>
          <w:b/>
          <w:bCs/>
          <w:i w:val="0"/>
          <w:iCs w:val="0"/>
          <w:caps w:val="0"/>
          <w:snapToGrid w:val="0"/>
          <w:color w:val="000000"/>
          <w:spacing w:val="0"/>
          <w:kern w:val="0"/>
          <w:sz w:val="24"/>
          <w:szCs w:val="24"/>
          <w:shd w:val="clear" w:fill="FFFFFF"/>
          <w:vertAlign w:val="baseline"/>
          <w:lang w:val="en-US" w:eastAsia="zh-CN" w:bidi="ar"/>
        </w:rPr>
      </w:pPr>
      <w:r>
        <w:rPr>
          <w:rFonts w:hint="eastAsia" w:ascii="宋体" w:hAnsi="宋体" w:eastAsia="宋体" w:cs="宋体"/>
          <w:b/>
          <w:bCs/>
          <w:i w:val="0"/>
          <w:iCs w:val="0"/>
          <w:caps w:val="0"/>
          <w:snapToGrid w:val="0"/>
          <w:color w:val="000000"/>
          <w:spacing w:val="0"/>
          <w:kern w:val="0"/>
          <w:sz w:val="24"/>
          <w:szCs w:val="24"/>
          <w:shd w:val="clear" w:fill="FFFFFF"/>
          <w:vertAlign w:val="baseline"/>
          <w:lang w:val="en-US" w:eastAsia="zh-CN" w:bidi="ar"/>
        </w:rPr>
        <w:t>天晴空天科技：2吨级货运无人机</w:t>
      </w:r>
    </w:p>
    <w:p w14:paraId="0B61EA8B">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right="0" w:firstLine="420" w:firstLineChars="0"/>
        <w:jc w:val="left"/>
        <w:textAlignment w:val="baseline"/>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天晴空天科技作为沈北新区低空经济核心企业，在货运无人机领域实现了重要突破。</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p>
    <w:p w14:paraId="1805CF49">
      <w:pPr>
        <w:keepNext w:val="0"/>
        <w:keepLines w:val="0"/>
        <w:widowControl/>
        <w:numPr>
          <w:ilvl w:val="0"/>
          <w:numId w:val="38"/>
        </w:numPr>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Segoe UI" w:hAnsi="Segoe UI" w:eastAsia="宋体" w:cs="Segoe UI"/>
          <w:i w:val="0"/>
          <w:iCs w:val="0"/>
          <w:caps w:val="0"/>
          <w:color w:val="000000"/>
          <w:spacing w:val="0"/>
          <w:sz w:val="24"/>
          <w:szCs w:val="24"/>
          <w:shd w:val="clear" w:fill="FFFFFF"/>
          <w:vertAlign w:val="baseline"/>
          <w:lang w:val="en-US" w:eastAsia="zh-CN"/>
        </w:rPr>
      </w:pPr>
      <w:r>
        <w:rPr>
          <w:rFonts w:hint="default" w:ascii="Segoe UI" w:hAnsi="Segoe UI" w:eastAsia="宋体" w:cs="Segoe UI"/>
          <w:i w:val="0"/>
          <w:iCs w:val="0"/>
          <w:caps w:val="0"/>
          <w:color w:val="000000"/>
          <w:spacing w:val="0"/>
          <w:sz w:val="24"/>
          <w:szCs w:val="24"/>
          <w:shd w:val="clear" w:fill="FFFFFF"/>
          <w:vertAlign w:val="baseline"/>
          <w:lang w:val="en-US" w:eastAsia="zh-CN"/>
        </w:rPr>
        <w:t>产品性能与市场定位</w:t>
      </w:r>
    </w:p>
    <w:p w14:paraId="11F78D01">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2025</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年</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12</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月</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6</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日，企业自主研发的2吨级大型准干线通用运投无人机SUNNY-T2000正式下线，标志着沈阳在低空物流装备制造领域迈出关键一步。SUNNY-T2000堪称低空物流"全能选手"，最大载货重量达</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2</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吨，货舱容积</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15</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立方米，满载航程突破</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1000</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公里，可在</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800</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米短距离简易跑道完成起降。该机型于</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2026</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年</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3</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月</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20</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日圆满完成首飞任务，从</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2025</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年</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8</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月</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17</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日立项到首飞仅用</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7</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个月，展现出较快的研发推进节奏。</w:t>
      </w:r>
    </w:p>
    <w:p w14:paraId="5BB88FD5">
      <w:pPr>
        <w:keepNext w:val="0"/>
        <w:keepLines w:val="0"/>
        <w:widowControl/>
        <w:numPr>
          <w:ilvl w:val="0"/>
          <w:numId w:val="38"/>
        </w:numPr>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Segoe UI" w:hAnsi="Segoe UI" w:eastAsia="宋体" w:cs="Segoe UI"/>
          <w:i w:val="0"/>
          <w:iCs w:val="0"/>
          <w:caps w:val="0"/>
          <w:color w:val="000000"/>
          <w:spacing w:val="0"/>
          <w:sz w:val="24"/>
          <w:szCs w:val="24"/>
          <w:shd w:val="clear" w:fill="FFFFFF"/>
          <w:vertAlign w:val="baseline"/>
          <w:lang w:val="en-US" w:eastAsia="zh-CN"/>
        </w:rPr>
      </w:pPr>
      <w:r>
        <w:rPr>
          <w:rFonts w:hint="default" w:ascii="Segoe UI" w:hAnsi="Segoe UI" w:eastAsia="宋体" w:cs="Segoe UI"/>
          <w:i w:val="0"/>
          <w:iCs w:val="0"/>
          <w:caps w:val="0"/>
          <w:color w:val="000000"/>
          <w:spacing w:val="0"/>
          <w:sz w:val="24"/>
          <w:szCs w:val="24"/>
          <w:shd w:val="clear" w:fill="FFFFFF"/>
          <w:vertAlign w:val="baseline"/>
          <w:lang w:val="en-US" w:eastAsia="zh-CN"/>
        </w:rPr>
        <w:t>技术突破与产业意义</w:t>
      </w:r>
    </w:p>
    <w:p w14:paraId="37F418DF">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此次首飞成功标志着我国载重</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2</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吨级大型物流无人机在民用、警用及应急领域正式迈入实战化飞行验证阶段，成功填补了国内低空物流大载重、长航程通用运投装备的应用空白。产品可广泛应用于常规物流运输、应急救援、警用物资保障、海岛及偏远地区补给等场景。</w:t>
      </w:r>
    </w:p>
    <w:p w14:paraId="266FE18C">
      <w:pPr>
        <w:keepNext w:val="0"/>
        <w:keepLines w:val="0"/>
        <w:widowControl/>
        <w:numPr>
          <w:ilvl w:val="0"/>
          <w:numId w:val="38"/>
        </w:numPr>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Segoe UI" w:hAnsi="Segoe UI" w:eastAsia="宋体" w:cs="Segoe UI"/>
          <w:i w:val="0"/>
          <w:iCs w:val="0"/>
          <w:caps w:val="0"/>
          <w:color w:val="000000"/>
          <w:spacing w:val="0"/>
          <w:sz w:val="24"/>
          <w:szCs w:val="24"/>
          <w:shd w:val="clear" w:fill="FFFFFF"/>
          <w:vertAlign w:val="baseline"/>
          <w:lang w:val="en-US" w:eastAsia="zh-CN"/>
        </w:rPr>
      </w:pPr>
      <w:r>
        <w:rPr>
          <w:rFonts w:hint="default" w:ascii="Segoe UI" w:hAnsi="Segoe UI" w:eastAsia="宋体" w:cs="Segoe UI"/>
          <w:i w:val="0"/>
          <w:iCs w:val="0"/>
          <w:caps w:val="0"/>
          <w:color w:val="000000"/>
          <w:spacing w:val="0"/>
          <w:sz w:val="24"/>
          <w:szCs w:val="24"/>
          <w:shd w:val="clear" w:fill="FFFFFF"/>
          <w:vertAlign w:val="baseline"/>
          <w:lang w:val="en-US" w:eastAsia="zh-CN"/>
        </w:rPr>
        <w:t>产能布局与未来发展</w:t>
      </w:r>
    </w:p>
    <w:p w14:paraId="7D438674">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eastAsia" w:ascii="宋体" w:hAnsi="宋体" w:eastAsia="宋体" w:cs="宋体"/>
          <w:b/>
          <w:bCs/>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天晴空天科技总部位于珠海市，其北部基地位于沈阳市沈北新区，承担该机型的总装制造任务。基地依托当地航空航天产业基础，拥有</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2</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万余平方米现代化厂房及完整生产线，为无人机制造提供了产能保障。企业另一款</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6</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吨级货运无人机正在加快研制，力争年内完成总装下线</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[82]</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w:t>
      </w:r>
    </w:p>
    <w:p w14:paraId="7B2ABAAD">
      <w:pPr>
        <w:keepNext w:val="0"/>
        <w:keepLines w:val="0"/>
        <w:widowControl/>
        <w:numPr>
          <w:ilvl w:val="5"/>
          <w:numId w:val="1"/>
        </w:numPr>
        <w:suppressLineNumbers w:val="0"/>
        <w:kinsoku w:val="0"/>
        <w:autoSpaceDE w:val="0"/>
        <w:autoSpaceDN w:val="0"/>
        <w:adjustRightInd w:val="0"/>
        <w:snapToGrid w:val="0"/>
        <w:spacing w:before="0" w:beforeLines="10" w:beforeAutospacing="0" w:after="0" w:afterLines="30" w:afterAutospacing="0" w:line="288" w:lineRule="auto"/>
        <w:ind w:left="0" w:leftChars="0" w:right="0" w:rightChars="0" w:firstLine="0" w:firstLineChars="0"/>
        <w:jc w:val="left"/>
        <w:textAlignment w:val="baseline"/>
        <w:outlineLvl w:val="5"/>
        <w:rPr>
          <w:rFonts w:hint="eastAsia" w:ascii="宋体" w:hAnsi="宋体" w:eastAsia="宋体" w:cs="宋体"/>
          <w:b/>
          <w:bCs/>
          <w:i w:val="0"/>
          <w:iCs w:val="0"/>
          <w:caps w:val="0"/>
          <w:snapToGrid w:val="0"/>
          <w:color w:val="000000"/>
          <w:spacing w:val="0"/>
          <w:kern w:val="0"/>
          <w:sz w:val="24"/>
          <w:szCs w:val="24"/>
          <w:shd w:val="clear" w:fill="FFFFFF"/>
          <w:vertAlign w:val="baseline"/>
          <w:lang w:val="en-US" w:eastAsia="zh-CN" w:bidi="ar"/>
        </w:rPr>
      </w:pPr>
      <w:r>
        <w:rPr>
          <w:rFonts w:hint="eastAsia" w:ascii="宋体" w:hAnsi="宋体" w:eastAsia="宋体" w:cs="宋体"/>
          <w:b/>
          <w:bCs/>
          <w:i w:val="0"/>
          <w:iCs w:val="0"/>
          <w:caps w:val="0"/>
          <w:snapToGrid w:val="0"/>
          <w:color w:val="000000"/>
          <w:spacing w:val="0"/>
          <w:kern w:val="0"/>
          <w:sz w:val="24"/>
          <w:szCs w:val="24"/>
          <w:shd w:val="clear" w:fill="FFFFFF"/>
          <w:vertAlign w:val="baseline"/>
          <w:lang w:val="en-US" w:eastAsia="zh-CN" w:bidi="ar"/>
        </w:rPr>
        <w:t>重明航空科技：10吨级高商载货运无人机</w:t>
      </w:r>
    </w:p>
    <w:p w14:paraId="6FD63B74">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沈阳重明航空科技有限公司是由中国航空工业集团旗下核心单位与辽宁省、沈阳市政府共同出资组建的混合所有制企业。作为中国航空工业集团的主要参展商之一，重明科技在大型无人货运系统领域展现出强大的技术实力。</w:t>
      </w:r>
    </w:p>
    <w:p w14:paraId="2EA59B2B">
      <w:pPr>
        <w:keepNext w:val="0"/>
        <w:keepLines w:val="0"/>
        <w:widowControl/>
        <w:numPr>
          <w:ilvl w:val="0"/>
          <w:numId w:val="37"/>
        </w:numPr>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Segoe UI" w:hAnsi="Segoe UI" w:eastAsia="宋体" w:cs="Segoe UI"/>
          <w:i w:val="0"/>
          <w:iCs w:val="0"/>
          <w:caps w:val="0"/>
          <w:color w:val="000000"/>
          <w:spacing w:val="0"/>
          <w:sz w:val="24"/>
          <w:szCs w:val="24"/>
          <w:shd w:val="clear" w:fill="FFFFFF"/>
          <w:vertAlign w:val="baseline"/>
          <w:lang w:val="en-US" w:eastAsia="zh-CN"/>
        </w:rPr>
      </w:pPr>
      <w:r>
        <w:rPr>
          <w:rFonts w:hint="default" w:ascii="Segoe UI" w:hAnsi="Segoe UI" w:eastAsia="宋体" w:cs="Segoe UI"/>
          <w:i w:val="0"/>
          <w:iCs w:val="0"/>
          <w:caps w:val="0"/>
          <w:color w:val="000000"/>
          <w:spacing w:val="0"/>
          <w:sz w:val="24"/>
          <w:szCs w:val="24"/>
          <w:shd w:val="clear" w:fill="FFFFFF"/>
          <w:vertAlign w:val="baseline"/>
          <w:lang w:val="en-US" w:eastAsia="zh-CN"/>
        </w:rPr>
        <w:t>核心产品与技术参数</w:t>
      </w:r>
    </w:p>
    <w:p w14:paraId="05171DF5">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重明科技最新成果CM100无人航空货运系统商载高达10</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吨、航程</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2500</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公里，拥有</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100</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立方米的超大货舱。该机型最大起飞重量</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24</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吨，商载</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10</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吨，航程不小于</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2600</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公里，货舱容积达</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100</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立方米。CM100具有短跑道起降、高自主保障能力和高航线适应性，适用于各类机场之间的点对点直航，干支线集散运输。</w:t>
      </w:r>
    </w:p>
    <w:p w14:paraId="41A58F68">
      <w:pPr>
        <w:keepNext w:val="0"/>
        <w:keepLines w:val="0"/>
        <w:widowControl/>
        <w:numPr>
          <w:ilvl w:val="0"/>
          <w:numId w:val="37"/>
        </w:numPr>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Segoe UI" w:hAnsi="Segoe UI" w:eastAsia="宋体" w:cs="Segoe UI"/>
          <w:i w:val="0"/>
          <w:iCs w:val="0"/>
          <w:caps w:val="0"/>
          <w:color w:val="000000"/>
          <w:spacing w:val="0"/>
          <w:sz w:val="24"/>
          <w:szCs w:val="24"/>
          <w:shd w:val="clear" w:fill="FFFFFF"/>
          <w:vertAlign w:val="baseline"/>
          <w:lang w:val="en-US" w:eastAsia="zh-CN"/>
        </w:rPr>
      </w:pPr>
      <w:r>
        <w:rPr>
          <w:rFonts w:hint="default" w:ascii="Segoe UI" w:hAnsi="Segoe UI" w:eastAsia="宋体" w:cs="Segoe UI"/>
          <w:i w:val="0"/>
          <w:iCs w:val="0"/>
          <w:caps w:val="0"/>
          <w:color w:val="000000"/>
          <w:spacing w:val="0"/>
          <w:sz w:val="24"/>
          <w:szCs w:val="24"/>
          <w:shd w:val="clear" w:fill="FFFFFF"/>
          <w:vertAlign w:val="baseline"/>
          <w:lang w:val="en-US" w:eastAsia="zh-CN"/>
        </w:rPr>
        <w:t>市场认可与商业合作</w:t>
      </w:r>
    </w:p>
    <w:p w14:paraId="4B924D79">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在2025辽宁省航空产业发展大会上，重明科技与中国邮政集团签署了</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10</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吨级高商载货运无人机采购意向书，中国邮政成为该机型的首发用户；同时与京东物流股份有限公司签署了</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10</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吨级高商载货运无人机采购意向协议。截至</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2025</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年</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9</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月，公司签订的意向订单超过百架，总意向签约额超</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100</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亿元。</w:t>
      </w:r>
    </w:p>
    <w:p w14:paraId="5B38879B">
      <w:pPr>
        <w:keepNext w:val="0"/>
        <w:keepLines w:val="0"/>
        <w:widowControl/>
        <w:numPr>
          <w:ilvl w:val="0"/>
          <w:numId w:val="37"/>
        </w:numPr>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Segoe UI" w:hAnsi="Segoe UI" w:eastAsia="宋体" w:cs="Segoe UI"/>
          <w:i w:val="0"/>
          <w:iCs w:val="0"/>
          <w:caps w:val="0"/>
          <w:color w:val="000000"/>
          <w:spacing w:val="0"/>
          <w:sz w:val="24"/>
          <w:szCs w:val="24"/>
          <w:shd w:val="clear" w:fill="FFFFFF"/>
          <w:vertAlign w:val="baseline"/>
          <w:lang w:val="en-US" w:eastAsia="zh-CN"/>
        </w:rPr>
      </w:pPr>
      <w:r>
        <w:rPr>
          <w:rFonts w:hint="default" w:ascii="Segoe UI" w:hAnsi="Segoe UI" w:eastAsia="宋体" w:cs="Segoe UI"/>
          <w:i w:val="0"/>
          <w:iCs w:val="0"/>
          <w:caps w:val="0"/>
          <w:color w:val="000000"/>
          <w:spacing w:val="0"/>
          <w:sz w:val="24"/>
          <w:szCs w:val="24"/>
          <w:shd w:val="clear" w:fill="FFFFFF"/>
          <w:vertAlign w:val="baseline"/>
          <w:lang w:val="en-US" w:eastAsia="zh-CN"/>
        </w:rPr>
        <w:t>适航进展与产业化</w:t>
      </w:r>
    </w:p>
    <w:p w14:paraId="001D410D">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沈阳重明航空科技有限公司</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10</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吨级无人货运飞机适航申请已获受理。2026</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年</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4</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月</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13</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日，重明科技在香港创科展及辽港低空经济企业交流对接会上展示了自主研发的CM100无人航空货运系统，获得高度关注</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[83]</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w:t>
      </w:r>
    </w:p>
    <w:p w14:paraId="4C8BFD28">
      <w:pPr>
        <w:keepNext w:val="0"/>
        <w:keepLines w:val="0"/>
        <w:pageBreakBefore w:val="0"/>
        <w:widowControl/>
        <w:numPr>
          <w:ilvl w:val="4"/>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4"/>
        <w:rPr>
          <w:rFonts w:hint="eastAsia" w:asciiTheme="majorEastAsia" w:hAnsiTheme="majorEastAsia" w:eastAsiaTheme="majorEastAsia" w:cstheme="majorEastAsia"/>
          <w:b/>
          <w:bCs/>
          <w:i w:val="0"/>
          <w:iCs w:val="0"/>
          <w:caps w:val="0"/>
          <w:spacing w:val="0"/>
          <w:sz w:val="24"/>
          <w:szCs w:val="24"/>
          <w:shd w:val="clear" w:fill="FFFFFF"/>
          <w:lang w:val="en-US" w:eastAsia="zh-CN"/>
        </w:rPr>
      </w:pPr>
      <w:r>
        <w:rPr>
          <w:rFonts w:hint="eastAsia" w:asciiTheme="majorEastAsia" w:hAnsiTheme="majorEastAsia" w:eastAsiaTheme="majorEastAsia" w:cstheme="majorEastAsia"/>
          <w:b/>
          <w:bCs/>
          <w:i w:val="0"/>
          <w:iCs w:val="0"/>
          <w:caps w:val="0"/>
          <w:spacing w:val="0"/>
          <w:sz w:val="24"/>
          <w:szCs w:val="24"/>
          <w:shd w:val="clear" w:fill="FFFFFF"/>
          <w:lang w:val="en-US" w:eastAsia="zh-CN"/>
        </w:rPr>
        <w:t>飞行器企业集群</w:t>
      </w:r>
    </w:p>
    <w:p w14:paraId="61304B62">
      <w:pPr>
        <w:keepNext w:val="0"/>
        <w:keepLines w:val="0"/>
        <w:widowControl/>
        <w:numPr>
          <w:ilvl w:val="5"/>
          <w:numId w:val="1"/>
        </w:numPr>
        <w:suppressLineNumbers w:val="0"/>
        <w:kinsoku w:val="0"/>
        <w:autoSpaceDE w:val="0"/>
        <w:autoSpaceDN w:val="0"/>
        <w:adjustRightInd w:val="0"/>
        <w:snapToGrid w:val="0"/>
        <w:spacing w:before="0" w:beforeLines="10" w:beforeAutospacing="0" w:after="0" w:afterLines="30" w:afterAutospacing="0" w:line="288" w:lineRule="auto"/>
        <w:ind w:left="0" w:leftChars="0" w:right="0" w:rightChars="0" w:firstLine="0" w:firstLineChars="0"/>
        <w:jc w:val="left"/>
        <w:textAlignment w:val="baseline"/>
        <w:outlineLvl w:val="5"/>
        <w:rPr>
          <w:rFonts w:hint="default" w:ascii="宋体" w:hAnsi="宋体" w:eastAsia="宋体" w:cs="宋体"/>
          <w:b/>
          <w:bCs/>
          <w:i w:val="0"/>
          <w:iCs w:val="0"/>
          <w:caps w:val="0"/>
          <w:snapToGrid w:val="0"/>
          <w:color w:val="000000"/>
          <w:spacing w:val="0"/>
          <w:kern w:val="0"/>
          <w:sz w:val="24"/>
          <w:szCs w:val="24"/>
          <w:shd w:val="clear" w:fill="FFFFFF"/>
          <w:vertAlign w:val="baseline"/>
          <w:lang w:val="en-US" w:eastAsia="zh-CN" w:bidi="ar"/>
        </w:rPr>
      </w:pPr>
      <w:r>
        <w:rPr>
          <w:rFonts w:hint="eastAsia" w:ascii="宋体" w:hAnsi="宋体" w:eastAsia="宋体" w:cs="宋体"/>
          <w:b/>
          <w:bCs/>
          <w:i w:val="0"/>
          <w:iCs w:val="0"/>
          <w:caps w:val="0"/>
          <w:snapToGrid w:val="0"/>
          <w:color w:val="000000"/>
          <w:spacing w:val="0"/>
          <w:kern w:val="0"/>
          <w:sz w:val="24"/>
          <w:szCs w:val="24"/>
          <w:shd w:val="clear" w:fill="FFFFFF"/>
          <w:vertAlign w:val="baseline"/>
          <w:lang w:val="en-US" w:eastAsia="zh-CN" w:bidi="ar"/>
        </w:rPr>
        <w:t>锐翔通用飞机制造：电动飞机</w:t>
      </w:r>
    </w:p>
    <w:p w14:paraId="7825E3B3">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辽宁锐翔通用飞机制造有限公司创立于2013年，是国内新能源通用飞机研发与制造的先行者。公司以扎实的制造实力为根基，整合辽宁通用航空研究院等单位的技术资源，构建起技术自主、体系完整的中试平台。</w:t>
      </w:r>
    </w:p>
    <w:p w14:paraId="3D341ECF">
      <w:pPr>
        <w:keepNext w:val="0"/>
        <w:keepLines w:val="0"/>
        <w:widowControl/>
        <w:numPr>
          <w:ilvl w:val="0"/>
          <w:numId w:val="39"/>
        </w:numPr>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Segoe UI" w:hAnsi="Segoe UI" w:eastAsia="宋体" w:cs="Segoe UI"/>
          <w:i w:val="0"/>
          <w:iCs w:val="0"/>
          <w:caps w:val="0"/>
          <w:color w:val="000000"/>
          <w:spacing w:val="0"/>
          <w:sz w:val="24"/>
          <w:szCs w:val="24"/>
          <w:shd w:val="clear" w:fill="FFFFFF"/>
          <w:vertAlign w:val="baseline"/>
          <w:lang w:val="en-US" w:eastAsia="zh-CN"/>
        </w:rPr>
      </w:pPr>
      <w:r>
        <w:rPr>
          <w:rFonts w:hint="default" w:ascii="Segoe UI" w:hAnsi="Segoe UI" w:eastAsia="宋体" w:cs="Segoe UI"/>
          <w:i w:val="0"/>
          <w:iCs w:val="0"/>
          <w:caps w:val="0"/>
          <w:color w:val="000000"/>
          <w:spacing w:val="0"/>
          <w:sz w:val="24"/>
          <w:szCs w:val="24"/>
          <w:shd w:val="clear" w:fill="FFFFFF"/>
          <w:vertAlign w:val="baseline"/>
          <w:lang w:val="en-US" w:eastAsia="zh-CN"/>
        </w:rPr>
        <w:t>产品矩阵与技术突破</w:t>
      </w:r>
    </w:p>
    <w:p w14:paraId="3DB8057E">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锐翔通飞具备完整的轻型飞机设计、制造、试验、试飞体系，承担工信部若干重点项目，是国内自主研制新能源通用飞机的唯一单位。公司已实现电动力通用飞机的市场销售推广和应用，开创了国内通航领域电动飞机市场化的先河。</w:t>
      </w:r>
    </w:p>
    <w:p w14:paraId="275CA2F9">
      <w:pPr>
        <w:keepNext w:val="0"/>
        <w:keepLines w:val="0"/>
        <w:widowControl/>
        <w:numPr>
          <w:ilvl w:val="0"/>
          <w:numId w:val="39"/>
        </w:numPr>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Segoe UI" w:hAnsi="Segoe UI" w:eastAsia="宋体" w:cs="Segoe UI"/>
          <w:i w:val="0"/>
          <w:iCs w:val="0"/>
          <w:caps w:val="0"/>
          <w:color w:val="000000"/>
          <w:spacing w:val="0"/>
          <w:sz w:val="24"/>
          <w:szCs w:val="24"/>
          <w:shd w:val="clear" w:fill="FFFFFF"/>
          <w:vertAlign w:val="baseline"/>
        </w:rPr>
      </w:pPr>
      <w:r>
        <w:rPr>
          <w:rFonts w:hint="default" w:ascii="Segoe UI" w:hAnsi="Segoe UI" w:eastAsia="宋体" w:cs="Segoe UI"/>
          <w:i w:val="0"/>
          <w:iCs w:val="0"/>
          <w:caps w:val="0"/>
          <w:color w:val="000000"/>
          <w:spacing w:val="0"/>
          <w:sz w:val="24"/>
          <w:szCs w:val="24"/>
          <w:shd w:val="clear" w:fill="FFFFFF"/>
          <w:vertAlign w:val="baseline"/>
          <w:lang w:val="en-US" w:eastAsia="zh-CN"/>
        </w:rPr>
        <w:t>核心产品与市场应用</w:t>
      </w:r>
    </w:p>
    <w:p w14:paraId="1E6A18A3">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RX1E-A双座电动飞机：2017</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11</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月</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1</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日首飞成功，通过提升锂电池能量密度、提高电动力系统性能、优化结构设计等技术手段，大幅增加了电动轻型运动飞机航程和续航时间。</w:t>
      </w:r>
    </w:p>
    <w:p w14:paraId="2D1FE051">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RX1E-S双座水上电动飞机：2019</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年首飞成功，2022</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年取得中国民用航空局颁发的生产许可证（PC）。</w:t>
      </w:r>
    </w:p>
    <w:p w14:paraId="124D6C2B">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RX4E四座电动飞机：2019</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年首飞成功，2025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年获得型号合格证（TC）权益授权。</w:t>
      </w:r>
    </w:p>
    <w:p w14:paraId="7898ADD9">
      <w:pPr>
        <w:keepNext w:val="0"/>
        <w:keepLines w:val="0"/>
        <w:widowControl/>
        <w:numPr>
          <w:ilvl w:val="0"/>
          <w:numId w:val="39"/>
        </w:numPr>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Segoe UI" w:hAnsi="Segoe UI" w:eastAsia="宋体" w:cs="Segoe UI"/>
          <w:i w:val="0"/>
          <w:iCs w:val="0"/>
          <w:caps w:val="0"/>
          <w:color w:val="000000"/>
          <w:spacing w:val="0"/>
          <w:sz w:val="24"/>
          <w:szCs w:val="24"/>
          <w:shd w:val="clear" w:fill="FFFFFF"/>
          <w:vertAlign w:val="baseline"/>
          <w:lang w:val="en-US" w:eastAsia="zh-CN"/>
        </w:rPr>
      </w:pPr>
      <w:r>
        <w:rPr>
          <w:rFonts w:hint="default" w:ascii="Segoe UI" w:hAnsi="Segoe UI" w:eastAsia="宋体" w:cs="Segoe UI"/>
          <w:i w:val="0"/>
          <w:iCs w:val="0"/>
          <w:caps w:val="0"/>
          <w:color w:val="000000"/>
          <w:spacing w:val="0"/>
          <w:sz w:val="24"/>
          <w:szCs w:val="24"/>
          <w:shd w:val="clear" w:fill="FFFFFF"/>
          <w:vertAlign w:val="baseline"/>
          <w:lang w:val="en-US" w:eastAsia="zh-CN"/>
        </w:rPr>
        <w:t>战略合作与市场拓展</w:t>
      </w:r>
    </w:p>
    <w:p w14:paraId="6D0B4791">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2025</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年，公司成功携手沈阳航空产业集团与零重力飞机工业有限公司，实现战略资源整合，共筑航空产业新生态。与新疆博乐市签订了超亿元意向采购协议。</w:t>
      </w:r>
    </w:p>
    <w:p w14:paraId="2D509071">
      <w:pPr>
        <w:keepNext w:val="0"/>
        <w:keepLines w:val="0"/>
        <w:widowControl/>
        <w:numPr>
          <w:ilvl w:val="0"/>
          <w:numId w:val="39"/>
        </w:numPr>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Segoe UI" w:hAnsi="Segoe UI" w:eastAsia="宋体" w:cs="Segoe UI"/>
          <w:i w:val="0"/>
          <w:iCs w:val="0"/>
          <w:caps w:val="0"/>
          <w:color w:val="000000"/>
          <w:spacing w:val="0"/>
          <w:sz w:val="24"/>
          <w:szCs w:val="24"/>
          <w:shd w:val="clear" w:fill="FFFFFF"/>
          <w:vertAlign w:val="baseline"/>
          <w:lang w:val="en-US" w:eastAsia="zh-CN"/>
        </w:rPr>
      </w:pPr>
      <w:r>
        <w:rPr>
          <w:rFonts w:hint="default" w:ascii="Segoe UI" w:hAnsi="Segoe UI" w:eastAsia="宋体" w:cs="Segoe UI"/>
          <w:i w:val="0"/>
          <w:iCs w:val="0"/>
          <w:caps w:val="0"/>
          <w:color w:val="000000"/>
          <w:spacing w:val="0"/>
          <w:sz w:val="24"/>
          <w:szCs w:val="24"/>
          <w:shd w:val="clear" w:fill="FFFFFF"/>
          <w:vertAlign w:val="baseline"/>
          <w:lang w:val="en-US" w:eastAsia="zh-CN"/>
        </w:rPr>
        <w:t>产能规划与交付目标</w:t>
      </w:r>
    </w:p>
    <w:p w14:paraId="6BCD616F">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新能源锐翔飞机预计</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2026</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年全年交付</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50</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余架。目前，从RX1E-A双座电动飞机到RX1E-S水上电动飞机，再到代表未来方向的RX4E四座电动飞机，锐翔通飞正全力保障订单交付</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[84]</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w:t>
      </w:r>
    </w:p>
    <w:p w14:paraId="063BE0AE">
      <w:pPr>
        <w:keepNext w:val="0"/>
        <w:keepLines w:val="0"/>
        <w:widowControl/>
        <w:numPr>
          <w:ilvl w:val="5"/>
          <w:numId w:val="1"/>
        </w:numPr>
        <w:suppressLineNumbers w:val="0"/>
        <w:kinsoku w:val="0"/>
        <w:autoSpaceDE w:val="0"/>
        <w:autoSpaceDN w:val="0"/>
        <w:adjustRightInd w:val="0"/>
        <w:snapToGrid w:val="0"/>
        <w:spacing w:before="0" w:beforeLines="10" w:beforeAutospacing="0" w:after="0" w:afterLines="30" w:afterAutospacing="0" w:line="288" w:lineRule="auto"/>
        <w:ind w:left="0" w:leftChars="0" w:right="0" w:rightChars="0" w:firstLine="0" w:firstLineChars="0"/>
        <w:jc w:val="left"/>
        <w:textAlignment w:val="baseline"/>
        <w:outlineLvl w:val="5"/>
        <w:rPr>
          <w:rFonts w:hint="default" w:ascii="宋体" w:hAnsi="宋体" w:eastAsia="宋体" w:cs="宋体"/>
          <w:b/>
          <w:bCs/>
          <w:i w:val="0"/>
          <w:iCs w:val="0"/>
          <w:caps w:val="0"/>
          <w:snapToGrid w:val="0"/>
          <w:color w:val="000000"/>
          <w:spacing w:val="0"/>
          <w:kern w:val="0"/>
          <w:sz w:val="24"/>
          <w:szCs w:val="24"/>
          <w:shd w:val="clear" w:fill="FFFFFF"/>
          <w:vertAlign w:val="baseline"/>
          <w:lang w:val="en-US" w:eastAsia="zh-CN" w:bidi="ar"/>
        </w:rPr>
      </w:pPr>
      <w:r>
        <w:rPr>
          <w:rFonts w:hint="eastAsia" w:ascii="宋体" w:hAnsi="宋体" w:eastAsia="宋体" w:cs="宋体"/>
          <w:b/>
          <w:bCs/>
          <w:i w:val="0"/>
          <w:iCs w:val="0"/>
          <w:caps w:val="0"/>
          <w:snapToGrid w:val="0"/>
          <w:color w:val="000000"/>
          <w:spacing w:val="0"/>
          <w:kern w:val="0"/>
          <w:sz w:val="24"/>
          <w:szCs w:val="24"/>
          <w:shd w:val="clear" w:fill="FFFFFF"/>
          <w:vertAlign w:val="baseline"/>
          <w:lang w:val="en-US" w:eastAsia="zh-CN" w:bidi="ar"/>
        </w:rPr>
        <w:t>盛科航宇氢能源科技：氢动力无人机</w:t>
      </w:r>
    </w:p>
    <w:p w14:paraId="420A7CB1">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沈阳盛科航宇氢能源科技有限责任公司，成立于2023年，位于辽宁省沈阳市，是一家以从事民用航空器零部件设计和生产为主的企业。</w:t>
      </w:r>
    </w:p>
    <w:p w14:paraId="6FC11F77">
      <w:pPr>
        <w:keepNext w:val="0"/>
        <w:keepLines w:val="0"/>
        <w:widowControl/>
        <w:numPr>
          <w:ilvl w:val="0"/>
          <w:numId w:val="40"/>
        </w:numPr>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Segoe UI" w:hAnsi="Segoe UI" w:eastAsia="宋体" w:cs="Segoe UI"/>
          <w:i w:val="0"/>
          <w:iCs w:val="0"/>
          <w:caps w:val="0"/>
          <w:color w:val="000000"/>
          <w:spacing w:val="0"/>
          <w:sz w:val="24"/>
          <w:szCs w:val="24"/>
          <w:shd w:val="clear" w:fill="FFFFFF"/>
          <w:vertAlign w:val="baseline"/>
          <w:lang w:val="en-US" w:eastAsia="zh-CN"/>
        </w:rPr>
      </w:pPr>
      <w:r>
        <w:rPr>
          <w:rFonts w:hint="default" w:ascii="Segoe UI" w:hAnsi="Segoe UI" w:eastAsia="宋体" w:cs="Segoe UI"/>
          <w:i w:val="0"/>
          <w:iCs w:val="0"/>
          <w:caps w:val="0"/>
          <w:color w:val="000000"/>
          <w:spacing w:val="0"/>
          <w:sz w:val="24"/>
          <w:szCs w:val="24"/>
          <w:shd w:val="clear" w:fill="FFFFFF"/>
          <w:vertAlign w:val="baseline"/>
          <w:lang w:val="en-US" w:eastAsia="zh-CN"/>
        </w:rPr>
        <w:t>技术突破与极端环境验证</w:t>
      </w:r>
    </w:p>
    <w:p w14:paraId="4B2FFF59">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2026</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年</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4</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月</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23</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日，沈阳造氢动力无人机高原首飞成功。在海拔</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5100</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米的高原风场，空气稀薄，八级强风裹挟乱流，一架X10氢动力旋翼无人机稳稳升空，精准悬停，全程动力充沛。</w:t>
      </w:r>
    </w:p>
    <w:p w14:paraId="3FFED3CA">
      <w:pPr>
        <w:keepNext w:val="0"/>
        <w:keepLines w:val="0"/>
        <w:widowControl/>
        <w:numPr>
          <w:ilvl w:val="0"/>
          <w:numId w:val="40"/>
        </w:numPr>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Segoe UI" w:hAnsi="Segoe UI" w:eastAsia="宋体" w:cs="Segoe UI"/>
          <w:i w:val="0"/>
          <w:iCs w:val="0"/>
          <w:caps w:val="0"/>
          <w:color w:val="000000"/>
          <w:spacing w:val="0"/>
          <w:sz w:val="24"/>
          <w:szCs w:val="24"/>
          <w:shd w:val="clear" w:fill="FFFFFF"/>
          <w:vertAlign w:val="baseline"/>
          <w:lang w:val="en-US" w:eastAsia="zh-CN"/>
        </w:rPr>
      </w:pPr>
      <w:r>
        <w:rPr>
          <w:rFonts w:hint="default" w:ascii="Segoe UI" w:hAnsi="Segoe UI" w:eastAsia="宋体" w:cs="Segoe UI"/>
          <w:i w:val="0"/>
          <w:iCs w:val="0"/>
          <w:caps w:val="0"/>
          <w:color w:val="000000"/>
          <w:spacing w:val="0"/>
          <w:sz w:val="24"/>
          <w:szCs w:val="24"/>
          <w:shd w:val="clear" w:fill="FFFFFF"/>
          <w:vertAlign w:val="baseline"/>
          <w:lang w:val="en-US" w:eastAsia="zh-CN"/>
        </w:rPr>
        <w:t>企业背景与技术团队</w:t>
      </w:r>
    </w:p>
    <w:p w14:paraId="1C7420C1">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沈阳盛科航宇氢能源科技有限责任公司由哈尔滨工业大学沈轶岭博士领衔。不久前，沈阳产业技术研究院通过市场化投资平台，对其完成了Pre-A轮投资。</w:t>
      </w:r>
    </w:p>
    <w:p w14:paraId="1EB10318">
      <w:pPr>
        <w:keepNext w:val="0"/>
        <w:keepLines w:val="0"/>
        <w:widowControl/>
        <w:numPr>
          <w:ilvl w:val="0"/>
          <w:numId w:val="40"/>
        </w:numPr>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Segoe UI" w:hAnsi="Segoe UI" w:eastAsia="宋体" w:cs="Segoe UI"/>
          <w:i w:val="0"/>
          <w:iCs w:val="0"/>
          <w:caps w:val="0"/>
          <w:color w:val="000000"/>
          <w:spacing w:val="0"/>
          <w:sz w:val="24"/>
          <w:szCs w:val="24"/>
          <w:shd w:val="clear" w:fill="FFFFFF"/>
          <w:vertAlign w:val="baseline"/>
          <w:lang w:val="en-US" w:eastAsia="zh-CN"/>
        </w:rPr>
      </w:pPr>
      <w:r>
        <w:rPr>
          <w:rFonts w:hint="default" w:ascii="Segoe UI" w:hAnsi="Segoe UI" w:eastAsia="宋体" w:cs="Segoe UI"/>
          <w:i w:val="0"/>
          <w:iCs w:val="0"/>
          <w:caps w:val="0"/>
          <w:color w:val="000000"/>
          <w:spacing w:val="0"/>
          <w:sz w:val="24"/>
          <w:szCs w:val="24"/>
          <w:shd w:val="clear" w:fill="FFFFFF"/>
          <w:vertAlign w:val="baseline"/>
          <w:lang w:val="en-US" w:eastAsia="zh-CN"/>
        </w:rPr>
        <w:t>技术优势与产品性能</w:t>
      </w:r>
    </w:p>
    <w:p w14:paraId="48F24235">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氢燃料电池无人机的优势在于超长续航、快速加注、适应极寒。企业研发的电池系统可在</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-40℃</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至</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45℃</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环境下稳定运行，加氢</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3</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到</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5</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分钟即可支撑</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9</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小时续航，性能远超锂电池。</w:t>
      </w:r>
    </w:p>
    <w:p w14:paraId="54E427F9">
      <w:pPr>
        <w:keepNext w:val="0"/>
        <w:keepLines w:val="0"/>
        <w:widowControl/>
        <w:numPr>
          <w:ilvl w:val="0"/>
          <w:numId w:val="40"/>
        </w:numPr>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Segoe UI" w:hAnsi="Segoe UI" w:eastAsia="宋体" w:cs="Segoe UI"/>
          <w:i w:val="0"/>
          <w:iCs w:val="0"/>
          <w:caps w:val="0"/>
          <w:color w:val="000000"/>
          <w:spacing w:val="0"/>
          <w:sz w:val="24"/>
          <w:szCs w:val="24"/>
          <w:shd w:val="clear" w:fill="FFFFFF"/>
          <w:vertAlign w:val="baseline"/>
          <w:lang w:val="en-US" w:eastAsia="zh-CN"/>
        </w:rPr>
      </w:pPr>
      <w:r>
        <w:rPr>
          <w:rFonts w:hint="default" w:ascii="Segoe UI" w:hAnsi="Segoe UI" w:eastAsia="宋体" w:cs="Segoe UI"/>
          <w:i w:val="0"/>
          <w:iCs w:val="0"/>
          <w:caps w:val="0"/>
          <w:color w:val="000000"/>
          <w:spacing w:val="0"/>
          <w:sz w:val="24"/>
          <w:szCs w:val="24"/>
          <w:shd w:val="clear" w:fill="FFFFFF"/>
          <w:vertAlign w:val="baseline"/>
          <w:lang w:val="en-US" w:eastAsia="zh-CN"/>
        </w:rPr>
        <w:t>适航认证与产业化准备</w:t>
      </w:r>
    </w:p>
    <w:p w14:paraId="6A78A0A3">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目前，其固定翼无人机已获民航局特许飞行证，完成电网、森林等多领域应用验证。公司总经理沈轶岭表示："产业化准备已经就绪</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[85]</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w:t>
      </w:r>
    </w:p>
    <w:p w14:paraId="1CDC4666">
      <w:pPr>
        <w:keepNext w:val="0"/>
        <w:keepLines w:val="0"/>
        <w:pageBreakBefore w:val="0"/>
        <w:widowControl/>
        <w:numPr>
          <w:ilvl w:val="4"/>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4"/>
        <w:rPr>
          <w:rFonts w:hint="eastAsia" w:asciiTheme="majorEastAsia" w:hAnsiTheme="majorEastAsia" w:eastAsiaTheme="majorEastAsia" w:cstheme="majorEastAsia"/>
          <w:b/>
          <w:bCs/>
          <w:i w:val="0"/>
          <w:iCs w:val="0"/>
          <w:caps w:val="0"/>
          <w:spacing w:val="0"/>
          <w:sz w:val="24"/>
          <w:szCs w:val="24"/>
          <w:shd w:val="clear" w:fill="FFFFFF"/>
          <w:lang w:val="en-US" w:eastAsia="zh-CN"/>
        </w:rPr>
      </w:pPr>
      <w:r>
        <w:rPr>
          <w:rFonts w:hint="eastAsia" w:asciiTheme="majorEastAsia" w:hAnsiTheme="majorEastAsia" w:eastAsiaTheme="majorEastAsia" w:cstheme="majorEastAsia"/>
          <w:b/>
          <w:bCs/>
          <w:i w:val="0"/>
          <w:iCs w:val="0"/>
          <w:caps w:val="0"/>
          <w:spacing w:val="0"/>
          <w:sz w:val="24"/>
          <w:szCs w:val="24"/>
          <w:shd w:val="clear" w:fill="FFFFFF"/>
          <w:lang w:val="en-US" w:eastAsia="zh-CN"/>
        </w:rPr>
        <w:t>核心部件与系统集成企业集群</w:t>
      </w:r>
    </w:p>
    <w:p w14:paraId="4AE3E875">
      <w:pPr>
        <w:keepNext w:val="0"/>
        <w:keepLines w:val="0"/>
        <w:widowControl/>
        <w:numPr>
          <w:ilvl w:val="5"/>
          <w:numId w:val="1"/>
        </w:numPr>
        <w:suppressLineNumbers w:val="0"/>
        <w:kinsoku w:val="0"/>
        <w:autoSpaceDE w:val="0"/>
        <w:autoSpaceDN w:val="0"/>
        <w:adjustRightInd w:val="0"/>
        <w:snapToGrid w:val="0"/>
        <w:spacing w:before="0" w:beforeLines="10" w:beforeAutospacing="0" w:after="0" w:afterLines="30" w:afterAutospacing="0" w:line="288" w:lineRule="auto"/>
        <w:ind w:left="0" w:leftChars="0" w:right="0" w:rightChars="0" w:firstLine="0" w:firstLineChars="0"/>
        <w:jc w:val="left"/>
        <w:textAlignment w:val="baseline"/>
        <w:outlineLvl w:val="5"/>
        <w:rPr>
          <w:rFonts w:hint="default" w:ascii="宋体" w:hAnsi="宋体" w:eastAsia="宋体" w:cs="宋体"/>
          <w:b/>
          <w:bCs/>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b/>
          <w:bCs/>
          <w:i w:val="0"/>
          <w:iCs w:val="0"/>
          <w:caps w:val="0"/>
          <w:snapToGrid w:val="0"/>
          <w:color w:val="000000"/>
          <w:spacing w:val="0"/>
          <w:kern w:val="0"/>
          <w:sz w:val="24"/>
          <w:szCs w:val="24"/>
          <w:shd w:val="clear" w:fill="FFFFFF"/>
          <w:vertAlign w:val="baseline"/>
          <w:lang w:val="en-US" w:eastAsia="zh-CN" w:bidi="ar"/>
        </w:rPr>
        <w:t>无距科技：飞行控制系统</w:t>
      </w:r>
    </w:p>
    <w:p w14:paraId="085825AA">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沈阳无距科技有限公司成立于2015年12月，是一家专业从事无人机飞行控制器、无人机整机、无人机大数据系统的国家高新技术企业</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，也</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东北地区首个无人机全产业链研发中心，深耕无人机飞行控制系统、整机研发及大数据监管云系统领域。公司由国家万人计划领军人才、辽宁省“兴辽英才”人才、辽宁省百千万人才创办，核心团队来自中国科学院沈阳自动化研究所</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公司拥有核心自主知识产权</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220</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余项，授权专利</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160</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余项。</w:t>
      </w:r>
    </w:p>
    <w:p w14:paraId="035EBC1A">
      <w:pPr>
        <w:keepNext w:val="0"/>
        <w:keepLines w:val="0"/>
        <w:widowControl/>
        <w:numPr>
          <w:ilvl w:val="0"/>
          <w:numId w:val="41"/>
        </w:numPr>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Segoe UI" w:hAnsi="Segoe UI" w:eastAsia="宋体" w:cs="Segoe UI"/>
          <w:i w:val="0"/>
          <w:iCs w:val="0"/>
          <w:caps w:val="0"/>
          <w:color w:val="000000"/>
          <w:spacing w:val="0"/>
          <w:sz w:val="24"/>
          <w:szCs w:val="24"/>
          <w:shd w:val="clear" w:fill="FFFFFF"/>
          <w:vertAlign w:val="baseline"/>
          <w:lang w:val="en-US" w:eastAsia="zh-CN"/>
        </w:rPr>
      </w:pPr>
      <w:r>
        <w:rPr>
          <w:rFonts w:hint="default" w:ascii="Segoe UI" w:hAnsi="Segoe UI" w:eastAsia="宋体" w:cs="Segoe UI"/>
          <w:i w:val="0"/>
          <w:iCs w:val="0"/>
          <w:caps w:val="0"/>
          <w:color w:val="000000"/>
          <w:spacing w:val="0"/>
          <w:sz w:val="24"/>
          <w:szCs w:val="24"/>
          <w:shd w:val="clear" w:fill="FFFFFF"/>
          <w:vertAlign w:val="baseline"/>
          <w:lang w:val="en-US" w:eastAsia="zh-CN"/>
        </w:rPr>
        <w:t>核心</w:t>
      </w:r>
      <w:r>
        <w:rPr>
          <w:rFonts w:hint="eastAsia" w:ascii="Segoe UI" w:hAnsi="Segoe UI" w:eastAsia="宋体" w:cs="Segoe UI"/>
          <w:i w:val="0"/>
          <w:iCs w:val="0"/>
          <w:caps w:val="0"/>
          <w:color w:val="000000"/>
          <w:spacing w:val="0"/>
          <w:sz w:val="24"/>
          <w:szCs w:val="24"/>
          <w:shd w:val="clear" w:fill="FFFFFF"/>
          <w:vertAlign w:val="baseline"/>
          <w:lang w:val="en-US" w:eastAsia="zh-CN"/>
        </w:rPr>
        <w:t>技术</w:t>
      </w:r>
    </w:p>
    <w:p w14:paraId="1DB8C086">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无距科技以飞控为核心、多机协同与整机平台为两翼，形成三大自主可控核心技术集群：</w:t>
      </w:r>
    </w:p>
    <w:p w14:paraId="3320992D">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1）高可靠飞行控制技术</w:t>
      </w:r>
    </w:p>
    <w:p w14:paraId="6A448805">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自研双余度惯导 + 多传感器融合算法，实现姿态角精度＜0.5°、航向精度＜1°，抗磁干扰能力强。</w:t>
      </w:r>
    </w:p>
    <w:p w14:paraId="6ADC5E2E">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基于ARM+FPGA 异构架构的飞控硬件，支持实时操作系统与硬实时控制，-40℃～+85℃宽温稳定运行。旋翼自抗扰控制（ADRC） 专利技术，将航向控制结构件减少 90%，显著提升单旋翼无人机稳定性与抗风能力（最大抗风 12m/s）。</w:t>
      </w:r>
    </w:p>
    <w:p w14:paraId="3544F62C">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2）空天智链</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多机协同技术</w:t>
      </w:r>
    </w:p>
    <w:p w14:paraId="36539ECD">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分布式集群协同决策算法，支持 10 + 架无人机动态组网、自主编队、任务协同与容错重构。</w:t>
      </w:r>
    </w:p>
    <w:p w14:paraId="5A3100E5">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抗干扰自组网通信链路，复杂山地 / 林区通信距离＞20km，保障集群数据与指令实时可靠传输。</w:t>
      </w:r>
    </w:p>
    <w:p w14:paraId="524CDC1C">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3）工业级无人机平台技术</w:t>
      </w:r>
    </w:p>
    <w:p w14:paraId="49681E35">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倾转旋翼/矢量多旋翼整机设计，突破气动干扰、结构轻量化与飞控耦合难题，填补国内高端工业无人机空白。</w:t>
      </w:r>
    </w:p>
    <w:p w14:paraId="362E3025">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单旋翼植保无人机系统，大载荷（25L）、高效率（1 分钟 5 亩）、高穿透风场，适配高秆作物与复杂地形。</w:t>
      </w:r>
    </w:p>
    <w:p w14:paraId="0A65DA42">
      <w:pPr>
        <w:keepNext w:val="0"/>
        <w:keepLines w:val="0"/>
        <w:widowControl/>
        <w:numPr>
          <w:ilvl w:val="0"/>
          <w:numId w:val="41"/>
        </w:numPr>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Segoe UI" w:hAnsi="Segoe UI" w:eastAsia="宋体" w:cs="Segoe UI"/>
          <w:i w:val="0"/>
          <w:iCs w:val="0"/>
          <w:caps w:val="0"/>
          <w:color w:val="000000"/>
          <w:spacing w:val="0"/>
          <w:sz w:val="24"/>
          <w:szCs w:val="24"/>
          <w:shd w:val="clear" w:fill="FFFFFF"/>
          <w:vertAlign w:val="baseline"/>
          <w:lang w:val="en-US" w:eastAsia="zh-CN"/>
        </w:rPr>
      </w:pPr>
      <w:r>
        <w:rPr>
          <w:rFonts w:hint="default" w:ascii="Segoe UI" w:hAnsi="Segoe UI" w:eastAsia="宋体" w:cs="Segoe UI"/>
          <w:i w:val="0"/>
          <w:iCs w:val="0"/>
          <w:caps w:val="0"/>
          <w:color w:val="000000"/>
          <w:spacing w:val="0"/>
          <w:sz w:val="24"/>
          <w:szCs w:val="24"/>
          <w:shd w:val="clear" w:fill="FFFFFF"/>
          <w:vertAlign w:val="baseline"/>
          <w:lang w:val="en-US" w:eastAsia="zh-CN"/>
        </w:rPr>
        <w:t>核心产品与市场地位</w:t>
      </w:r>
    </w:p>
    <w:p w14:paraId="434FCAB3">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Segoe UI" w:hAnsi="Segoe UI" w:eastAsia="宋体" w:cs="Segoe UI"/>
          <w:i w:val="0"/>
          <w:iCs w:val="0"/>
          <w:caps w:val="0"/>
          <w:color w:val="000000"/>
          <w:spacing w:val="0"/>
          <w:sz w:val="24"/>
          <w:szCs w:val="24"/>
          <w:shd w:val="clear" w:fill="FFFFFF"/>
          <w:vertAlign w:val="baseline"/>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无距科技的THEONE系列单旋翼飞控产品占据国内</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80%</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的市场份额。其植保单旋翼飞控产品市场占有率接近</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90%，总销售额突破</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3000</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万元。</w:t>
      </w:r>
    </w:p>
    <w:p w14:paraId="37C39959">
      <w:pPr>
        <w:keepNext w:val="0"/>
        <w:keepLines w:val="0"/>
        <w:widowControl/>
        <w:numPr>
          <w:ilvl w:val="0"/>
          <w:numId w:val="41"/>
        </w:numPr>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Segoe UI" w:hAnsi="Segoe UI" w:eastAsia="宋体" w:cs="Segoe UI"/>
          <w:i w:val="0"/>
          <w:iCs w:val="0"/>
          <w:caps w:val="0"/>
          <w:color w:val="000000"/>
          <w:spacing w:val="0"/>
          <w:sz w:val="24"/>
          <w:szCs w:val="24"/>
          <w:shd w:val="clear" w:fill="FFFFFF"/>
          <w:vertAlign w:val="baseline"/>
          <w:lang w:val="en-US" w:eastAsia="zh-CN"/>
        </w:rPr>
      </w:pPr>
      <w:r>
        <w:rPr>
          <w:rFonts w:hint="default" w:ascii="Segoe UI" w:hAnsi="Segoe UI" w:eastAsia="宋体" w:cs="Segoe UI"/>
          <w:i w:val="0"/>
          <w:iCs w:val="0"/>
          <w:caps w:val="0"/>
          <w:color w:val="000000"/>
          <w:spacing w:val="0"/>
          <w:sz w:val="24"/>
          <w:szCs w:val="24"/>
          <w:shd w:val="clear" w:fill="FFFFFF"/>
          <w:vertAlign w:val="baseline"/>
          <w:lang w:val="en-US" w:eastAsia="zh-CN"/>
        </w:rPr>
        <w:t>技术创新与产品迭代</w:t>
      </w:r>
    </w:p>
    <w:p w14:paraId="12AEB2A4">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Segoe UI" w:hAnsi="Segoe UI" w:eastAsia="宋体" w:cs="Segoe UI"/>
          <w:i w:val="0"/>
          <w:iCs w:val="0"/>
          <w:caps w:val="0"/>
          <w:color w:val="000000"/>
          <w:spacing w:val="0"/>
          <w:sz w:val="24"/>
          <w:szCs w:val="24"/>
          <w:shd w:val="clear" w:fill="FFFFFF"/>
          <w:vertAlign w:val="baseline"/>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2026</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年</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3</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月，公司发布新一代工业级无人机飞控产品"THEONE-I Lite"和"THEONE-I Pro"。该系列飞控采用双余度惯导设计、ARM+FPGA架构，支持双载荷控制、多任务航线飞行及远程规划。</w:t>
      </w:r>
    </w:p>
    <w:p w14:paraId="0CADECDB">
      <w:pPr>
        <w:keepNext w:val="0"/>
        <w:keepLines w:val="0"/>
        <w:widowControl/>
        <w:numPr>
          <w:ilvl w:val="0"/>
          <w:numId w:val="41"/>
        </w:numPr>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Segoe UI" w:hAnsi="Segoe UI" w:eastAsia="宋体" w:cs="Segoe UI"/>
          <w:i w:val="0"/>
          <w:iCs w:val="0"/>
          <w:caps w:val="0"/>
          <w:color w:val="000000"/>
          <w:spacing w:val="0"/>
          <w:sz w:val="24"/>
          <w:szCs w:val="24"/>
          <w:shd w:val="clear" w:fill="FFFFFF"/>
          <w:vertAlign w:val="baseline"/>
          <w:lang w:val="en-US" w:eastAsia="zh-CN"/>
        </w:rPr>
      </w:pPr>
      <w:r>
        <w:rPr>
          <w:rFonts w:hint="default" w:ascii="Segoe UI" w:hAnsi="Segoe UI" w:eastAsia="宋体" w:cs="Segoe UI"/>
          <w:i w:val="0"/>
          <w:iCs w:val="0"/>
          <w:caps w:val="0"/>
          <w:color w:val="000000"/>
          <w:spacing w:val="0"/>
          <w:sz w:val="24"/>
          <w:szCs w:val="24"/>
          <w:shd w:val="clear" w:fill="FFFFFF"/>
          <w:vertAlign w:val="baseline"/>
          <w:lang w:val="en-US" w:eastAsia="zh-CN"/>
        </w:rPr>
        <w:t>行业应用与解决方案</w:t>
      </w:r>
    </w:p>
    <w:p w14:paraId="466626EA">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Segoe UI" w:hAnsi="Segoe UI" w:eastAsia="宋体" w:cs="Segoe UI"/>
          <w:i w:val="0"/>
          <w:iCs w:val="0"/>
          <w:caps w:val="0"/>
          <w:color w:val="000000"/>
          <w:spacing w:val="0"/>
          <w:sz w:val="24"/>
          <w:szCs w:val="24"/>
          <w:shd w:val="clear" w:fill="FFFFFF"/>
          <w:vertAlign w:val="baseline"/>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无距科技产品广泛应用于应急救援、智慧农业、航拍测绘等多个领域。公司自主研发全国首创的"无人机集群协同巡灭火系统"斩获山崖火比测全国第</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1</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名，中央电视台进行了专题报道。</w:t>
      </w:r>
    </w:p>
    <w:p w14:paraId="5F6A799B">
      <w:pPr>
        <w:keepNext w:val="0"/>
        <w:keepLines w:val="0"/>
        <w:widowControl/>
        <w:numPr>
          <w:ilvl w:val="0"/>
          <w:numId w:val="41"/>
        </w:numPr>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Segoe UI" w:hAnsi="Segoe UI" w:eastAsia="宋体" w:cs="Segoe UI"/>
          <w:i w:val="0"/>
          <w:iCs w:val="0"/>
          <w:caps w:val="0"/>
          <w:color w:val="000000"/>
          <w:spacing w:val="0"/>
          <w:sz w:val="24"/>
          <w:szCs w:val="24"/>
          <w:shd w:val="clear" w:fill="FFFFFF"/>
          <w:vertAlign w:val="baseline"/>
          <w:lang w:val="en-US" w:eastAsia="zh-CN"/>
        </w:rPr>
      </w:pPr>
      <w:r>
        <w:rPr>
          <w:rFonts w:hint="default" w:ascii="Segoe UI" w:hAnsi="Segoe UI" w:eastAsia="宋体" w:cs="Segoe UI"/>
          <w:i w:val="0"/>
          <w:iCs w:val="0"/>
          <w:caps w:val="0"/>
          <w:color w:val="000000"/>
          <w:spacing w:val="0"/>
          <w:sz w:val="24"/>
          <w:szCs w:val="24"/>
          <w:shd w:val="clear" w:fill="FFFFFF"/>
          <w:vertAlign w:val="baseline"/>
          <w:lang w:val="en-US" w:eastAsia="zh-CN"/>
        </w:rPr>
        <w:t>新品发布与技术突破</w:t>
      </w:r>
    </w:p>
    <w:p w14:paraId="7591300E">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2026</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年</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2</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月</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17</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日，无距科技在沈阳举办"Beyond Expectation——超越期望"新品发布会，发布了THEONE-A农业多旋翼无人机飞行控制系统和THEONE-AH农业无人直升机飞行控制系统两款产品</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[86]</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w:t>
      </w:r>
    </w:p>
    <w:p w14:paraId="063C563A">
      <w:pPr>
        <w:keepNext w:val="0"/>
        <w:keepLines w:val="0"/>
        <w:widowControl/>
        <w:numPr>
          <w:ilvl w:val="5"/>
          <w:numId w:val="1"/>
        </w:numPr>
        <w:suppressLineNumbers w:val="0"/>
        <w:kinsoku w:val="0"/>
        <w:autoSpaceDE w:val="0"/>
        <w:autoSpaceDN w:val="0"/>
        <w:adjustRightInd w:val="0"/>
        <w:snapToGrid w:val="0"/>
        <w:spacing w:before="0" w:beforeLines="10" w:beforeAutospacing="0" w:after="0" w:afterLines="30" w:afterAutospacing="0" w:line="288" w:lineRule="auto"/>
        <w:ind w:left="0" w:leftChars="0" w:right="0" w:rightChars="0" w:firstLine="0" w:firstLineChars="0"/>
        <w:jc w:val="left"/>
        <w:textAlignment w:val="baseline"/>
        <w:outlineLvl w:val="5"/>
        <w:rPr>
          <w:rFonts w:hint="default" w:ascii="宋体" w:hAnsi="宋体" w:eastAsia="宋体" w:cs="宋体"/>
          <w:b/>
          <w:bCs/>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b/>
          <w:bCs/>
          <w:i w:val="0"/>
          <w:iCs w:val="0"/>
          <w:caps w:val="0"/>
          <w:snapToGrid w:val="0"/>
          <w:color w:val="000000"/>
          <w:spacing w:val="0"/>
          <w:kern w:val="0"/>
          <w:sz w:val="24"/>
          <w:szCs w:val="24"/>
          <w:shd w:val="clear" w:fill="FFFFFF"/>
          <w:vertAlign w:val="baseline"/>
          <w:lang w:val="en-US" w:eastAsia="zh-CN" w:bidi="ar"/>
        </w:rPr>
        <w:t>美行科技：低空空管系统的解决方案</w:t>
      </w:r>
    </w:p>
    <w:p w14:paraId="6B415F23">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沈阳美行科技是国内低空信息基础设施与空管一体化解决方案核心提供商，依托近 20 年导航电子地图、时空大数据、车规级智能出行技术沉淀，面向政府、军方、企业提供高密度、异构、安全飞行的低空空管整体能力，是辽宁及全国低空经济重要技术支撑单位。</w:t>
      </w:r>
    </w:p>
    <w:p w14:paraId="1EDCE0ED">
      <w:pPr>
        <w:keepNext w:val="0"/>
        <w:keepLines w:val="0"/>
        <w:widowControl/>
        <w:numPr>
          <w:ilvl w:val="0"/>
          <w:numId w:val="42"/>
        </w:numPr>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Segoe UI" w:hAnsi="Segoe UI" w:eastAsia="宋体" w:cs="Segoe UI"/>
          <w:i w:val="0"/>
          <w:iCs w:val="0"/>
          <w:caps w:val="0"/>
          <w:color w:val="000000"/>
          <w:spacing w:val="0"/>
          <w:sz w:val="24"/>
          <w:szCs w:val="24"/>
          <w:shd w:val="clear" w:fill="FFFFFF"/>
          <w:vertAlign w:val="baseline"/>
          <w:lang w:val="en-US" w:eastAsia="zh-CN"/>
        </w:rPr>
      </w:pPr>
      <w:r>
        <w:rPr>
          <w:rFonts w:ascii="宋体" w:hAnsi="宋体" w:eastAsia="宋体" w:cs="宋体"/>
          <w:sz w:val="24"/>
          <w:szCs w:val="24"/>
        </w:rPr>
        <w:t>核心资质与权威认可</w:t>
      </w:r>
    </w:p>
    <w:p w14:paraId="301C0FBC">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RX1E-A双座电动飞机：2017</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11</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月</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1</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日首飞成功，通过提升锂电池能量密度、提高电动力系统性能、优化结构设计等技术手段，大幅增加了电动轻型运动飞机航程和续航时间。</w:t>
      </w:r>
    </w:p>
    <w:p w14:paraId="5103517D">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RX1E-S双座水上电动飞机：2019</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年首飞成功，2022</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年取得中国民用航空局颁发的生产许可证（PC）。</w:t>
      </w:r>
    </w:p>
    <w:p w14:paraId="37A47245">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RX4E四座电动飞机：2019</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年首飞成功，2025</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年获得型号合格证（TC）权益授权。</w:t>
      </w:r>
    </w:p>
    <w:p w14:paraId="2E2DA23F">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拥有导航电子地图甲级资质，低空领域技术方案获中国空域管理相关部门高度认可。</w:t>
      </w:r>
    </w:p>
    <w:p w14:paraId="4C36BB75">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主导 / 参与低空经济信息基础设施建设标准（中国标准飞行智联网），获标准制定单位高度认可。</w:t>
      </w:r>
    </w:p>
    <w:p w14:paraId="0337B3BF">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在中国指挥与控制学会低空产业委员会拥有2 位副主任委员，深度参与行业顶层设计。</w:t>
      </w:r>
    </w:p>
    <w:p w14:paraId="4F898D72">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联合中国测绘科学技术研究院、深圳大学智慧城市研究院，研发低空飞行时空航图时空网格化标准。</w:t>
      </w:r>
    </w:p>
    <w:p w14:paraId="5F7EECFB">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获华为提供AI 智算 / 超算平台基础算力支撑。</w:t>
      </w:r>
    </w:p>
    <w:p w14:paraId="1D77E568">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美行低空空管整体解决方案获评2025 年度 Innovation Awards 最具创新力产品 TOP30。</w:t>
      </w:r>
    </w:p>
    <w:p w14:paraId="69C26BAE">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Segoe UI" w:hAnsi="Segoe UI" w:eastAsia="宋体" w:cs="Segoe UI"/>
          <w:i w:val="0"/>
          <w:iCs w:val="0"/>
          <w:caps w:val="0"/>
          <w:spacing w:val="0"/>
          <w:sz w:val="24"/>
          <w:szCs w:val="24"/>
          <w:shd w:val="clear" w:fill="FFFFFF"/>
          <w:lang w:val="en-US" w:eastAsia="zh-CN"/>
        </w:rPr>
        <w:t>技术沉淀：65 项发明专利、11 项软著，千万行级代码工程经验，完整网联时空数据服务平台体系。</w:t>
      </w:r>
    </w:p>
    <w:p w14:paraId="42057FAE">
      <w:pPr>
        <w:keepNext w:val="0"/>
        <w:keepLines w:val="0"/>
        <w:widowControl/>
        <w:numPr>
          <w:ilvl w:val="0"/>
          <w:numId w:val="42"/>
        </w:numPr>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Segoe UI" w:hAnsi="Segoe UI" w:eastAsia="宋体" w:cs="Segoe UI"/>
          <w:i w:val="0"/>
          <w:iCs w:val="0"/>
          <w:caps w:val="0"/>
          <w:color w:val="000000"/>
          <w:spacing w:val="0"/>
          <w:sz w:val="24"/>
          <w:szCs w:val="24"/>
          <w:shd w:val="clear" w:fill="FFFFFF"/>
          <w:vertAlign w:val="baseline"/>
          <w:lang w:val="en-US" w:eastAsia="zh-CN"/>
        </w:rPr>
      </w:pPr>
      <w:r>
        <w:rPr>
          <w:rFonts w:ascii="宋体" w:hAnsi="宋体" w:eastAsia="宋体" w:cs="宋体"/>
          <w:sz w:val="24"/>
          <w:szCs w:val="24"/>
        </w:rPr>
        <w:t>核心</w:t>
      </w:r>
      <w:r>
        <w:rPr>
          <w:rFonts w:hint="eastAsia" w:ascii="宋体" w:hAnsi="宋体" w:eastAsia="宋体" w:cs="宋体"/>
          <w:sz w:val="24"/>
          <w:szCs w:val="24"/>
          <w:lang w:val="en-US" w:eastAsia="zh-CN"/>
        </w:rPr>
        <w:t>产品：</w:t>
      </w:r>
      <w:r>
        <w:rPr>
          <w:rFonts w:ascii="宋体" w:hAnsi="宋体" w:eastAsia="宋体" w:cs="宋体"/>
          <w:sz w:val="24"/>
          <w:szCs w:val="24"/>
        </w:rPr>
        <w:t>美行低空空管 “3 软 5 硬” 整体解决方案</w:t>
      </w:r>
    </w:p>
    <w:p w14:paraId="5192B453">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1）3 软（软件核心）</w:t>
      </w:r>
    </w:p>
    <w:p w14:paraId="3B48406A">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低空飞行时空航图数据基座：低空数字底盘，提供三维空域、航路、限飞区、气象、障碍物等时空数据服务。</w:t>
      </w:r>
    </w:p>
    <w:p w14:paraId="2A14CCA1">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低空安全保障智算引擎：低空 “超级大脑”，负责冲突检测、流量调度、智能航路规划、风险预警。</w:t>
      </w:r>
    </w:p>
    <w:p w14:paraId="77781747">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Segoe UI" w:hAnsi="Segoe UI" w:eastAsia="宋体" w:cs="Segoe UI"/>
          <w:i w:val="0"/>
          <w:iCs w:val="0"/>
          <w:caps w:val="0"/>
          <w:spacing w:val="0"/>
          <w:sz w:val="24"/>
          <w:szCs w:val="24"/>
          <w:shd w:val="clear" w:fill="FFFFFF"/>
          <w:lang w:val="en-US" w:eastAsia="zh-CN"/>
        </w:rPr>
        <w:t>低空空管应用软件平台：面向监管 / 运营 / 服务的一体化平台，实现低空交通精细化管理、低空活动全链路监管、低空场景一站式服务。</w:t>
      </w:r>
    </w:p>
    <w:p w14:paraId="6DE6913E">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2）5 硬（硬件感知体系）</w:t>
      </w:r>
    </w:p>
    <w:p w14:paraId="06F57198">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低空通信设施</w:t>
      </w:r>
    </w:p>
    <w:p w14:paraId="2B68C601">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低空定位增强设施</w:t>
      </w:r>
    </w:p>
    <w:p w14:paraId="615D0B15">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低空监视设施</w:t>
      </w:r>
    </w:p>
    <w:p w14:paraId="6FDE31EF">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低空气象监测设施</w:t>
      </w:r>
    </w:p>
    <w:p w14:paraId="3FC7558A">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无人机探测与反制设施</w:t>
      </w:r>
    </w:p>
    <w:p w14:paraId="39CD60D5">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right="0" w:firstLine="420" w:firstLineChars="0"/>
        <w:jc w:val="left"/>
        <w:textAlignment w:val="baseline"/>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共同构建地・空通感防御一张网，实现对低空目标可探测、可识别、可跟踪、可处置。</w:t>
      </w:r>
    </w:p>
    <w:p w14:paraId="42D6FA47">
      <w:pPr>
        <w:keepNext w:val="0"/>
        <w:keepLines w:val="0"/>
        <w:widowControl/>
        <w:numPr>
          <w:ilvl w:val="0"/>
          <w:numId w:val="42"/>
        </w:numPr>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Segoe UI" w:hAnsi="Segoe UI" w:eastAsia="宋体" w:cs="Segoe UI"/>
          <w:i w:val="0"/>
          <w:iCs w:val="0"/>
          <w:caps w:val="0"/>
          <w:color w:val="000000"/>
          <w:spacing w:val="0"/>
          <w:sz w:val="24"/>
          <w:szCs w:val="24"/>
          <w:shd w:val="clear" w:fill="FFFFFF"/>
          <w:vertAlign w:val="baseline"/>
          <w:lang w:val="en-US" w:eastAsia="zh-CN"/>
        </w:rPr>
      </w:pPr>
      <w:r>
        <w:rPr>
          <w:rFonts w:ascii="宋体" w:hAnsi="宋体" w:eastAsia="宋体" w:cs="宋体"/>
          <w:sz w:val="24"/>
          <w:szCs w:val="24"/>
        </w:rPr>
        <w:t>生态体系：1+2+3+N 低空空管服务生态</w:t>
      </w:r>
    </w:p>
    <w:p w14:paraId="5F00FAAC">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1：地・空通感防御一张网（全域感知底座）</w:t>
      </w:r>
    </w:p>
    <w:p w14:paraId="20A140DA">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2：低空智算中台、低空飞行时空航图（两大核心中枢）</w:t>
      </w:r>
    </w:p>
    <w:p w14:paraId="6D8A153D">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3：监管平台、运营平台、服务平台（三大应用体系）</w:t>
      </w:r>
    </w:p>
    <w:p w14:paraId="6E5953E3">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420" w:leftChars="0" w:hanging="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N：多场景模块化能力，可灵活对接地方政府低空安全保障一体化建设需求。</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[87]</w:t>
      </w:r>
    </w:p>
    <w:p w14:paraId="1C3E3ACF">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综上，</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沈阳市低空经济供给端已形成"整机制造引领、核心部件支撑、运营服务配套、管理平台保障"的完整体系。在政策支持、技术创新、产业协同的多重驱动下，沈阳市有望在低空经济这一新赛道上实现从"航空摇篮"到"低空经济高地"的跨越式发展，为全国低空经济发展提供沈阳方案和沈阳智慧。</w:t>
      </w:r>
    </w:p>
    <w:p w14:paraId="5C0CC3FD">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随着重点企业技术突破的持续推进、产品矩阵的不断完善、产能规模的持续扩大，沈阳市低空经济供给端将在未来几年迎来爆发式增长，为需求端的多元化应用提供强有力的装备支撑和技术保障，推动低空经济从概念走向现实，从试点走向规模化，为城市高质量发展注入强劲新动能。</w:t>
      </w:r>
    </w:p>
    <w:p w14:paraId="4DFDA6BF">
      <w:pPr>
        <w:keepNext w:val="0"/>
        <w:keepLines w:val="0"/>
        <w:pageBreakBefore w:val="0"/>
        <w:widowControl/>
        <w:numPr>
          <w:ilvl w:val="0"/>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0"/>
        <w:rPr>
          <w:rFonts w:hint="default"/>
          <w:b/>
          <w:bCs/>
          <w:sz w:val="28"/>
          <w:szCs w:val="28"/>
          <w:lang w:val="en-US" w:eastAsia="zh-CN"/>
        </w:rPr>
      </w:pPr>
      <w:bookmarkStart w:id="22" w:name="_Toc25595"/>
      <w:r>
        <w:rPr>
          <w:rFonts w:hint="eastAsia"/>
          <w:b/>
          <w:bCs/>
          <w:sz w:val="28"/>
          <w:szCs w:val="28"/>
          <w:lang w:val="en-US" w:eastAsia="zh-CN"/>
        </w:rPr>
        <w:t>低空经济发展面临的挑战</w:t>
      </w:r>
      <w:bookmarkEnd w:id="22"/>
    </w:p>
    <w:p w14:paraId="039C9976">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低空经济作为战略性新兴产业，其发展前景广阔，但通往规模化、商业化、可持续化的道路并非坦途。无论是从全国宏观视角，还是聚焦沈阳这一具体区域，都面临着来自技术、法规、市场、基础设施、产业生态等多维度的深刻挑战。本章将系统剖析这些挑战，旨在为后续的战略路径选择提供现实依据。</w:t>
      </w:r>
    </w:p>
    <w:p w14:paraId="56D5F999">
      <w:pPr>
        <w:keepNext w:val="0"/>
        <w:keepLines w:val="0"/>
        <w:pageBreakBefore w:val="0"/>
        <w:widowControl/>
        <w:numPr>
          <w:ilvl w:val="1"/>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1"/>
        <w:rPr>
          <w:rFonts w:hint="default"/>
          <w:b/>
          <w:bCs/>
          <w:sz w:val="24"/>
          <w:szCs w:val="24"/>
          <w:lang w:val="en-US" w:eastAsia="zh-CN"/>
        </w:rPr>
      </w:pPr>
      <w:bookmarkStart w:id="23" w:name="_Toc18241"/>
      <w:r>
        <w:rPr>
          <w:rFonts w:hint="eastAsia"/>
          <w:b/>
          <w:bCs/>
          <w:sz w:val="24"/>
          <w:szCs w:val="24"/>
          <w:lang w:val="en-US" w:eastAsia="zh-CN"/>
        </w:rPr>
        <w:t>中国低空经济宏观挑战</w:t>
      </w:r>
      <w:bookmarkEnd w:id="23"/>
    </w:p>
    <w:p w14:paraId="112F5EBA">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低空经济在全球范围内仍处于探索与成长期，中国虽在政策推动和应用试点上走在世界前列，但产业从“政策驱动”转向“市场驱动”、从“示范展示”走向“规模盈利”，仍面临一系列结构性、系统性的共性难题。</w:t>
      </w:r>
    </w:p>
    <w:p w14:paraId="3BA9AC92">
      <w:pPr>
        <w:keepNext w:val="0"/>
        <w:keepLines w:val="0"/>
        <w:pageBreakBefore w:val="0"/>
        <w:widowControl/>
        <w:numPr>
          <w:ilvl w:val="2"/>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2"/>
        <w:rPr>
          <w:rFonts w:hint="default" w:ascii="Segoe UI" w:hAnsi="Segoe UI" w:eastAsia="Segoe UI" w:cs="Segoe UI"/>
          <w:b/>
          <w:bCs/>
          <w:i w:val="0"/>
          <w:iCs w:val="0"/>
          <w:caps w:val="0"/>
          <w:spacing w:val="0"/>
          <w:sz w:val="24"/>
          <w:szCs w:val="24"/>
          <w:shd w:val="clear" w:fill="FFFFFF"/>
          <w:lang w:val="en-US" w:eastAsia="zh-CN"/>
        </w:rPr>
      </w:pPr>
      <w:r>
        <w:rPr>
          <w:rFonts w:hint="eastAsia"/>
          <w:b/>
          <w:bCs/>
          <w:sz w:val="24"/>
          <w:szCs w:val="24"/>
          <w:lang w:val="en-US" w:eastAsia="zh-CN"/>
        </w:rPr>
        <w:t xml:space="preserve"> 法规标准体系滞后与空域管理协同难题</w:t>
      </w:r>
    </w:p>
    <w:p w14:paraId="6FB04890">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Theme="majorEastAsia" w:hAnsiTheme="majorEastAsia" w:eastAsiaTheme="majorEastAsia" w:cstheme="majorEastAsia"/>
          <w:b/>
          <w:bCs/>
          <w:sz w:val="24"/>
          <w:szCs w:val="24"/>
          <w:lang w:val="en-US" w:eastAsia="zh-CN"/>
        </w:rPr>
      </w:pPr>
      <w:r>
        <w:rPr>
          <w:rFonts w:hint="default" w:ascii="Segoe UI" w:hAnsi="Segoe UI" w:eastAsia="Segoe UI" w:cs="Segoe UI"/>
          <w:b/>
          <w:bCs/>
          <w:i w:val="0"/>
          <w:iCs w:val="0"/>
          <w:caps w:val="0"/>
          <w:spacing w:val="0"/>
          <w:sz w:val="24"/>
          <w:szCs w:val="24"/>
          <w:shd w:val="clear" w:fill="FFFFFF"/>
          <w:lang w:val="en-US" w:eastAsia="zh-CN"/>
        </w:rPr>
        <w:t>顶层立法缺失与政策协同不足</w:t>
      </w:r>
    </w:p>
    <w:p w14:paraId="47BE3B2A">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Segoe UI" w:hAnsi="Segoe UI" w:eastAsia="Segoe UI" w:cs="Segoe UI"/>
          <w:b/>
          <w:bCs/>
          <w:i w:val="0"/>
          <w:iCs w:val="0"/>
          <w:caps w:val="0"/>
          <w:spacing w:val="0"/>
          <w:sz w:val="24"/>
          <w:szCs w:val="24"/>
          <w:shd w:val="clear" w:fill="FFFFFF"/>
          <w:lang w:val="en-US" w:eastAsia="zh-CN"/>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当前，低空经济领域最核心的制约之一是法律法规体系的滞后与碎片化。尽管国家层面已出台《无人驾驶航空器飞行管理暂行条例》等法规，2025</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年修订的《民用航空法》也增设了发展促进专章，但高位阶的、专门针对低空经济的综合性法律仍然缺位。全国政协委员吕红兵指出，现有规范主要适用于传统民用航空，对于低空领域各项法律问题，“都存在进一步细化研究的空间”。这种立法滞后导致管理依据不足、权责边界模糊。各部门（民航、公安、工信、空管等）依据各自职权出台规章，易造成“政出多门”、“铁路警察各管一段”的协同难题</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[88]</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。地方立法“百花齐放”在积累经验的同时，也可能导致各地标准不统一、规则难衔接，阻碍全国统一市场的形成</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[89]</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w:t>
      </w:r>
    </w:p>
    <w:p w14:paraId="67AE8E19">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Theme="majorEastAsia" w:hAnsiTheme="majorEastAsia" w:eastAsiaTheme="majorEastAsia" w:cstheme="majorEastAsia"/>
          <w:b/>
          <w:bCs/>
          <w:sz w:val="24"/>
          <w:szCs w:val="24"/>
          <w:lang w:val="en-US" w:eastAsia="zh-CN"/>
        </w:rPr>
      </w:pPr>
      <w:r>
        <w:rPr>
          <w:rFonts w:hint="default" w:asciiTheme="majorEastAsia" w:hAnsiTheme="majorEastAsia" w:eastAsiaTheme="majorEastAsia" w:cstheme="majorEastAsia"/>
          <w:b/>
          <w:bCs/>
          <w:sz w:val="24"/>
          <w:szCs w:val="24"/>
          <w:lang w:val="en-US" w:eastAsia="zh-CN"/>
        </w:rPr>
        <w:t>空域管理体制</w:t>
      </w:r>
      <w:r>
        <w:rPr>
          <w:rFonts w:hint="eastAsia" w:asciiTheme="majorEastAsia" w:hAnsiTheme="majorEastAsia" w:eastAsiaTheme="majorEastAsia" w:cstheme="majorEastAsia"/>
          <w:b/>
          <w:bCs/>
          <w:sz w:val="24"/>
          <w:szCs w:val="24"/>
          <w:lang w:val="en-US" w:eastAsia="zh-CN"/>
        </w:rPr>
        <w:t>问题</w:t>
      </w:r>
    </w:p>
    <w:p w14:paraId="757718CA">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空域资源的高效、灵活使用是低空经济的生命线。然而，我国空域管理长期遵循“统一管制、分别管理”原则，低空空域的管理权责划分不够清晰。国家信息中心的研究报告明确指出，我国空域管理体系存在“政策协同不足、技术融合不深、设施覆盖不均”三大结构性问题。审批权限集中、流程繁琐，导致运行效率受限。尽管湖南等试点省份探索了“空域动态释放”、“一站式审批”等模式，但成果复制推广的标准化路径尚未形成。空域布局与场景需求错配现象突出，例如城市核心商圈缺乏常态化开放空域，而近郊开放空域却大量闲置。这种“管得住”与“放得开”的动态平衡尚未找到最佳支点，成为制约应用规模化落地的关键瓶颈</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[90]</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w:t>
      </w:r>
    </w:p>
    <w:p w14:paraId="03EAE4E8">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Theme="majorEastAsia" w:hAnsiTheme="majorEastAsia" w:eastAsiaTheme="majorEastAsia" w:cstheme="majorEastAsia"/>
          <w:b/>
          <w:bCs/>
          <w:sz w:val="24"/>
          <w:szCs w:val="24"/>
          <w:lang w:val="en-US" w:eastAsia="zh-CN"/>
        </w:rPr>
      </w:pPr>
      <w:r>
        <w:rPr>
          <w:rFonts w:hint="default" w:asciiTheme="majorEastAsia" w:hAnsiTheme="majorEastAsia" w:eastAsiaTheme="majorEastAsia" w:cstheme="majorEastAsia"/>
          <w:b/>
          <w:bCs/>
          <w:sz w:val="24"/>
          <w:szCs w:val="24"/>
          <w:lang w:val="en-US" w:eastAsia="zh-CN"/>
        </w:rPr>
        <w:t>适航审定标准与技术迭代速度的矛盾</w:t>
      </w:r>
    </w:p>
    <w:p w14:paraId="762C7E9F">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对于eVTOL等新型航空器，适航审定是进入商业运营的“通行证”。然而，技术飞速迭代与法律稳定性、标准制定周期之间存在天然矛盾。欧洲航空安全局（EASA）和美国联邦航空管理局（FAA）已为eVTOL制定了相对明确的适航认证路径和极高的安全性标准（如EASA要求致命故障率小于10⁻⁹/飞行小时）。中国民航局虽已着手编制《限用类无人驾驶航空器系统适航标准》和《动力提升航空器适航标准》，但整体上，审定标准滞后于技术发展，针对城市空中交通（UAM）所需的垂直起降场建设标准、消防等级、噪音隔离带、电磁兼容要求等均缺乏明确的量化指标。过长的认证周期和高昂的认证成本，持续考验着企业的资金链和耐心</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[91]</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w:t>
      </w:r>
    </w:p>
    <w:p w14:paraId="2CF84FED">
      <w:pPr>
        <w:keepNext w:val="0"/>
        <w:keepLines w:val="0"/>
        <w:pageBreakBefore w:val="0"/>
        <w:widowControl/>
        <w:numPr>
          <w:ilvl w:val="2"/>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2"/>
        <w:rPr>
          <w:rFonts w:hint="default" w:ascii="Segoe UI" w:hAnsi="Segoe UI" w:eastAsia="Segoe UI" w:cs="Segoe UI"/>
          <w:b/>
          <w:bCs/>
          <w:i w:val="0"/>
          <w:iCs w:val="0"/>
          <w:caps w:val="0"/>
          <w:spacing w:val="0"/>
          <w:sz w:val="24"/>
          <w:szCs w:val="24"/>
          <w:shd w:val="clear" w:fill="FFFFFF"/>
          <w:lang w:val="en-US" w:eastAsia="zh-CN"/>
        </w:rPr>
      </w:pPr>
      <w:r>
        <w:rPr>
          <w:rFonts w:hint="eastAsia"/>
          <w:b/>
          <w:bCs/>
          <w:sz w:val="24"/>
          <w:szCs w:val="24"/>
          <w:lang w:val="en-US" w:eastAsia="zh-CN"/>
        </w:rPr>
        <w:t xml:space="preserve"> 法规标准体系滞后与空域管理协同难题</w:t>
      </w:r>
    </w:p>
    <w:p w14:paraId="398772B2">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Theme="majorEastAsia" w:hAnsiTheme="majorEastAsia" w:eastAsiaTheme="majorEastAsia" w:cstheme="majorEastAsia"/>
          <w:b/>
          <w:bCs/>
          <w:sz w:val="24"/>
          <w:szCs w:val="24"/>
          <w:lang w:val="en-US" w:eastAsia="zh-CN"/>
        </w:rPr>
      </w:pPr>
      <w:r>
        <w:rPr>
          <w:rFonts w:hint="default" w:asciiTheme="majorEastAsia" w:hAnsiTheme="majorEastAsia" w:eastAsiaTheme="majorEastAsia" w:cstheme="majorEastAsia"/>
          <w:b/>
          <w:bCs/>
          <w:sz w:val="24"/>
          <w:szCs w:val="24"/>
          <w:lang w:val="en-US" w:eastAsia="zh-CN"/>
        </w:rPr>
        <w:t>关键核心技术尚未完全攻克</w:t>
      </w:r>
    </w:p>
    <w:p w14:paraId="6410B2AC">
      <w:pPr>
        <w:keepNext w:val="0"/>
        <w:keepLines w:val="0"/>
        <w:widowControl/>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低空飞行器的性能、安全性与经济性，高度依赖电池、飞控、材料等核心技术的突破。目前，动力电池能量密度仍是制约航程和商载的关键天花板。有报道指出，eVTOL商用需动力电池能量密度突破</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400Wh/kg，但现阶段量产电池普遍卡在</w:t>
      </w:r>
      <w:r>
        <w:rPr>
          <w:rFonts w:hint="eastAsia" w:ascii="宋体" w:hAnsi="宋体" w:eastAsia="宋体" w:cs="宋体"/>
          <w:i w:val="0"/>
          <w:iCs w:val="0"/>
          <w:caps w:val="0"/>
          <w:snapToGrid w:val="0"/>
          <w:color w:val="000000"/>
          <w:spacing w:val="0"/>
          <w:kern w:val="0"/>
          <w:sz w:val="24"/>
          <w:szCs w:val="24"/>
          <w:shd w:val="clear" w:fill="FFFFFF"/>
          <w:vertAlign w:val="baseline"/>
          <w:lang w:val="en-US" w:eastAsia="zh-CN" w:bidi="ar"/>
        </w:rPr>
        <w:t xml:space="preserve"> </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300Wh/kg左右，且在低温环境下（如零下20℃）续航会大幅衰减。飞行控制系统暂未能完全适用于复杂的城市低空环境（如楼宇间的强紊流、GNSS信号遮挡等）。此外，整机制造技术路线相对单一，产业链协同不足，已出现同质化竞争苗头</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[92]</w:t>
      </w:r>
      <w:r>
        <w:rPr>
          <w:rFonts w:hint="default" w:ascii="宋体" w:hAnsi="宋体" w:eastAsia="宋体" w:cs="宋体"/>
          <w:i w:val="0"/>
          <w:iCs w:val="0"/>
          <w:caps w:val="0"/>
          <w:snapToGrid w:val="0"/>
          <w:color w:val="000000"/>
          <w:spacing w:val="0"/>
          <w:kern w:val="0"/>
          <w:sz w:val="24"/>
          <w:szCs w:val="24"/>
          <w:shd w:val="clear" w:fill="FFFFFF"/>
          <w:vertAlign w:val="baseline"/>
          <w:lang w:val="en-US" w:eastAsia="zh-CN" w:bidi="ar"/>
        </w:rPr>
        <w:t>。</w:t>
      </w:r>
    </w:p>
    <w:p w14:paraId="3FF87B8D">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Theme="majorEastAsia" w:hAnsiTheme="majorEastAsia" w:eastAsiaTheme="majorEastAsia" w:cstheme="majorEastAsia"/>
          <w:b/>
          <w:bCs/>
          <w:sz w:val="24"/>
          <w:szCs w:val="24"/>
          <w:lang w:val="en-US" w:eastAsia="zh-CN"/>
        </w:rPr>
      </w:pPr>
      <w:r>
        <w:rPr>
          <w:rFonts w:hint="default" w:asciiTheme="majorEastAsia" w:hAnsiTheme="majorEastAsia" w:eastAsiaTheme="majorEastAsia" w:cstheme="majorEastAsia"/>
          <w:b/>
          <w:bCs/>
          <w:sz w:val="24"/>
          <w:szCs w:val="24"/>
          <w:lang w:val="en-US" w:eastAsia="zh-CN"/>
        </w:rPr>
        <w:t>新型基础设施“烧钱”且供需错配</w:t>
      </w:r>
    </w:p>
    <w:p w14:paraId="0B960EC0">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低空经济的基础设施不仅是传统的机场跑道，更包括起降场（Vertiport）、充电/换电站、低空通信导航监视（CNS）网络、飞行服务站、数据中心等构成的“天网+地网”立体体系。然而，基础设施建设投入巨大且回报周期长。例如，深圳单个标准化起降点建设成本超过</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500</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万元，若在全国复制推广，资金压力巨大。更严峻的是“应用先行、基建滞后”的态势。全国缺乏统一规划的数字化基础设施体系，导致业务开通周期长、成本高。不同地区、不同运营商建设的设施标准不一，难以互联互通，影响了空域管理的整体效能和用户体验。</w:t>
      </w:r>
    </w:p>
    <w:p w14:paraId="643707BB">
      <w:pPr>
        <w:keepNext w:val="0"/>
        <w:keepLines w:val="0"/>
        <w:pageBreakBefore w:val="0"/>
        <w:widowControl/>
        <w:numPr>
          <w:ilvl w:val="2"/>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2"/>
        <w:rPr>
          <w:rFonts w:hint="default" w:ascii="Segoe UI" w:hAnsi="Segoe UI" w:eastAsia="Segoe UI" w:cs="Segoe UI"/>
          <w:b/>
          <w:bCs/>
          <w:i w:val="0"/>
          <w:iCs w:val="0"/>
          <w:caps w:val="0"/>
          <w:spacing w:val="0"/>
          <w:sz w:val="24"/>
          <w:szCs w:val="24"/>
          <w:shd w:val="clear" w:fill="FFFFFF"/>
          <w:lang w:val="en-US" w:eastAsia="zh-CN"/>
        </w:rPr>
      </w:pPr>
      <w:r>
        <w:rPr>
          <w:rFonts w:hint="eastAsia"/>
          <w:b/>
          <w:bCs/>
          <w:sz w:val="24"/>
          <w:szCs w:val="24"/>
          <w:lang w:val="en-US" w:eastAsia="zh-CN"/>
        </w:rPr>
        <w:t xml:space="preserve">  商业化路径不明与市场生态脆弱</w:t>
      </w:r>
    </w:p>
    <w:p w14:paraId="1F4C2777">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Theme="majorEastAsia" w:hAnsiTheme="majorEastAsia" w:eastAsiaTheme="majorEastAsia" w:cstheme="majorEastAsia"/>
          <w:b/>
          <w:bCs/>
          <w:sz w:val="24"/>
          <w:szCs w:val="24"/>
          <w:lang w:val="en-US" w:eastAsia="zh-CN"/>
        </w:rPr>
      </w:pPr>
      <w:r>
        <w:rPr>
          <w:rFonts w:hint="default" w:asciiTheme="majorEastAsia" w:hAnsiTheme="majorEastAsia" w:eastAsiaTheme="majorEastAsia" w:cstheme="majorEastAsia"/>
          <w:b/>
          <w:bCs/>
          <w:sz w:val="24"/>
          <w:szCs w:val="24"/>
          <w:lang w:val="en-US" w:eastAsia="zh-CN"/>
        </w:rPr>
        <w:t>高价值应用场景挖掘不足，同质化内卷严重</w:t>
      </w:r>
    </w:p>
    <w:p w14:paraId="06EDF909">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当前，低空经济的应用探索多集中于农林植保、行业巡检、物流配送、旅游观光等基础场景，同质化现象严重。许多项目仍停留在政府买单的示范阶段，真正的商业化闭环尚未得到充分论证。中国信息通信研究院首席专家续合元指出，商业闭环的缺失导致应用端创新薄弱。企业普遍反映，针对城市管理、应急救援等领域的产品和服务，进入者越来越多，价格战激烈，企业承压较大，急需开发更大更广阔的高价值市场。例如，城市空中交通（UAM）由于公众认知度和接受度低、运营成本高昂，市场需求有限，难以支撑可持续的商业模式。</w:t>
      </w:r>
    </w:p>
    <w:p w14:paraId="77F52FF1">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Theme="majorEastAsia" w:hAnsiTheme="majorEastAsia" w:eastAsiaTheme="majorEastAsia" w:cstheme="majorEastAsia"/>
          <w:b/>
          <w:bCs/>
          <w:sz w:val="24"/>
          <w:szCs w:val="24"/>
          <w:lang w:val="en-US" w:eastAsia="zh-CN"/>
        </w:rPr>
      </w:pPr>
      <w:r>
        <w:rPr>
          <w:rFonts w:hint="default" w:asciiTheme="majorEastAsia" w:hAnsiTheme="majorEastAsia" w:eastAsiaTheme="majorEastAsia" w:cstheme="majorEastAsia"/>
          <w:b/>
          <w:bCs/>
          <w:sz w:val="24"/>
          <w:szCs w:val="24"/>
          <w:lang w:val="en-US" w:eastAsia="zh-CN"/>
        </w:rPr>
        <w:t>产业要素支撑薄弱，金融与人才缺口大</w:t>
      </w:r>
    </w:p>
    <w:p w14:paraId="512B54C3">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低空经济的可持续发展高度依赖于创新链、资金链、产业链、供应链的深度融合。然而，产业处于规模化发展初期，创新要素支撑不足。一方面，巨大的研发和适航投入消耗着企业资金，风险投资虽热但多集中于头部企业，大量中小创新企业面临融资难问题。另一方面，专业人才缺口巨大。低空经济是跨航空、电子信息、人工智能、交通规划、法律法规的复合型领域，既懂技术又懂运营和管理的复合型人才极度稀缺。产业生态端的要素支撑薄弱，成为制约其从“盆景”走向“森林”的关键因素。</w:t>
      </w:r>
    </w:p>
    <w:p w14:paraId="070DC9DF">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Theme="majorEastAsia" w:hAnsiTheme="majorEastAsia" w:eastAsiaTheme="majorEastAsia" w:cstheme="majorEastAsia"/>
          <w:b/>
          <w:bCs/>
          <w:sz w:val="24"/>
          <w:szCs w:val="24"/>
          <w:lang w:val="en-US" w:eastAsia="zh-CN"/>
        </w:rPr>
      </w:pPr>
      <w:r>
        <w:rPr>
          <w:rFonts w:hint="default" w:asciiTheme="majorEastAsia" w:hAnsiTheme="majorEastAsia" w:eastAsiaTheme="majorEastAsia" w:cstheme="majorEastAsia"/>
          <w:b/>
          <w:bCs/>
          <w:sz w:val="24"/>
          <w:szCs w:val="24"/>
          <w:lang w:val="en-US" w:eastAsia="zh-CN"/>
        </w:rPr>
        <w:t>安全监管与公众接受度挑战</w:t>
      </w:r>
    </w:p>
    <w:p w14:paraId="3799AAF7">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随着飞行器数量激增，“黑飞”、扰航、侵犯隐私、数据安全等问题日益凸显。现有探测技术对“低慢小”飞行器的识别精度有限，复杂城市环境存在监测盲区</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[93]</w:t>
      </w:r>
      <w:r>
        <w:rPr>
          <w:rFonts w:hint="default" w:ascii="Segoe UI" w:hAnsi="Segoe UI" w:eastAsia="宋体" w:cs="Segoe UI"/>
          <w:i w:val="0"/>
          <w:iCs w:val="0"/>
          <w:caps w:val="0"/>
          <w:spacing w:val="0"/>
          <w:sz w:val="24"/>
          <w:szCs w:val="24"/>
          <w:shd w:val="clear" w:fill="FFFFFF"/>
          <w:lang w:val="en-US" w:eastAsia="zh-CN"/>
        </w:rPr>
        <w:t>。法治的完善是渐进过程，当前对违规行为的处罚力度、执法效能仍有待提高。此外，公众对低空飞行器噪音、安全、隐私的担忧，构成了社会接受度的隐形门槛。产业合法性正从“展示性”场景走向“可验证的绩效”，强大的合规与治理能力将成为未来竞争的核心壁垒</w:t>
      </w:r>
      <w:r>
        <w:rPr>
          <w:rFonts w:hint="eastAsia" w:ascii="Segoe UI" w:hAnsi="Segoe UI" w:eastAsia="宋体" w:cs="Segoe UI"/>
          <w:i w:val="0"/>
          <w:iCs w:val="0"/>
          <w:caps w:val="0"/>
          <w:spacing w:val="0"/>
          <w:sz w:val="24"/>
          <w:szCs w:val="24"/>
          <w:shd w:val="clear" w:fill="FFFFFF"/>
          <w:lang w:val="en-US" w:eastAsia="zh-CN"/>
        </w:rPr>
        <w:t>。</w:t>
      </w:r>
    </w:p>
    <w:p w14:paraId="6B8BD77A">
      <w:pPr>
        <w:keepNext w:val="0"/>
        <w:keepLines w:val="0"/>
        <w:pageBreakBefore w:val="0"/>
        <w:widowControl/>
        <w:numPr>
          <w:ilvl w:val="1"/>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1"/>
        <w:rPr>
          <w:rFonts w:hint="default"/>
          <w:b/>
          <w:bCs/>
          <w:sz w:val="24"/>
          <w:szCs w:val="24"/>
          <w:lang w:val="en-US" w:eastAsia="zh-CN"/>
        </w:rPr>
      </w:pPr>
      <w:bookmarkStart w:id="24" w:name="_Toc26205"/>
      <w:r>
        <w:rPr>
          <w:rFonts w:hint="eastAsia"/>
          <w:b/>
          <w:bCs/>
          <w:sz w:val="24"/>
          <w:szCs w:val="24"/>
          <w:lang w:val="en-US" w:eastAsia="zh-CN"/>
        </w:rPr>
        <w:t>沈阳面临的特殊挑战：老工业基地转型的“三重断层”</w:t>
      </w:r>
      <w:bookmarkEnd w:id="24"/>
    </w:p>
    <w:p w14:paraId="7F2E79FA">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沈阳拥有深厚的航空工业底蕴和“国家队”资源，这为其发展低空经济提供了独特优势。</w:t>
      </w:r>
      <w:r>
        <w:rPr>
          <w:rFonts w:hint="eastAsia" w:ascii="Segoe UI" w:hAnsi="Segoe UI" w:eastAsia="宋体" w:cs="Segoe UI"/>
          <w:i w:val="0"/>
          <w:iCs w:val="0"/>
          <w:caps w:val="0"/>
          <w:spacing w:val="0"/>
          <w:sz w:val="24"/>
          <w:szCs w:val="24"/>
          <w:shd w:val="clear" w:fill="FFFFFF"/>
          <w:lang w:val="en-US" w:eastAsia="zh-CN"/>
        </w:rPr>
        <w:t>但</w:t>
      </w:r>
      <w:r>
        <w:rPr>
          <w:rFonts w:hint="default" w:ascii="Segoe UI" w:hAnsi="Segoe UI" w:eastAsia="宋体" w:cs="Segoe UI"/>
          <w:i w:val="0"/>
          <w:iCs w:val="0"/>
          <w:caps w:val="0"/>
          <w:spacing w:val="0"/>
          <w:sz w:val="24"/>
          <w:szCs w:val="24"/>
          <w:shd w:val="clear" w:fill="FFFFFF"/>
          <w:lang w:val="en-US" w:eastAsia="zh-CN"/>
        </w:rPr>
        <w:t>沈阳低空经济在</w:t>
      </w:r>
      <w:r>
        <w:rPr>
          <w:rFonts w:hint="eastAsia" w:ascii="Segoe UI" w:hAnsi="Segoe UI" w:eastAsia="宋体" w:cs="Segoe UI"/>
          <w:i w:val="0"/>
          <w:iCs w:val="0"/>
          <w:caps w:val="0"/>
          <w:spacing w:val="0"/>
          <w:sz w:val="24"/>
          <w:szCs w:val="24"/>
          <w:shd w:val="clear" w:fill="FFFFFF"/>
          <w:lang w:val="en-US" w:eastAsia="zh-CN"/>
        </w:rPr>
        <w:t>高</w:t>
      </w:r>
      <w:r>
        <w:rPr>
          <w:rFonts w:hint="default" w:ascii="Segoe UI" w:hAnsi="Segoe UI" w:eastAsia="宋体" w:cs="Segoe UI"/>
          <w:i w:val="0"/>
          <w:iCs w:val="0"/>
          <w:caps w:val="0"/>
          <w:spacing w:val="0"/>
          <w:sz w:val="24"/>
          <w:szCs w:val="24"/>
          <w:shd w:val="clear" w:fill="FFFFFF"/>
          <w:lang w:val="en-US" w:eastAsia="zh-CN"/>
        </w:rPr>
        <w:t>复合增长率的同时，也存在空域使用效率</w:t>
      </w:r>
      <w:r>
        <w:rPr>
          <w:rFonts w:hint="eastAsia" w:ascii="Segoe UI" w:hAnsi="Segoe UI" w:eastAsia="宋体" w:cs="Segoe UI"/>
          <w:i w:val="0"/>
          <w:iCs w:val="0"/>
          <w:caps w:val="0"/>
          <w:spacing w:val="0"/>
          <w:sz w:val="24"/>
          <w:szCs w:val="24"/>
          <w:shd w:val="clear" w:fill="FFFFFF"/>
          <w:lang w:val="en-US" w:eastAsia="zh-CN"/>
        </w:rPr>
        <w:t>和</w:t>
      </w:r>
      <w:r>
        <w:rPr>
          <w:rFonts w:hint="default" w:ascii="Segoe UI" w:hAnsi="Segoe UI" w:eastAsia="宋体" w:cs="Segoe UI"/>
          <w:i w:val="0"/>
          <w:iCs w:val="0"/>
          <w:caps w:val="0"/>
          <w:spacing w:val="0"/>
          <w:sz w:val="24"/>
          <w:szCs w:val="24"/>
          <w:shd w:val="clear" w:fill="FFFFFF"/>
          <w:lang w:val="en-US" w:eastAsia="zh-CN"/>
        </w:rPr>
        <w:t>产业协同度不足等问题。其面临的挑战，是东北老工业基地在向新经济转型过程中结构性矛盾的集中体现，可概括为三重断层。</w:t>
      </w:r>
    </w:p>
    <w:p w14:paraId="3711696A">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产业结构断层：制造强、应用弱</w:t>
      </w:r>
    </w:p>
    <w:p w14:paraId="57D54ADE">
      <w:pPr>
        <w:keepNext w:val="0"/>
        <w:keepLines w:val="0"/>
        <w:widowControl/>
        <w:numPr>
          <w:ilvl w:val="0"/>
          <w:numId w:val="43"/>
        </w:numPr>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Segoe UI" w:hAnsi="Segoe UI" w:eastAsia="宋体" w:cs="Segoe UI"/>
          <w:i w:val="0"/>
          <w:iCs w:val="0"/>
          <w:caps w:val="0"/>
          <w:color w:val="000000"/>
          <w:spacing w:val="0"/>
          <w:sz w:val="24"/>
          <w:szCs w:val="24"/>
          <w:shd w:val="clear" w:fill="FFFFFF"/>
          <w:vertAlign w:val="baseline"/>
          <w:lang w:val="en-US" w:eastAsia="zh-CN"/>
        </w:rPr>
      </w:pPr>
      <w:r>
        <w:rPr>
          <w:rFonts w:hint="eastAsia" w:ascii="宋体" w:hAnsi="宋体" w:eastAsia="宋体" w:cs="宋体"/>
          <w:sz w:val="24"/>
          <w:szCs w:val="24"/>
        </w:rPr>
        <w:t>产业链本地化率低</w:t>
      </w:r>
    </w:p>
    <w:p w14:paraId="294DAA44">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沈阳的航空产业链条相对较短，规模效应难以释放。尽管拥有沈飞、黎明等顶级主机厂和配套体系，但该体系长期以来深度服务于军品，与市场化、低成本、快速迭代的低空经济产品需求存在一定差异。许多本地配套企业的技术、工艺和成本控制体系，尚未能完全适应消费级或工业级无人机、eVTOL的大规模制造需求，导致产业链的垂直整合度不足。</w:t>
      </w:r>
    </w:p>
    <w:p w14:paraId="49739F27">
      <w:pPr>
        <w:keepNext w:val="0"/>
        <w:keepLines w:val="0"/>
        <w:widowControl/>
        <w:numPr>
          <w:ilvl w:val="0"/>
          <w:numId w:val="43"/>
        </w:numPr>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Segoe UI" w:hAnsi="Segoe UI" w:eastAsia="宋体" w:cs="Segoe UI"/>
          <w:i w:val="0"/>
          <w:iCs w:val="0"/>
          <w:caps w:val="0"/>
          <w:color w:val="000000"/>
          <w:spacing w:val="0"/>
          <w:sz w:val="24"/>
          <w:szCs w:val="24"/>
          <w:shd w:val="clear" w:fill="FFFFFF"/>
          <w:vertAlign w:val="baseline"/>
          <w:lang w:val="en-US" w:eastAsia="zh-CN"/>
        </w:rPr>
      </w:pPr>
      <w:r>
        <w:rPr>
          <w:rFonts w:hint="eastAsia" w:ascii="宋体" w:hAnsi="宋体" w:eastAsia="宋体" w:cs="宋体"/>
          <w:sz w:val="24"/>
          <w:szCs w:val="24"/>
        </w:rPr>
        <w:t>应用场景单一与商业化探索滞后</w:t>
      </w:r>
    </w:p>
    <w:p w14:paraId="5A29468F">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沈阳的低空经济应用场景探索，目前仍以政府主导的示范项目为主，如“无人机血液运输航线”、“燃气管路巡检”等。这些项目具有重要的社会价值和示范意义，但市场规模有限，难以形成可复制、可持续的商业模式。对比重庆通过开通超百万架次低空飞行、拉动文旅消费数亿元的案例，沈阳在“低空+文旅”、“低空+消费”等能够直接触达C端市场、形成商业闭环的领域，进展相对缓慢。应用端的薄弱，使得庞大的制造产能难以在本地找到“出口”，形成了“技术突围易，市场破局难”的尴尬局面。</w:t>
      </w:r>
    </w:p>
    <w:p w14:paraId="0BFD1838">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市场主体断层：“国家队”独大与民企活力不足</w:t>
      </w:r>
    </w:p>
    <w:p w14:paraId="566CCC1D">
      <w:pPr>
        <w:keepNext w:val="0"/>
        <w:keepLines w:val="0"/>
        <w:widowControl/>
        <w:numPr>
          <w:ilvl w:val="0"/>
          <w:numId w:val="44"/>
        </w:numPr>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Segoe UI" w:hAnsi="Segoe UI" w:eastAsia="宋体" w:cs="Segoe UI"/>
          <w:i w:val="0"/>
          <w:iCs w:val="0"/>
          <w:caps w:val="0"/>
          <w:color w:val="000000"/>
          <w:spacing w:val="0"/>
          <w:sz w:val="24"/>
          <w:szCs w:val="24"/>
          <w:shd w:val="clear" w:fill="FFFFFF"/>
          <w:vertAlign w:val="baseline"/>
          <w:lang w:val="en-US" w:eastAsia="zh-CN"/>
        </w:rPr>
      </w:pPr>
      <w:r>
        <w:rPr>
          <w:rFonts w:hint="eastAsia" w:ascii="宋体" w:hAnsi="宋体" w:eastAsia="宋体" w:cs="宋体"/>
          <w:sz w:val="24"/>
          <w:szCs w:val="24"/>
        </w:rPr>
        <w:t>民企参与度低，创新生态不够活跃</w:t>
      </w:r>
    </w:p>
    <w:p w14:paraId="2B1F626E">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沈阳低空经济生态以国有企业、中央企业（沈飞、航空工业集团所属单位等）占据主导地位，呈现国资引领、国企支撑的产业格局，民营企业参与程度与市场活力相对不足，在商业模式创新、场景拓展、市场响应速度等方面存在提升空间。与深圳等城市以民营企业为创新主力的发展模式相比，沈阳民间资本参与度、市场化创新活跃度仍存在差距，创新生态多元化有待增强。</w:t>
      </w:r>
    </w:p>
    <w:p w14:paraId="29E623D3">
      <w:pPr>
        <w:keepNext w:val="0"/>
        <w:keepLines w:val="0"/>
        <w:widowControl/>
        <w:numPr>
          <w:ilvl w:val="0"/>
          <w:numId w:val="44"/>
        </w:numPr>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Segoe UI" w:hAnsi="Segoe UI" w:eastAsia="宋体" w:cs="Segoe UI"/>
          <w:i w:val="0"/>
          <w:iCs w:val="0"/>
          <w:caps w:val="0"/>
          <w:color w:val="000000"/>
          <w:spacing w:val="0"/>
          <w:sz w:val="24"/>
          <w:szCs w:val="24"/>
          <w:shd w:val="clear" w:fill="FFFFFF"/>
          <w:vertAlign w:val="baseline"/>
          <w:lang w:val="en-US" w:eastAsia="zh-CN"/>
        </w:rPr>
      </w:pPr>
      <w:r>
        <w:rPr>
          <w:rFonts w:hint="eastAsia" w:ascii="宋体" w:hAnsi="宋体" w:eastAsia="宋体" w:cs="宋体"/>
          <w:sz w:val="24"/>
          <w:szCs w:val="24"/>
        </w:rPr>
        <w:t>科技成果本地转化率有待提升</w:t>
      </w:r>
    </w:p>
    <w:p w14:paraId="732F71F9">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沈阳拥有中科院沈阳自动化所、沈阳航空航天大学等一批高水平科研院所，在无人机飞控、复合材料等领域有深厚积累。然而，如何将这些科研优势高效地转化为本地产业优势和市场竞争优势，仍是一个待解的课题。创新链与产业链的衔接不够顺畅，部分科技成果可能“墙内开花墙外香”，未能充分滋养本地产业生态。</w:t>
      </w:r>
    </w:p>
    <w:p w14:paraId="6623A0C0">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left="0" w:leftChars="0" w:firstLine="0" w:firstLineChars="0"/>
        <w:jc w:val="left"/>
        <w:textAlignment w:val="baseline"/>
        <w:outlineLvl w:val="3"/>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要素支撑断层：基础设施、人才与金融的匹配难题</w:t>
      </w:r>
    </w:p>
    <w:p w14:paraId="1BEF1724">
      <w:pPr>
        <w:keepNext w:val="0"/>
        <w:keepLines w:val="0"/>
        <w:widowControl/>
        <w:numPr>
          <w:ilvl w:val="0"/>
          <w:numId w:val="45"/>
        </w:numPr>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Segoe UI" w:hAnsi="Segoe UI" w:eastAsia="宋体" w:cs="Segoe UI"/>
          <w:i w:val="0"/>
          <w:iCs w:val="0"/>
          <w:caps w:val="0"/>
          <w:color w:val="000000"/>
          <w:spacing w:val="0"/>
          <w:sz w:val="24"/>
          <w:szCs w:val="24"/>
          <w:shd w:val="clear" w:fill="FFFFFF"/>
          <w:vertAlign w:val="baseline"/>
          <w:lang w:val="en-US" w:eastAsia="zh-CN"/>
        </w:rPr>
      </w:pPr>
      <w:r>
        <w:rPr>
          <w:rFonts w:hint="eastAsia" w:ascii="宋体" w:hAnsi="宋体" w:eastAsia="宋体" w:cs="宋体"/>
          <w:sz w:val="24"/>
          <w:szCs w:val="24"/>
        </w:rPr>
        <w:t>基础设施规划建设滞后于产业发展需求</w:t>
      </w:r>
    </w:p>
    <w:p w14:paraId="6FE49692">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尽管沈阳拥有法库通航机场等基础设施，但面向未来城市低空运营的起降网络、能源补给网络、低空航路、数字孪生空管平台等新型基础设施体系尚在规划建设初期。皇姑区的提案中明确提出需“加快建设低空起降基础设施”，打造“枢纽级起降点+区域起降节点+社区服务点”的多层级体系，并建设“24</w:t>
      </w:r>
      <w:r>
        <w:rPr>
          <w:rFonts w:hint="eastAsia" w:ascii="Segoe UI" w:hAnsi="Segoe UI" w:eastAsia="宋体" w:cs="Segoe UI"/>
          <w:i w:val="0"/>
          <w:iCs w:val="0"/>
          <w:caps w:val="0"/>
          <w:spacing w:val="0"/>
          <w:sz w:val="24"/>
          <w:szCs w:val="24"/>
          <w:shd w:val="clear" w:fill="FFFFFF"/>
          <w:lang w:val="en-US" w:eastAsia="zh-CN"/>
        </w:rPr>
        <w:t xml:space="preserve"> </w:t>
      </w:r>
      <w:r>
        <w:rPr>
          <w:rFonts w:hint="default" w:ascii="Segoe UI" w:hAnsi="Segoe UI" w:eastAsia="宋体" w:cs="Segoe UI"/>
          <w:i w:val="0"/>
          <w:iCs w:val="0"/>
          <w:caps w:val="0"/>
          <w:spacing w:val="0"/>
          <w:sz w:val="24"/>
          <w:szCs w:val="24"/>
          <w:shd w:val="clear" w:fill="FFFFFF"/>
          <w:lang w:val="en-US" w:eastAsia="zh-CN"/>
        </w:rPr>
        <w:t>小时动态响应的飞行指挥中心”</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[94]</w:t>
      </w:r>
      <w:r>
        <w:rPr>
          <w:rFonts w:hint="default" w:ascii="Segoe UI" w:hAnsi="Segoe UI" w:eastAsia="宋体" w:cs="Segoe UI"/>
          <w:i w:val="0"/>
          <w:iCs w:val="0"/>
          <w:caps w:val="0"/>
          <w:spacing w:val="0"/>
          <w:sz w:val="24"/>
          <w:szCs w:val="24"/>
          <w:shd w:val="clear" w:fill="FFFFFF"/>
          <w:lang w:val="en-US" w:eastAsia="zh-CN"/>
        </w:rPr>
        <w:t>。这从侧面反映了当前基础设施的不足。与深圳、广州等南方先进城市相比，沈阳在低空新型基础设施的布局速度和投资强度上存在差距。</w:t>
      </w:r>
    </w:p>
    <w:p w14:paraId="08D7A042">
      <w:pPr>
        <w:keepNext w:val="0"/>
        <w:keepLines w:val="0"/>
        <w:widowControl/>
        <w:numPr>
          <w:ilvl w:val="0"/>
          <w:numId w:val="45"/>
        </w:numPr>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Segoe UI" w:hAnsi="Segoe UI" w:eastAsia="宋体" w:cs="Segoe UI"/>
          <w:i w:val="0"/>
          <w:iCs w:val="0"/>
          <w:caps w:val="0"/>
          <w:color w:val="000000"/>
          <w:spacing w:val="0"/>
          <w:sz w:val="24"/>
          <w:szCs w:val="24"/>
          <w:shd w:val="clear" w:fill="FFFFFF"/>
          <w:vertAlign w:val="baseline"/>
          <w:lang w:val="en-US" w:eastAsia="zh-CN"/>
        </w:rPr>
      </w:pPr>
      <w:r>
        <w:rPr>
          <w:rFonts w:ascii="宋体" w:hAnsi="宋体" w:eastAsia="宋体" w:cs="宋体"/>
          <w:sz w:val="24"/>
          <w:szCs w:val="24"/>
        </w:rPr>
        <w:t>专业人才培养强</w:t>
      </w:r>
      <w:r>
        <w:rPr>
          <w:rFonts w:hint="eastAsia" w:ascii="宋体" w:hAnsi="宋体" w:eastAsia="宋体" w:cs="宋体"/>
          <w:sz w:val="24"/>
          <w:szCs w:val="24"/>
          <w:lang w:eastAsia="zh-CN"/>
        </w:rPr>
        <w:t>、</w:t>
      </w:r>
      <w:r>
        <w:rPr>
          <w:rFonts w:ascii="宋体" w:hAnsi="宋体" w:eastAsia="宋体" w:cs="宋体"/>
          <w:sz w:val="24"/>
          <w:szCs w:val="24"/>
        </w:rPr>
        <w:t>留存弱</w:t>
      </w:r>
    </w:p>
    <w:p w14:paraId="4E7F7600">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沈阳作为东北地区重要的航空人才培养高地，依托沈阳航空航天大学等专业院校，每年为低空经济与航空产业输送大批高素质专业人才，具备突出的人才培养供给优势。但与此同时，人才外流、本地留存不足的问题较为突出，形成 “培养能力强、集聚能力弱” 的结构性矛盾，制约创新生态持续活跃。</w:t>
      </w:r>
    </w:p>
    <w:p w14:paraId="77377C61">
      <w:pPr>
        <w:keepNext w:val="0"/>
        <w:keepLines w:val="0"/>
        <w:widowControl/>
        <w:numPr>
          <w:ilvl w:val="0"/>
          <w:numId w:val="45"/>
        </w:numPr>
        <w:suppressLineNumbers w:val="0"/>
        <w:kinsoku w:val="0"/>
        <w:autoSpaceDE w:val="0"/>
        <w:autoSpaceDN w:val="0"/>
        <w:adjustRightInd w:val="0"/>
        <w:snapToGrid w:val="0"/>
        <w:spacing w:before="0" w:beforeLines="10" w:beforeAutospacing="0" w:after="0" w:afterLines="30" w:afterAutospacing="0" w:line="288" w:lineRule="auto"/>
        <w:ind w:left="0" w:right="0" w:firstLine="420" w:firstLineChars="0"/>
        <w:jc w:val="left"/>
        <w:textAlignment w:val="baseline"/>
        <w:rPr>
          <w:rFonts w:hint="default" w:ascii="Segoe UI" w:hAnsi="Segoe UI" w:eastAsia="宋体" w:cs="Segoe UI"/>
          <w:i w:val="0"/>
          <w:iCs w:val="0"/>
          <w:caps w:val="0"/>
          <w:color w:val="000000"/>
          <w:spacing w:val="0"/>
          <w:sz w:val="24"/>
          <w:szCs w:val="24"/>
          <w:shd w:val="clear" w:fill="FFFFFF"/>
          <w:vertAlign w:val="baseline"/>
          <w:lang w:val="en-US" w:eastAsia="zh-CN"/>
        </w:rPr>
      </w:pPr>
      <w:r>
        <w:rPr>
          <w:rFonts w:ascii="宋体" w:hAnsi="宋体" w:eastAsia="宋体" w:cs="宋体"/>
          <w:sz w:val="24"/>
          <w:szCs w:val="24"/>
        </w:rPr>
        <w:t>金融资本支持体系尚不健全</w:t>
      </w:r>
    </w:p>
    <w:p w14:paraId="0E65F452">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低空经济具有研发投入高、适航周期长、固定资产投入大、风险偏高的典型特征，从关键技术攻关、型号适航取证到规模化量产与商业化运营，均需要长期、持续、大额资本支持。沈阳虽已初步构建以国有资本为引领的基金支持框架，但风险投资不足、融资工具单一、社会资本参与度不高等问题依然突出，金融支撑体系与产业快速发展需求尚不匹配。</w:t>
      </w:r>
    </w:p>
    <w:p w14:paraId="3FDCA7E9">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截至目前，沈阳航空产业集团已构建 “3+N” 基金体系，组建民机基金、辽沈航空产业基金、低空经济专项基金等多支基金，基金管理总规模突破 5 亿元</w:t>
      </w:r>
      <w:r>
        <w:rPr>
          <w:rFonts w:hint="eastAsia" w:asciiTheme="majorEastAsia" w:hAnsiTheme="majorEastAsia" w:eastAsiaTheme="majorEastAsia" w:cstheme="majorEastAsia"/>
          <w:i w:val="0"/>
          <w:iCs w:val="0"/>
          <w:caps w:val="0"/>
          <w:spacing w:val="0"/>
          <w:sz w:val="21"/>
          <w:szCs w:val="21"/>
          <w:shd w:val="clear" w:fill="FFFFFF"/>
          <w:vertAlign w:val="superscript"/>
          <w:lang w:val="en-US" w:eastAsia="zh-CN"/>
        </w:rPr>
        <w:t>[95]</w:t>
      </w:r>
      <w:r>
        <w:rPr>
          <w:rFonts w:hint="default" w:ascii="Segoe UI" w:hAnsi="Segoe UI" w:eastAsia="宋体" w:cs="Segoe UI"/>
          <w:i w:val="0"/>
          <w:iCs w:val="0"/>
          <w:caps w:val="0"/>
          <w:spacing w:val="0"/>
          <w:sz w:val="24"/>
          <w:szCs w:val="24"/>
          <w:shd w:val="clear" w:fill="FFFFFF"/>
          <w:lang w:val="en-US" w:eastAsia="zh-CN"/>
        </w:rPr>
        <w:t>，重点投向整机制造、核心部件、无人机系统等领域沈阳市工业和信息化局。沈阳市层面也设立低空经济专项基金，通过 “资本 + 产业 + 平台” 模式支持企业成长，部分优质项目获得股权投资与融资贴息支持沈阳市人民政府。但从整体供给看，现有资本规模、投资覆盖与风险承受能力，仍难以满足大量中小科创企业、初创型无人机企业、新型飞行器研发项目的资金需求。与深圳、上海等城市相比，沈阳本土市场化创投机构、天使投资、私募股权投资生态薄弱，企业融资仍以银行信贷、政府补助为主，股权融资、知识产权质押、供应链金融等市场化工具应用不足，导致大量创新项目因资金制约难以快速中试、量产与推广，一定程度影响产业生态的多样性、活力与抗风险能力沈阳市工业和信息化局。</w:t>
      </w:r>
    </w:p>
    <w:p w14:paraId="47CA0631">
      <w:pPr>
        <w:keepNext w:val="0"/>
        <w:keepLines w:val="0"/>
        <w:pageBreakBefore w:val="0"/>
        <w:widowControl/>
        <w:numPr>
          <w:ilvl w:val="0"/>
          <w:numId w:val="1"/>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0"/>
        <w:rPr>
          <w:rFonts w:hint="default"/>
          <w:b/>
          <w:bCs/>
          <w:sz w:val="28"/>
          <w:szCs w:val="28"/>
          <w:lang w:val="en-US" w:eastAsia="zh-CN"/>
        </w:rPr>
      </w:pPr>
      <w:bookmarkStart w:id="25" w:name="_Toc32178"/>
      <w:r>
        <w:rPr>
          <w:rFonts w:hint="eastAsia"/>
          <w:b/>
          <w:bCs/>
          <w:sz w:val="28"/>
          <w:szCs w:val="28"/>
          <w:lang w:val="en-US" w:eastAsia="zh-CN"/>
        </w:rPr>
        <w:t>结语</w:t>
      </w:r>
      <w:bookmarkEnd w:id="25"/>
    </w:p>
    <w:p w14:paraId="3135CF79">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至此，本次关于低空经济的系统性研究与报告撰写已全部完成。从概念定义、标准体系、场景逻辑、产业链结构，到全国市场格局、沈阳发展现状、现实困境与挑战，</w:t>
      </w:r>
      <w:r>
        <w:rPr>
          <w:rFonts w:hint="eastAsia" w:ascii="Segoe UI" w:hAnsi="Segoe UI" w:eastAsia="宋体" w:cs="Segoe UI"/>
          <w:i w:val="0"/>
          <w:iCs w:val="0"/>
          <w:caps w:val="0"/>
          <w:spacing w:val="0"/>
          <w:sz w:val="24"/>
          <w:szCs w:val="24"/>
          <w:shd w:val="clear" w:fill="FFFFFF"/>
          <w:lang w:val="en-US" w:eastAsia="zh-CN"/>
        </w:rPr>
        <w:t>笔者</w:t>
      </w:r>
      <w:r>
        <w:rPr>
          <w:rFonts w:hint="default" w:ascii="Segoe UI" w:hAnsi="Segoe UI" w:eastAsia="宋体" w:cs="Segoe UI"/>
          <w:i w:val="0"/>
          <w:iCs w:val="0"/>
          <w:caps w:val="0"/>
          <w:spacing w:val="0"/>
          <w:sz w:val="24"/>
          <w:szCs w:val="24"/>
          <w:shd w:val="clear" w:fill="FFFFFF"/>
          <w:lang w:val="en-US" w:eastAsia="zh-CN"/>
        </w:rPr>
        <w:t>完成了一次对低空经济产业全面、深入、细致的梳理与总结。回望整个研究与编写过程，我对低空经济的理解从模糊到清晰、从零散到系统、从表面到深层，不仅建立了完整的知识框架，更形成了独立、务实、理性的判断与思考。</w:t>
      </w:r>
    </w:p>
    <w:p w14:paraId="220480D3">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低空经济不是简单的 “无人机上天”，也不是概念化的 “空中经济”，而是一套涉及技术、制造、基础设施、空域管理、政策法规、市场生态、商业模式的复杂系统。它既是科技创新的产物，也是产业升级的方向；既是国家战略布局的新赛道，也是地方经济发展的新引擎。通过本次研究我深刻认识到，低空经济的发展，短期看政策、中期看场景、长期看体系，而真正决定其能走多远、做多大、强不强的，是标准是否完善、产业链是否健全、供给是否充足、需求是否真实、市场是否有活力、生态是否可持续。</w:t>
      </w:r>
    </w:p>
    <w:p w14:paraId="37AA438B">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放眼全国，低空经济正处在政策集中释放、基础设施加快建设、应用场景不断拓展的关键阶段。从国家层面出台法律法规，到各地试点先行先试，再到企业加速布局研发与运营，低空经济正从 “政策机遇期” 逐步迈向 “产业落地期”。但与此同时，法规标准不完善、空域协同不顺畅、商业化路径不清晰、市场生态脆弱等问题依然突出，大量产业仍处在试点探索、模式验证、成本偏高、盈利困难的阶段。这也意味着，低空经济不是一蹴而就的风口，而是需要长期投入、持续打磨、耐心培育的战略性产业。</w:t>
      </w:r>
    </w:p>
    <w:p w14:paraId="14B599D4">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聚焦沈阳，这座城市在低空经济赛道上的优势独一无二、难以复制。作为新中国航空工业的摇篮，沈阳拥有沈飞、黎明等 “国家队” 力量，拥有完整的航空制造链条、强大的科创能力、充足的人才储备、叠加双国家级试点资质，先天条件优越、供给能力突出，完全具备成为全国低空经济核心城市的潜力。但优势背后，也存在老工业基地转型的现实制约：国资主导下的市场活力有待提升、人才培养强而留存弱、金融体系对中小科创企业支撑不足、场景商业化落地偏慢。这些问题不是沈阳独有的，却是沈阳必须面对的。发展低空经济，对沈阳而言，不仅是培育新质生产力、打造新增长引擎的机遇，更是推动产业转型、激活创新生态、提升城市竞争力的突破口。</w:t>
      </w:r>
    </w:p>
    <w:p w14:paraId="742B4F9A">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未来，沈阳若能进一步激活民企活力、完善市场化生态、强化人才留存与引进、丰富商业化场景、提升金融支撑能力，把强大的制造优势、科创优势真正转化为产业优势、市场优势、竞争优势，完全有可能在全国低空经济格局中占据重要位置，走出一条具有老工业基地特色的低空经济高质量发展之路。</w:t>
      </w:r>
    </w:p>
    <w:p w14:paraId="637AA2CA">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ind w:firstLine="420" w:firstLineChars="0"/>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r>
        <w:rPr>
          <w:rFonts w:hint="default" w:ascii="Segoe UI" w:hAnsi="Segoe UI" w:eastAsia="宋体" w:cs="Segoe UI"/>
          <w:i w:val="0"/>
          <w:iCs w:val="0"/>
          <w:caps w:val="0"/>
          <w:spacing w:val="0"/>
          <w:sz w:val="24"/>
          <w:szCs w:val="24"/>
          <w:shd w:val="clear" w:fill="FFFFFF"/>
          <w:lang w:val="en-US" w:eastAsia="zh-CN"/>
        </w:rPr>
        <w:t>低空经济的时代已经到来。它不仅会改变交通方式、物流体系、消费场景，更会重塑产业格局、城市功能与区域竞争力。对于国家，它是新质生产力的重要载体；对于城市，它是转型振兴的重要赛道；对于每一个关注它的人，它是充满机遇与想象的未来。期待在不久的将来，低空经济能够真正走进日常生活，安全、有序、高效、普惠地服务社会发展，也期待沈阳能够抓住机遇、发挥优势、破解难题，在低空经济这条新赛道上高飞远航，走出一条具有沈阳特色、体现沈阳实力、展现沈阳活力的振兴之路。</w:t>
      </w:r>
    </w:p>
    <w:p w14:paraId="33FF0140">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default" w:ascii="Segoe UI" w:hAnsi="Segoe UI" w:eastAsia="宋体" w:cs="Segoe UI"/>
          <w:i w:val="0"/>
          <w:iCs w:val="0"/>
          <w:caps w:val="0"/>
          <w:spacing w:val="0"/>
          <w:sz w:val="24"/>
          <w:szCs w:val="24"/>
          <w:shd w:val="clear" w:fill="FFFFFF"/>
          <w:lang w:val="en-US" w:eastAsia="zh-CN"/>
        </w:rPr>
      </w:pPr>
    </w:p>
    <w:p w14:paraId="2E0A4A02">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t>[引用]：</w:t>
      </w:r>
    </w:p>
    <w:p w14:paraId="69D63E02">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"https://ga.buaa.edu.cn/info/1005/2228.htm"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发展亮点纷呈 十四五圆满收官—2025中国通用航空大盘点</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5088EF57">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"https://www.syd.com.cn/newscenter/content/2025-05/14/content_170521.html"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无人机物流运输从沈北新区起飞</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32B3EB17">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"https://www.gov.cn/yaowen/liebiao/202603/content_7062625.htm"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7"/>
          <w:rFonts w:hint="eastAsia" w:asciiTheme="majorEastAsia" w:hAnsiTheme="majorEastAsia" w:eastAsiaTheme="majorEastAsia" w:cstheme="majorEastAsia"/>
          <w:i w:val="0"/>
          <w:iCs w:val="0"/>
          <w:caps w:val="0"/>
          <w:spacing w:val="0"/>
          <w:sz w:val="15"/>
          <w:szCs w:val="15"/>
          <w:shd w:val="clear" w:fill="FFFFFF"/>
          <w:lang w:val="en-US" w:eastAsia="zh-CN"/>
        </w:rPr>
        <w:t>2025政府工作报告</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57DE7060">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"https://www.gov.cn/zhengce/202603/content_7063521.htm"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十部门提出，到二〇三〇年相关标准超三百项，低空经济加快“立规矩”</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21576AA9">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"https://mp.weixin.qq.com/s?__biz=MzUzMDk4ODQyNA==&amp;mid=2247513405&amp;idx=1&amp;sn=47629c5a9a0a5cadfd380dbb16bb22cb&amp;chksm=fb41292ba853044159b0bc594148d76460dd6eed70f4aee433d612173141d6a46a429692742b" \l "rd"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我国低空飞行器相关国家标准和行业标准</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6D9EFBA0">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"http://jjckb.xinhuanet.com/20260128/3f62df721cd54dc4baf96bbcc97ab909/c.html"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多项低空强制性国标将施行</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74FE9AF0">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"https://www.caac.gov.cn/XXGK/XXGK/BZGF/HYBZ/202211/t20221101_215817.html"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低空飞行服务系统技术规范</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58B69E94">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"https://www.miit.gov.cn/jgsj/txs/wjfb/art/2026/art_75ff4347c9ed418c825daee876b50a66.html"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工业和信息化部等五部门办公厅（秘书局、综合局、综合司）关于加强信息通信业能力建设支撑低空基础设施发展的实施意见</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1BF3CFEB">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"https://www.henan.gov.cn/2025/12-16/3274935.html"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低空“交规”来了！蓝天实验室牵头制定双项标准筑牢城市空中安全屏障</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3BDA8C7F">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"https://www.suzhou.gov.cn/szsrmzf/szyw/202407/71600e26006c4b2aaeaca89f3e6e1bf2.shtml"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苏州探索出台全国首部低空“交规”</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29217890">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"http://jjckb.xinhuanet.com/20260128/3f62df721cd54dc4baf96bbcc97ab909/c.html"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多项低空强制性国标将施行，业内呼吁加强人才与制度“双储备”</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77426000">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"https://www.tr-cats.cn/CN/10.16503/j.cnki.2095-9931.2025.06.007" \l "14"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基于典型应用场景的低空交通运输陆空协同标准体系构建</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51094EC1">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"https://www.cnii.com.cn/gxxww/rmydb/202412/t20241230_627377.html"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“四域”产业体系架构引领低空经济蓬勃发展</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6AA6CB10">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"http://mp.weixin.qq.com/s?__biz=MzIxNzU1Mzg5Ng==&amp;mid=2247534794&amp;idx=6&amp;sn=ceb1f5d8bd6d68ebea210db03626f040&amp;chksm=96faf2c6a23c9dadaa5e2ec34533368a1e0a57e270d9585c7a57c7e92f849caca6a0b3672c80" \l "rd"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7"/>
          <w:rFonts w:hint="eastAsia" w:asciiTheme="majorEastAsia" w:hAnsiTheme="majorEastAsia" w:eastAsiaTheme="majorEastAsia" w:cstheme="majorEastAsia"/>
          <w:i w:val="0"/>
          <w:iCs w:val="0"/>
          <w:caps w:val="0"/>
          <w:spacing w:val="0"/>
          <w:sz w:val="15"/>
          <w:szCs w:val="15"/>
          <w:shd w:val="clear" w:fill="FFFFFF"/>
          <w:lang w:val="en-US" w:eastAsia="zh-CN"/>
        </w:rPr>
        <w:t>低空经济产业链全景图深度解析：万亿赛道的崛起逻辑与生态布局</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7E6F999A">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"https://www.csgpc.org/detail/25185.html"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陈军院士等.实景三维赋能低空经济的基本思路与重点任务</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050E34AB">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"https://tech.cnr.cn/ycbd/20250413/t20250413_527134148.shtml"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升级数字低空新基建 夯实万亿市场安全底座</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767BC02C">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"https://robot.hnu.edu.cn/info/1031/1903.htm"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【特邀综述】中心主任王耀南院士：自主飞行器技术赋能低空经济</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104EBA44">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"https://www.csgpc.org/detail/27031.html"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吴启晖等：低空经济信息系统与安全管控基础理论与关键技术</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570E870C">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"https://www.gml.ac.cn/zhxw/790.html"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空间智能 + 国产算力 光明实验室为无人机装上 "城市大脑"</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08DCE15D">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"https://www.xinhuanet.com/info/20241012/beeb9e7410c24ab0aa79e041311afa10/c.html"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加强认证检测 服务低空经济</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738028CF">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"https://gzw.gd.gov.cn/gkmlpt/content/4/4863/post_4863121.html" \l "1333"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《低空航路运行安全能力评估规范》团体标准正式发布</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2310EE64">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"https://www.news.cn/tech/20251223/75bf26ab225448b0a5d4bf540bae9c2e/c.html"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市场最前沿｜逐空而上！低空经济加速启航万亿新赛道</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5539C4E1">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"https://mp.weixin.qq.com/s?__biz=MzA5MzUwNjUzMA==&amp;mid=2650955258&amp;idx=1&amp;sn=25347e9f2cbb37b0a3bb4caf268fe2f6&amp;chksm=8a47a133fd1a8d3dc64d1f4f4fa914ccff265bd92ec80c79cb80eb7d3330f55813ad3b3ab2f0" \l "rd"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广东，出手了！</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5279859D">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"https://www.cnii.com.cn/gxxww/rmydb/202508/t20250812_677906.html"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年中观察·数字经济新亮点｜低空经济加快从“云端”飞进现实</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28FA2168">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"http://www.sasac.gov.cn/n2588025/n2588119/c32903257/content.html"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【战新产业“百大工程”】中国移动打造5G-A低空智联网，助力低空经济破局腾飞</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74957E4F">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"https://mp.weixin.qq.com/s?__biz=MzU5NTUwNDQ1OQ==&amp;mid=2247567403&amp;idx=3&amp;sn=09fde1307a0f3978f33e5bbf16e659ed&amp;chksm=ff9e540017f1d041e2f954715f0bacc93bb88c58cd2ff9ceb0d365a2ca2b57a68dd4e31c0c72" \l "rd"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低空技术｜2025年低空经济基础设施发展研究报告正式发布！全国487个通用机场、273家航空飞行营地</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20B816EC">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"https://www.news.cn/politics/20251231/256617daa07e4caebfabbfc4d423f252/c.html"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年终报道丨低空经济加速“落地”，重新定义“立体中国”</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6BD428E9">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"https://www.nanjing.gov.cn/zt/njdzdkjjcygd/dkyw/202511/t20251121_5695306.html"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看得见的场景落地、看不见的“大脑”指挥，市低空飞行服务平台——</w:t>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br w:type="textWrapping"/>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一年来累计保障40万架次飞行</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444FE087">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"http://www.caacnews.com.cn/2024live/22thmhxxhlt/20xxhltlm3/202410/t20241010_1381901_sj.html"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“5G+”探索无人科技新未来</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46F57065">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"https://cn.chinadaily.com.cn/a/202508/25/WS68ac286fa3104ba1353fea86.html"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【2025数博会】中科星图首秀2025数博会 五大产品矩阵亮点纷呈</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6EBEAF32">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"https://travel.cnr.cn/hydt/20250731/t20250731_527292850.shtml"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“空中高德”时空底座发布 全场景低空经济示范区龙岗启航</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291BDEB8">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"https://www.moa.gov.cn/ztzl/ymksn/jjrbbd/202603/t20260327_6482717.htm"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提升农业科技创新体系整体效能——做好“开局之年”经济工作</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2A4E9D8A">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"https://www.chinanews.com/cj/2025/12-12/10532255.shtml"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2025年终观察｜低空经济怎样加速跑？</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1644AF45">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"https://safety.hangzhou.gov.cn/col/col1682786/art/2025/art_660288beb0c54cdbb71304944ed0a0bd.html"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杭临共飞！临安区赋能低空智治 织密立体安全防线</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49D4E1A0">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"http://ah.news.cn/20250514/051d11f711404549b26abd5b689e1b72/c.html"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“一网统飞”飞出城市管理新高度</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399FA26A">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"https://zfsg.gd.gov.cn/xxfb/dtxw/content/post_4839221.html"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智莞长空！东莞发布政务无人机“一网统飞”服务体系</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2A122E0A">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"https://zjic.zj.gov.cn/ywdh/cyfz/202511/t20251125_23826749.shtml"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政策技术多重支持 低空经济市场规模高速增长</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19AB126D">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"https://www.caac.gov.cn/PHONE/XWZX/MHYW/202601/t20260107_229707.html"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2026年全国民航工作会议在京召开</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57DF53BE">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"https://m.cnfin.com/hg-lb/zixun/20260123/4370374_1.html"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行业洞察丨中国低空经济产业城市竞争力TOP50榜单发布 深圳蝉联榜首</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6FE3F294">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"https://www.cinn.cn/2025/10-26/gDan7Llk.html"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中央布局四大新兴支柱产业，多城竞逐万亿级新赛道</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26849913">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"https://fgw.sz.gov.cn/ztzl/qtztzl/szscjmyjjfzzhfwpt/xwdt/content/post_12329549.html"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深圳全速竞飞“低空经济第一城”</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53D2A163">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"https://fgw.sz.gov.cn/zwgk/qt/tzgg/content/post_12305044.html"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深圳市低空基础设施高质量建设方案（2024—2026年）</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74D567DD">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"http://dianzibao.cb.com.cn/images/2026-01/26/09/2638B05C.pdf"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“eVTOL 五小龙”齐聚 上海争夺低空经济先发优势</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7EAF93E0">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"https://www.shanghai.gov.cn/gwk/search/content/da714ee861614ef2abae9a2b7ca317b6"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上海市人民政府办公厅关于印发《上海市低空经济产业高质量发展行动方案（2024-2027年）》的通知</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2B48F663">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"https://www.beijing.gov.cn/ywdt/gzdt/202503/t20250331_4049113.html?f_link_type=f_linkinlinenote&amp;flow_extra=eyJpbmxpbmVfZGlzcGxheV9wb3NpdGlvbiI6MCwiZG9jX3Bvc2l0aW9uIjowLCJkb2NfaWQiOiIzOTRhYWVlOGQ4NjI2ZGY2LTA2ZTA5Yjc1MGVjZDE3MjQifQ%3D%3D"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北京低空经济发展水平居全国第二 技术创新活力和市场开拓方面表现亮眼</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52654484">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"https://www.beijing.gov.cn/zhengce/zhengcefagui/202409/t20240930_3910685.html?f_link_type=f_linkinlinenote&amp;flow_extra=eyJpbmxpbmVfZGlzcGxheV9wb3NpdGlvbiI6MCwiZG9jX3Bvc2l0aW9uIjowLCJkb2NfaWQiOiIxZGQyZjViOGVhNThjYTc5LWI1YTczMDRjNzYwMWVlNmYifQ%3D%3D"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北京市经济和信息化局等4部门关于印发《北京市促进低空经济产业高质量发展行动方案（2024-2027年）》的通知</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2A70A644">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"https://www.gz.gov.cn/qmqygjchzhhcwl/rmbd/content/mpost_10750454.html?f_link_type=f_linkinlinenote&amp;flow_extra=eyJpbmxpbmVfZGlzcGxheV9wb3NpdGlvbiI6MCwiZG9jX3Bvc2l0aW9uIjowLCJkb2NfaWQiOiIxNzVmNDVlMjU5OTk4OWM5LTcyNDYyOGM0ZGZhN2YxNzgifQ%3D%3D"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广州低空经济产业链企业数量居全国第二 打造“中国场景创新第一城”</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53F3BE77">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"https://www.gz.gov.cn/zwfw/zxfw/kjcy/content/mpost_10671656.html?f_link_type=f_linkinlinenote&amp;flow_extra=eyJkb2NfcG9zaXRpb24iOjAsImRvY19pZCI6ImZiOTdjMWRiMjNkMjk1MmItYjA3YWNhYTEyM2Q5YjE1NiIsImlubGluZV9kaXNwbGF5X3Bvc2l0aW9uIjowfQ%3D%3D"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低空“广货”翱翔全球 从云端“空中的士”到田间无人机的智造革命</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3FA8E8FE">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"https://www.gz.gov.cn/gkmlpt/content/9/9681/post_9681692.html?f_link_type=f_linkinlinenote&amp;flow_extra=eyJkb2NfcG9zaXRpb24iOjAsImRvY19pZCI6IjAzNmRhNGUyMzQ1ZjQxZGMtMGE2YzE2ZmQ5MTRkNmMzMyIsImlubGluZV9kaXNwbGF5X3Bvc2l0aW9uIjowfQ%3D%3D" \l "12624"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广州市人民政府办公厅关于印发广州市低空经济发展实施方案的通知</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3BF1C660">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sz w:val="15"/>
          <w:szCs w:val="15"/>
        </w:rPr>
        <w:fldChar w:fldCharType="begin"/>
      </w:r>
      <w:r>
        <w:rPr>
          <w:rFonts w:hint="eastAsia" w:asciiTheme="majorEastAsia" w:hAnsiTheme="majorEastAsia" w:eastAsiaTheme="majorEastAsia" w:cstheme="majorEastAsia"/>
          <w:sz w:val="15"/>
          <w:szCs w:val="15"/>
        </w:rPr>
        <w:instrText xml:space="preserve"> HYPERLINK "https://www.xinhuanet.com/local/20250923/d0f63abf48a54fe2b22a304cc6d813db/c.html" </w:instrText>
      </w:r>
      <w:r>
        <w:rPr>
          <w:rFonts w:hint="eastAsia" w:asciiTheme="majorEastAsia" w:hAnsiTheme="majorEastAsia" w:eastAsiaTheme="majorEastAsia" w:cstheme="majorEastAsia"/>
          <w:sz w:val="15"/>
          <w:szCs w:val="15"/>
        </w:rPr>
        <w:fldChar w:fldCharType="separate"/>
      </w:r>
      <w:r>
        <w:rPr>
          <w:rStyle w:val="18"/>
          <w:rFonts w:hint="eastAsia" w:asciiTheme="majorEastAsia" w:hAnsiTheme="majorEastAsia" w:eastAsiaTheme="majorEastAsia" w:cstheme="majorEastAsia"/>
          <w:sz w:val="15"/>
          <w:szCs w:val="15"/>
        </w:rPr>
        <w:t>新华网《合肥：场景驱动破解低空经济 “起飞” 难题》</w:t>
      </w:r>
      <w:r>
        <w:rPr>
          <w:rFonts w:hint="eastAsia" w:asciiTheme="majorEastAsia" w:hAnsiTheme="majorEastAsia" w:eastAsiaTheme="majorEastAsia" w:cstheme="majorEastAsia"/>
          <w:sz w:val="15"/>
          <w:szCs w:val="15"/>
        </w:rPr>
        <w:fldChar w:fldCharType="end"/>
      </w:r>
    </w:p>
    <w:p w14:paraId="4644B429">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Style w:val="17"/>
          <w:rFonts w:hint="eastAsia" w:asciiTheme="majorEastAsia" w:hAnsiTheme="majorEastAsia" w:eastAsiaTheme="majorEastAsia" w:cstheme="majorEastAsia"/>
          <w:sz w:val="15"/>
          <w:szCs w:val="15"/>
        </w:rPr>
        <w:t>新华网《追梦苍穹 合肥空天信息产业蓄势高飞》</w:t>
      </w:r>
    </w:p>
    <w:p w14:paraId="1943B6A4">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sz w:val="15"/>
          <w:szCs w:val="15"/>
        </w:rPr>
        <w:fldChar w:fldCharType="begin"/>
      </w:r>
      <w:r>
        <w:rPr>
          <w:rFonts w:hint="eastAsia" w:asciiTheme="majorEastAsia" w:hAnsiTheme="majorEastAsia" w:eastAsiaTheme="majorEastAsia" w:cstheme="majorEastAsia"/>
          <w:sz w:val="15"/>
          <w:szCs w:val="15"/>
        </w:rPr>
        <w:instrText xml:space="preserve"> HYPERLINK "http://ah.people.com.cn/n2/2025/1204/c374164-41431958.html" </w:instrText>
      </w:r>
      <w:r>
        <w:rPr>
          <w:rFonts w:hint="eastAsia" w:asciiTheme="majorEastAsia" w:hAnsiTheme="majorEastAsia" w:eastAsiaTheme="majorEastAsia" w:cstheme="majorEastAsia"/>
          <w:sz w:val="15"/>
          <w:szCs w:val="15"/>
        </w:rPr>
        <w:fldChar w:fldCharType="separate"/>
      </w:r>
      <w:r>
        <w:rPr>
          <w:rStyle w:val="18"/>
          <w:rFonts w:hint="eastAsia" w:asciiTheme="majorEastAsia" w:hAnsiTheme="majorEastAsia" w:eastAsiaTheme="majorEastAsia" w:cstheme="majorEastAsia"/>
          <w:sz w:val="15"/>
          <w:szCs w:val="15"/>
        </w:rPr>
        <w:t>人民网安徽《合肥包河区：低空 “飞” 起来！》</w:t>
      </w:r>
      <w:r>
        <w:rPr>
          <w:rFonts w:hint="eastAsia" w:asciiTheme="majorEastAsia" w:hAnsiTheme="majorEastAsia" w:eastAsiaTheme="majorEastAsia" w:cstheme="majorEastAsia"/>
          <w:sz w:val="15"/>
          <w:szCs w:val="15"/>
        </w:rPr>
        <w:fldChar w:fldCharType="end"/>
      </w:r>
    </w:p>
    <w:p w14:paraId="35E0C1C2">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sz w:val="15"/>
          <w:szCs w:val="15"/>
        </w:rPr>
        <w:fldChar w:fldCharType="begin"/>
      </w:r>
      <w:r>
        <w:rPr>
          <w:rFonts w:hint="eastAsia" w:asciiTheme="majorEastAsia" w:hAnsiTheme="majorEastAsia" w:eastAsiaTheme="majorEastAsia" w:cstheme="majorEastAsia"/>
          <w:sz w:val="15"/>
          <w:szCs w:val="15"/>
        </w:rPr>
        <w:instrText xml:space="preserve"> HYPERLINK "http://ah.people.com.cn/BIG5/n2/2025/1014/c227131-41379444.html" </w:instrText>
      </w:r>
      <w:r>
        <w:rPr>
          <w:rFonts w:hint="eastAsia" w:asciiTheme="majorEastAsia" w:hAnsiTheme="majorEastAsia" w:eastAsiaTheme="majorEastAsia" w:cstheme="majorEastAsia"/>
          <w:sz w:val="15"/>
          <w:szCs w:val="15"/>
        </w:rPr>
        <w:fldChar w:fldCharType="separate"/>
      </w:r>
      <w:r>
        <w:rPr>
          <w:rStyle w:val="18"/>
          <w:rFonts w:hint="eastAsia" w:asciiTheme="majorEastAsia" w:hAnsiTheme="majorEastAsia" w:eastAsiaTheme="majorEastAsia" w:cstheme="majorEastAsia"/>
          <w:sz w:val="15"/>
          <w:szCs w:val="15"/>
        </w:rPr>
        <w:t>人民网安徽《合肥，首发》</w:t>
      </w:r>
      <w:r>
        <w:rPr>
          <w:rFonts w:hint="eastAsia" w:asciiTheme="majorEastAsia" w:hAnsiTheme="majorEastAsia" w:eastAsiaTheme="majorEastAsia" w:cstheme="majorEastAsia"/>
          <w:sz w:val="15"/>
          <w:szCs w:val="15"/>
        </w:rPr>
        <w:fldChar w:fldCharType="end"/>
      </w:r>
    </w:p>
    <w:p w14:paraId="0D3A7859">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"https://jtt.ah.gov.cn/xwdt/mtjj/123078481.html"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安徽：低空经济蓄势“高”飞</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6E8C56AF">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"https://www.gov.cn/yaowen/liebiao/202502/content_7004451.htm?f_link_type=f_linkinlinenote&amp;flow_extra=eyJpbmxpbmVfZGlzcGxheV9wb3NpdGlvbiI6MCwiZG9jX3Bvc2l0aW9uIjowLCJkb2NfaWQiOiJkMGE5ZWFhMWJiZTMxZDYyLWNhYzBjNjk5YzEyYWMwNzUifQ%3D%3D"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“低空经济”发展一年间</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5EEAEE21">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"https://www.gov.cn/zhengce/zhengceku/202410/content_6982593.htm"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国务院关于《沈阳市国土空间总体规划（2021—2035年）》的批复</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16CAA6B4">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"https://www.shenyang.gov.cn/zwgk/zwdt/bmdt/202406/t20240616_4657615.html"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沈阳：发展低空经济 “抢滩”万亿新赛道</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32667963">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"https://jxw.shenyang.gov.cn/zwgk/fdzdgknr/bmwj/202410/t20241012_4744801.html"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关于印发《沈阳市促进低空经济高质量发展若干政策措施》的通知</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53823B41">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"https://www.shenyang.gov.cn/zt/zxxtp/dxsf/202508/t20250805_4886260.html"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城市低空经济"链接力"指数（2025）</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54BD5E11">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"https://www.ln.gov.cn/web/ywdt/qsgd/ass_2_1/2024042609381085084/index.shtml"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7"/>
          <w:rFonts w:hint="eastAsia" w:asciiTheme="majorEastAsia" w:hAnsiTheme="majorEastAsia" w:eastAsiaTheme="majorEastAsia" w:cstheme="majorEastAsia"/>
          <w:i w:val="0"/>
          <w:iCs w:val="0"/>
          <w:caps w:val="0"/>
          <w:spacing w:val="0"/>
          <w:sz w:val="15"/>
          <w:szCs w:val="15"/>
          <w:shd w:val="clear" w:fill="FFFFFF"/>
          <w:lang w:val="en-US" w:eastAsia="zh-CN"/>
        </w:rPr>
        <w:t>沈阳制定三年行动计划推进低空经济发展到2026年产业规模力争达到30亿元</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342D0E28">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"https://www.chinanews.com.cn/cj/2025/10-07/10494963.shtml"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打造智慧管理新范式 沈阳低空经济赋能城市政务巡检</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595BA43E">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"https://www.syyh.gov.cn/xwzx/rdzxx/202508/t20250801_4884797.html"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沈阳首条城市中心无人机应用航线首飞</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31C43F30">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"https://www.chinanews.com.cn/sh/2025/03-14/10383070.shtml"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无人机巡查河道 沈阳构建“空天地一体化”科技防汛体系</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7D11FACC">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"https://www.syd.com.cn/newscenter/content/2025-09/28/content_201749.html"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无人机巡检助力智慧城市建设</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4495C10C">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"https://www.peopleapp.com/column/30049081091-500006261806"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沈阳尝试用无人机送快递</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6AAA45A8">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"https://www.ln.gov.cn/web/ywdt/tpxx/2025120810523088456/index.shtml"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沈阳2吨级运投无人机正式下线 全吨位货运无人机矩阵成型</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030E86F5">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"https://mp.weixin.qq.com/s?__biz=MzA4MzcwMTYzMw==&amp;mid=2247608953&amp;idx=1&amp;sn=c5a5e6f2f4fa9536be137a016fa5c990&amp;chksm=9e0b7c49b5b91f0d88cbe75d4b5c48c55b54c033b5073c2b45bcb94f95a3e41f12d998f70449" \l "rd"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试飞成功！沈阳低空观光游，期待值拉满！</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2CFAD755">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"http://www.hunnan.gov.cn/hnyw/202507/t20250729_4882935.html"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天空翱翔！浑南文旅新动线惊艳亮相 浑河廊道低空观光eVTOL首飞成功</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3828605D">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"https://www.cnr.cn/ln/shxc/20250704/t20250704_527244502.shtml"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沈阳沈北新区蒲河廊道低空观光旅游场景应用试飞取得圆满成功</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0545227A">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"https://nync.ln.gov.cn/nync/index/nyyw/nyxw/nyyw/2025062615184078432/"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央媒看辽宁丨新华社：科技“神器”为农田夏管护航</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13E9819B">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"https://www.nsy.gov.cn/zwgk/fdzdgknr/qtzfxx/jytablgk/qjytabl/202507/t20250709_4874890.html"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沈北新区政协五届四次会议第4号提案的答复</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6687388D">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"https://jxw.shenyang.gov.cn/zwgk/fdzdgknr/jyta/szxta/202412/t20241201_4768645.html"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市政协第十六届一次会议《关于建设工业级无人机产业集群的提案（第161号）的答复</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7E80FDEF">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"https://www.toutiao.com/article/7618395986309792292/?wid=1777125756980"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沈阳市国资国企——耐心资本“浇灌”产业“新苗”</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0198A89D">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"http://www.saig.com.cn/article/view/id/923.html"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沈航现有基金产品情况介绍</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09D3DD67">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"http://www.saig.com.cn/Article/view/id/870.html"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低空视界 腾飞未来——沈阳为低空经济搭建关键“底座”</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290B640D">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"https://www.shenyang.gov.cn/zwgk/zwdt/bmdt/202506/t20250616_4863931.html"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沈阳低空经济加速迈向“乘势高飞”</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235027F2">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"https://www.toutiao.com/article/7345091109738119720/"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聚焦低空经济 打造航空产业新质生产力</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5A18DEA7">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"https://finance.people.com.cn/n1/2026/0206/c1004-40660862.html"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十部门联合印发《指南》——为低空经济发展定规矩、指航向</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0CEA8A58">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"https://news.qq.com/rain/a/20250609A05UZM00"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党建引领 汇聚产业发展新动能——沈阳市航空航天产业链综合党委成立</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263EE19D">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"https://www.cnr.cn/ln/zxh/20260213/t20260213_527526008.shtml"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沈阳沈北新区：乘势而上 向空而兴</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7738798E">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"https://www.lncc.edu.cn/info/1008/376767.htm"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深化产教融合 共育低空人才——我校与沈飞、航指委共研产教融合新路径</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4D41BE94">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"https://www.chinanews.com.cn/gn/2026/03-21/10590458.shtml"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沈阳造2吨级运投无人机首飞成功 填补国内低空物流大载重长航空白</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13971EBB">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"https://gxt.ln.gov.cn/gxt/mtgz/2025100915395665917/"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【新华网】国产大型货运无人机加快商业化应用步伐</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5E3A6471">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"https://mp.weixin.qq.com/s?__biz=MzU5MTYxMTUzMQ==&amp;mid=2247488772&amp;idx=1&amp;sn=95da0ab026a1b2a7c3534e7732006c31&amp;chksm=ff8b04cff3a053da03f43ca998a06b70ad0dd77fecad448fba57f57de148d33ad06d58457289" \l "rd"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一篇推文，带你了解锐翔通飞</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08801026">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"https://www.syd.com.cn/newscenter/content/2026-04/23/content_235846.html"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沈阳造氢动力无人机高原首飞成功</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0A1279E8">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"https://www.woozoom.net/article/index/category_id/143.html"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无距科技官网</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298DE0F3">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"https://www.mxnavi.com/" \l "/product/lowAltitudeEconomy/lowAltitudeEconomyMain"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美行科技官网低空经济板块</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772E32A0">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"https://datasec.sic.gov.cn/sic/81/455/0127/20260127135937914434159_pc.html"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构建适配低空经济高质量发展的新型空域管理体系</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0D920B29">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"http://ccqk.jlsfy.gov.cn/sfdyfxbg/489209.jhtml"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以法治之道保障低空经济行稳致远</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4910EB1C">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"http://rongjiang.guizhoucourt.gov.cn/tjfx/301413.jhtml"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以法治之道保障低空经济行稳致远</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2B3C0411">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"https://paper.people.com.cn/rmlt/pc/content/202601/15/content_30137714.html"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低空经济“管得住才能放得开”</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316FF361">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"https://www.gdsqzx.com.cn/report.asp?id=7610"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粤省情发布《2025广东省低空经济产业发展智库调研报告》</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71CA5A73">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"https://epaper.gmw.cn/gmrb/html/content/202604/18/content_11431.html"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法治把关，低空经济展翼蓝天</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473157FF">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"https://www.syhg.gov.cn/xxgk/zwgk/fdzdgknr/qtzfxx/jytablgk/qjzxtabl/qzxsljwchy2026/202604/t20260415_5015088.html"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第140号《关于推进我区低空经济产业发展的提案》的答复</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402C8F97">
      <w:pPr>
        <w:keepNext w:val="0"/>
        <w:keepLines w:val="0"/>
        <w:pageBreakBefore w:val="0"/>
        <w:widowControl/>
        <w:numPr>
          <w:ilvl w:val="0"/>
          <w:numId w:val="46"/>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asciiTheme="majorEastAsia" w:hAnsiTheme="majorEastAsia" w:eastAsiaTheme="majorEastAsia" w:cstheme="majorEastAsia"/>
          <w:i w:val="0"/>
          <w:iCs w:val="0"/>
          <w:caps w:val="0"/>
          <w:spacing w:val="0"/>
          <w:sz w:val="15"/>
          <w:szCs w:val="15"/>
          <w:shd w:val="clear" w:fill="FFFFFF"/>
          <w:lang w:val="en-US" w:eastAsia="zh-CN"/>
        </w:rPr>
      </w:pP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begin"/>
      </w:r>
      <w:r>
        <w:rPr>
          <w:rFonts w:hint="eastAsia" w:asciiTheme="majorEastAsia" w:hAnsiTheme="majorEastAsia" w:eastAsiaTheme="majorEastAsia" w:cstheme="majorEastAsia"/>
          <w:i w:val="0"/>
          <w:iCs w:val="0"/>
          <w:caps w:val="0"/>
          <w:spacing w:val="0"/>
          <w:sz w:val="15"/>
          <w:szCs w:val="15"/>
          <w:shd w:val="clear" w:fill="FFFFFF"/>
          <w:lang w:val="en-US" w:eastAsia="zh-CN"/>
        </w:rPr>
        <w:instrText xml:space="preserve"> HYPERLINK "https://jxw.shenyang.gov.cn/mtxw/202412/t20241216_4776739.html?f_link_type=f_linkinlinenote&amp;flow_extra=eyJpbmxpbmVfZGlzcGxheV9wb3NpdGlvbiI6MCwiZG9jX3Bvc2l0aW9uIjowLCJkb2NfaWQiOiIzOWVkMzI1ZThiZjE0Yzc4LThlZDViMjYwNWRjYTZkNzAifQ%3D%3D" </w:instrTex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separate"/>
      </w:r>
      <w:r>
        <w:rPr>
          <w:rStyle w:val="18"/>
          <w:rFonts w:hint="eastAsia" w:asciiTheme="majorEastAsia" w:hAnsiTheme="majorEastAsia" w:eastAsiaTheme="majorEastAsia" w:cstheme="majorEastAsia"/>
          <w:i w:val="0"/>
          <w:iCs w:val="0"/>
          <w:caps w:val="0"/>
          <w:spacing w:val="0"/>
          <w:sz w:val="15"/>
          <w:szCs w:val="15"/>
          <w:shd w:val="clear" w:fill="FFFFFF"/>
          <w:lang w:val="en-US" w:eastAsia="zh-CN"/>
        </w:rPr>
        <w:t>沈阳航产集团基金管理规模突破5亿元</w:t>
      </w:r>
      <w:r>
        <w:rPr>
          <w:rFonts w:hint="eastAsia" w:asciiTheme="majorEastAsia" w:hAnsiTheme="majorEastAsia" w:eastAsiaTheme="majorEastAsia" w:cstheme="majorEastAsia"/>
          <w:i w:val="0"/>
          <w:iCs w:val="0"/>
          <w:caps w:val="0"/>
          <w:spacing w:val="0"/>
          <w:sz w:val="15"/>
          <w:szCs w:val="15"/>
          <w:shd w:val="clear" w:fill="FFFFFF"/>
          <w:lang w:val="en-US" w:eastAsia="zh-CN"/>
        </w:rPr>
        <w:fldChar w:fldCharType="end"/>
      </w:r>
    </w:p>
    <w:p w14:paraId="4F277CA9">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default" w:ascii="Segoe UI" w:hAnsi="Segoe UI" w:eastAsia="宋体" w:cs="Segoe UI"/>
          <w:i w:val="0"/>
          <w:iCs w:val="0"/>
          <w:caps w:val="0"/>
          <w:spacing w:val="0"/>
          <w:sz w:val="15"/>
          <w:szCs w:val="15"/>
          <w:shd w:val="clear" w:fill="FFFFFF"/>
          <w:lang w:val="en-US" w:eastAsia="zh-CN"/>
        </w:rPr>
      </w:pPr>
    </w:p>
    <w:p w14:paraId="3038AF03">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outlineLvl w:val="9"/>
        <w:rPr>
          <w:rFonts w:hint="eastAsia"/>
          <w:sz w:val="15"/>
          <w:szCs w:val="15"/>
        </w:rPr>
      </w:pPr>
      <w:r>
        <w:rPr>
          <w:rFonts w:hint="eastAsia" w:asciiTheme="majorEastAsia" w:hAnsiTheme="majorEastAsia" w:eastAsiaTheme="majorEastAsia" w:cstheme="majorEastAsia"/>
          <w:i w:val="0"/>
          <w:iCs w:val="0"/>
          <w:caps w:val="0"/>
          <w:spacing w:val="0"/>
          <w:sz w:val="15"/>
          <w:szCs w:val="15"/>
          <w:shd w:val="clear" w:fill="FFFFFF"/>
          <w:lang w:val="en-US" w:eastAsia="zh-CN"/>
        </w:rPr>
        <w:t>[参考文献]：</w:t>
      </w:r>
    </w:p>
    <w:p w14:paraId="5F44C75E">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 xml:space="preserve">中国民用机场协会. 低空经济基础设施框架指引(2025版)[S]. 2025. </w:t>
      </w:r>
      <w:bookmarkStart w:id="26" w:name="_GoBack"/>
      <w:bookmarkEnd w:id="26"/>
    </w:p>
    <w:p w14:paraId="34570BFD">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 xml:space="preserve">市场监管总局等十部门. 低空经济标准体系建设指南[S]. 2025. </w:t>
      </w:r>
    </w:p>
    <w:p w14:paraId="3ECF776B">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 xml:space="preserve">中国航空学会. 低空经济场景白皮书 2.0[R]. 2025. </w:t>
      </w:r>
    </w:p>
    <w:p w14:paraId="71FC1AE0">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 xml:space="preserve">国家发改委、国家统计局. 低空经济能力清单（产业链）[S]. 2025. </w:t>
      </w:r>
    </w:p>
    <w:p w14:paraId="27265292">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 xml:space="preserve">工信部装备工业发展中心、中国电子技术标准化研究院. 低空装备产业标准体系建设思路(2025版)[S]. 2025. </w:t>
      </w:r>
    </w:p>
    <w:p w14:paraId="273A6401">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 xml:space="preserve">交通运输部、中国民用航空局. 民用无人驾驶航空器运行安全管理规则[S]. 2024. </w:t>
      </w:r>
    </w:p>
    <w:p w14:paraId="0DDCF999">
      <w:pPr>
        <w:keepNext w:val="0"/>
        <w:keepLines w:val="0"/>
        <w:pageBreakBefore w:val="0"/>
        <w:widowControl/>
        <w:kinsoku w:val="0"/>
        <w:wordWrap/>
        <w:overflowPunct/>
        <w:topLinePunct w:val="0"/>
        <w:autoSpaceDE w:val="0"/>
        <w:autoSpaceDN w:val="0"/>
        <w:bidi w:val="0"/>
        <w:adjustRightInd w:val="0"/>
        <w:snapToGrid w:val="0"/>
        <w:spacing w:before="0" w:beforeLines="10" w:beforeAutospacing="0" w:after="0" w:afterLines="30" w:afterAutospacing="0" w:line="288" w:lineRule="auto"/>
        <w:jc w:val="left"/>
        <w:textAlignment w:val="baseline"/>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沈阳市发展和改革委员会. 沈阳市低空应用场景空域及航线申请导则[S]. 2025.</w:t>
      </w:r>
    </w:p>
    <w:sectPr>
      <w:footerReference r:id="rId5"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roman"/>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Arial">
    <w:panose1 w:val="020B0604020202020204"/>
    <w:charset w:val="00"/>
    <w:family w:val="auto"/>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9ED9F9">
    <w:pPr>
      <w:spacing w:line="235" w:lineRule="auto"/>
      <w:rPr>
        <w:rFonts w:ascii="宋体" w:hAnsi="宋体" w:eastAsia="宋体" w:cs="宋体"/>
        <w:sz w:val="42"/>
        <w:szCs w:val="4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6FE676">
    <w:pPr>
      <w:spacing w:line="236" w:lineRule="auto"/>
      <w:ind w:left="4000"/>
      <w:rPr>
        <w:rFonts w:ascii="等线" w:hAnsi="等线" w:eastAsia="等线" w:cs="等线"/>
        <w:sz w:val="18"/>
        <w:szCs w:val="18"/>
      </w:rPr>
    </w:pPr>
    <w:r>
      <w:rPr>
        <w:rFonts w:ascii="等线" w:hAnsi="等线" w:eastAsia="等线" w:cs="等线"/>
        <w:b/>
        <w:bCs/>
        <w:spacing w:val="-3"/>
        <w:sz w:val="18"/>
        <w:szCs w:val="18"/>
      </w:rPr>
      <w:t>2</w:t>
    </w:r>
    <w:r>
      <w:rPr>
        <w:rFonts w:ascii="等线" w:hAnsi="等线" w:eastAsia="等线" w:cs="等线"/>
        <w:b/>
        <w:bCs/>
        <w:spacing w:val="46"/>
        <w:w w:val="101"/>
        <w:sz w:val="18"/>
        <w:szCs w:val="18"/>
      </w:rPr>
      <w:t xml:space="preserve"> </w:t>
    </w:r>
    <w:r>
      <w:rPr>
        <w:rFonts w:ascii="等线" w:hAnsi="等线" w:eastAsia="等线" w:cs="等线"/>
        <w:spacing w:val="-3"/>
        <w:sz w:val="18"/>
        <w:szCs w:val="18"/>
      </w:rPr>
      <w:t xml:space="preserve">/  </w:t>
    </w:r>
    <w:r>
      <w:rPr>
        <w:rFonts w:ascii="等线" w:hAnsi="等线" w:eastAsia="等线" w:cs="等线"/>
        <w:b/>
        <w:bCs/>
        <w:spacing w:val="-3"/>
        <w:sz w:val="18"/>
        <w:szCs w:val="18"/>
      </w:rPr>
      <w:t>7</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8F160F">
    <w:pPr>
      <w:spacing w:line="14" w:lineRule="auto"/>
      <w:rPr>
        <w:rFonts w:ascii="Arial"/>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7DD41B"/>
    <w:multiLevelType w:val="multilevel"/>
    <w:tmpl w:val="837DD41B"/>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
    <w:nsid w:val="84D1965E"/>
    <w:multiLevelType w:val="singleLevel"/>
    <w:tmpl w:val="84D1965E"/>
    <w:lvl w:ilvl="0" w:tentative="0">
      <w:start w:val="1"/>
      <w:numFmt w:val="decimal"/>
      <w:suff w:val="space"/>
      <w:lvlText w:val="%1."/>
      <w:lvlJc w:val="left"/>
    </w:lvl>
  </w:abstractNum>
  <w:abstractNum w:abstractNumId="2">
    <w:nsid w:val="8B8A8674"/>
    <w:multiLevelType w:val="multilevel"/>
    <w:tmpl w:val="8B8A8674"/>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3">
    <w:nsid w:val="8EDC3D31"/>
    <w:multiLevelType w:val="singleLevel"/>
    <w:tmpl w:val="8EDC3D31"/>
    <w:lvl w:ilvl="0" w:tentative="0">
      <w:start w:val="1"/>
      <w:numFmt w:val="decimal"/>
      <w:suff w:val="space"/>
      <w:lvlText w:val="%1."/>
      <w:lvlJc w:val="left"/>
    </w:lvl>
  </w:abstractNum>
  <w:abstractNum w:abstractNumId="4">
    <w:nsid w:val="A115F178"/>
    <w:multiLevelType w:val="singleLevel"/>
    <w:tmpl w:val="A115F178"/>
    <w:lvl w:ilvl="0" w:tentative="0">
      <w:start w:val="1"/>
      <w:numFmt w:val="bullet"/>
      <w:suff w:val="space"/>
      <w:lvlText w:val=""/>
      <w:lvlJc w:val="left"/>
      <w:pPr>
        <w:ind w:left="420" w:hanging="420"/>
      </w:pPr>
      <w:rPr>
        <w:rFonts w:hint="default" w:ascii="Wingdings" w:hAnsi="Wingdings"/>
      </w:rPr>
    </w:lvl>
  </w:abstractNum>
  <w:abstractNum w:abstractNumId="5">
    <w:nsid w:val="A353449A"/>
    <w:multiLevelType w:val="multilevel"/>
    <w:tmpl w:val="A353449A"/>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6">
    <w:nsid w:val="A63B5F33"/>
    <w:multiLevelType w:val="singleLevel"/>
    <w:tmpl w:val="A63B5F33"/>
    <w:lvl w:ilvl="0" w:tentative="0">
      <w:start w:val="1"/>
      <w:numFmt w:val="bullet"/>
      <w:suff w:val="space"/>
      <w:lvlText w:val=""/>
      <w:lvlJc w:val="left"/>
      <w:pPr>
        <w:ind w:left="420" w:hanging="420"/>
      </w:pPr>
      <w:rPr>
        <w:rFonts w:hint="default" w:ascii="Wingdings" w:hAnsi="Wingdings"/>
      </w:rPr>
    </w:lvl>
  </w:abstractNum>
  <w:abstractNum w:abstractNumId="7">
    <w:nsid w:val="A6B9799A"/>
    <w:multiLevelType w:val="multilevel"/>
    <w:tmpl w:val="A6B9799A"/>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8">
    <w:nsid w:val="A7CDD431"/>
    <w:multiLevelType w:val="singleLevel"/>
    <w:tmpl w:val="A7CDD431"/>
    <w:lvl w:ilvl="0" w:tentative="0">
      <w:start w:val="1"/>
      <w:numFmt w:val="decimal"/>
      <w:suff w:val="space"/>
      <w:lvlText w:val="%1."/>
      <w:lvlJc w:val="left"/>
    </w:lvl>
  </w:abstractNum>
  <w:abstractNum w:abstractNumId="9">
    <w:nsid w:val="AD16F9E4"/>
    <w:multiLevelType w:val="multilevel"/>
    <w:tmpl w:val="AD16F9E4"/>
    <w:lvl w:ilvl="0" w:tentative="0">
      <w:start w:val="1"/>
      <w:numFmt w:val="decimal"/>
      <w:suff w:val="space"/>
      <w:lvlText w:val="%1."/>
      <w:lvlJc w:val="left"/>
      <w:rPr>
        <w:rFonts w:hint="default" w:asciiTheme="majorEastAsia" w:hAnsiTheme="majorEastAsia" w:eastAsiaTheme="majorEastAsia" w:cstheme="majorEastAsia"/>
      </w:rPr>
    </w:lvl>
    <w:lvl w:ilvl="1" w:tentative="0">
      <w:start w:val="1"/>
      <w:numFmt w:val="decimal"/>
      <w:suff w:val="space"/>
      <w:lvlText w:val="%1.%2"/>
      <w:lvlJc w:val="left"/>
      <w:pPr>
        <w:ind w:left="0" w:leftChars="0" w:firstLine="0" w:firstLineChars="0"/>
      </w:pPr>
      <w:rPr>
        <w:rFonts w:hint="default" w:asciiTheme="majorEastAsia" w:hAnsiTheme="majorEastAsia" w:eastAsiaTheme="majorEastAsia" w:cstheme="majorEastAsia"/>
      </w:rPr>
    </w:lvl>
    <w:lvl w:ilvl="2" w:tentative="0">
      <w:start w:val="1"/>
      <w:numFmt w:val="decimal"/>
      <w:suff w:val="space"/>
      <w:lvlText w:val="%1.%2.%3"/>
      <w:lvlJc w:val="left"/>
      <w:pPr>
        <w:ind w:left="0" w:leftChars="0" w:firstLine="0" w:firstLineChars="0"/>
      </w:pPr>
      <w:rPr>
        <w:rFonts w:hint="default" w:asciiTheme="minorEastAsia" w:hAnsiTheme="minorEastAsia" w:eastAsiaTheme="minorEastAsia" w:cstheme="minorEastAsia"/>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0">
    <w:nsid w:val="B2493FC9"/>
    <w:multiLevelType w:val="singleLevel"/>
    <w:tmpl w:val="B2493FC9"/>
    <w:lvl w:ilvl="0" w:tentative="0">
      <w:start w:val="1"/>
      <w:numFmt w:val="decimal"/>
      <w:suff w:val="space"/>
      <w:lvlText w:val="%1."/>
      <w:lvlJc w:val="left"/>
    </w:lvl>
  </w:abstractNum>
  <w:abstractNum w:abstractNumId="11">
    <w:nsid w:val="BA730A51"/>
    <w:multiLevelType w:val="singleLevel"/>
    <w:tmpl w:val="BA730A51"/>
    <w:lvl w:ilvl="0" w:tentative="0">
      <w:start w:val="1"/>
      <w:numFmt w:val="decimal"/>
      <w:suff w:val="space"/>
      <w:lvlText w:val="%1."/>
      <w:lvlJc w:val="left"/>
    </w:lvl>
  </w:abstractNum>
  <w:abstractNum w:abstractNumId="12">
    <w:nsid w:val="CB61FAB6"/>
    <w:multiLevelType w:val="singleLevel"/>
    <w:tmpl w:val="CB61FAB6"/>
    <w:lvl w:ilvl="0" w:tentative="0">
      <w:start w:val="1"/>
      <w:numFmt w:val="decimal"/>
      <w:suff w:val="space"/>
      <w:lvlText w:val="%1."/>
      <w:lvlJc w:val="left"/>
    </w:lvl>
  </w:abstractNum>
  <w:abstractNum w:abstractNumId="13">
    <w:nsid w:val="CE0E0FDD"/>
    <w:multiLevelType w:val="singleLevel"/>
    <w:tmpl w:val="CE0E0FDD"/>
    <w:lvl w:ilvl="0" w:tentative="0">
      <w:start w:val="1"/>
      <w:numFmt w:val="decimal"/>
      <w:suff w:val="space"/>
      <w:lvlText w:val="%1."/>
      <w:lvlJc w:val="left"/>
    </w:lvl>
  </w:abstractNum>
  <w:abstractNum w:abstractNumId="14">
    <w:nsid w:val="CEDE110D"/>
    <w:multiLevelType w:val="multilevel"/>
    <w:tmpl w:val="CEDE110D"/>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5">
    <w:nsid w:val="D034FCEC"/>
    <w:multiLevelType w:val="singleLevel"/>
    <w:tmpl w:val="D034FCEC"/>
    <w:lvl w:ilvl="0" w:tentative="0">
      <w:start w:val="1"/>
      <w:numFmt w:val="bullet"/>
      <w:suff w:val="space"/>
      <w:lvlText w:val=""/>
      <w:lvlJc w:val="left"/>
      <w:pPr>
        <w:ind w:left="420" w:hanging="420"/>
      </w:pPr>
      <w:rPr>
        <w:rFonts w:hint="default" w:ascii="Wingdings" w:hAnsi="Wingdings"/>
      </w:rPr>
    </w:lvl>
  </w:abstractNum>
  <w:abstractNum w:abstractNumId="16">
    <w:nsid w:val="DAEC5A81"/>
    <w:multiLevelType w:val="singleLevel"/>
    <w:tmpl w:val="DAEC5A81"/>
    <w:lvl w:ilvl="0" w:tentative="0">
      <w:start w:val="1"/>
      <w:numFmt w:val="decimal"/>
      <w:suff w:val="space"/>
      <w:lvlText w:val="%1."/>
      <w:lvlJc w:val="left"/>
    </w:lvl>
  </w:abstractNum>
  <w:abstractNum w:abstractNumId="17">
    <w:nsid w:val="E19AEF6E"/>
    <w:multiLevelType w:val="singleLevel"/>
    <w:tmpl w:val="E19AEF6E"/>
    <w:lvl w:ilvl="0" w:tentative="0">
      <w:start w:val="1"/>
      <w:numFmt w:val="decimal"/>
      <w:suff w:val="space"/>
      <w:lvlText w:val="%1."/>
      <w:lvlJc w:val="left"/>
    </w:lvl>
  </w:abstractNum>
  <w:abstractNum w:abstractNumId="18">
    <w:nsid w:val="E6A1DEB1"/>
    <w:multiLevelType w:val="singleLevel"/>
    <w:tmpl w:val="E6A1DEB1"/>
    <w:lvl w:ilvl="0" w:tentative="0">
      <w:start w:val="1"/>
      <w:numFmt w:val="decimal"/>
      <w:suff w:val="space"/>
      <w:lvlText w:val="%1."/>
      <w:lvlJc w:val="left"/>
    </w:lvl>
  </w:abstractNum>
  <w:abstractNum w:abstractNumId="19">
    <w:nsid w:val="ED71D238"/>
    <w:multiLevelType w:val="multilevel"/>
    <w:tmpl w:val="ED71D238"/>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0">
    <w:nsid w:val="EED9FA39"/>
    <w:multiLevelType w:val="singleLevel"/>
    <w:tmpl w:val="EED9FA39"/>
    <w:lvl w:ilvl="0" w:tentative="0">
      <w:start w:val="1"/>
      <w:numFmt w:val="decimal"/>
      <w:suff w:val="space"/>
      <w:lvlText w:val="%1."/>
      <w:lvlJc w:val="left"/>
    </w:lvl>
  </w:abstractNum>
  <w:abstractNum w:abstractNumId="21">
    <w:nsid w:val="F305581F"/>
    <w:multiLevelType w:val="singleLevel"/>
    <w:tmpl w:val="F305581F"/>
    <w:lvl w:ilvl="0" w:tentative="0">
      <w:start w:val="1"/>
      <w:numFmt w:val="decimal"/>
      <w:suff w:val="space"/>
      <w:lvlText w:val="%1."/>
      <w:lvlJc w:val="left"/>
    </w:lvl>
  </w:abstractNum>
  <w:abstractNum w:abstractNumId="22">
    <w:nsid w:val="FE962A3D"/>
    <w:multiLevelType w:val="singleLevel"/>
    <w:tmpl w:val="FE962A3D"/>
    <w:lvl w:ilvl="0" w:tentative="0">
      <w:start w:val="1"/>
      <w:numFmt w:val="decimal"/>
      <w:suff w:val="space"/>
      <w:lvlText w:val="%1."/>
      <w:lvlJc w:val="left"/>
    </w:lvl>
  </w:abstractNum>
  <w:abstractNum w:abstractNumId="23">
    <w:nsid w:val="0160FAF8"/>
    <w:multiLevelType w:val="singleLevel"/>
    <w:tmpl w:val="0160FAF8"/>
    <w:lvl w:ilvl="0" w:tentative="0">
      <w:start w:val="1"/>
      <w:numFmt w:val="decimal"/>
      <w:suff w:val="space"/>
      <w:lvlText w:val="%1."/>
      <w:lvlJc w:val="left"/>
    </w:lvl>
  </w:abstractNum>
  <w:abstractNum w:abstractNumId="24">
    <w:nsid w:val="09D64CC0"/>
    <w:multiLevelType w:val="singleLevel"/>
    <w:tmpl w:val="09D64CC0"/>
    <w:lvl w:ilvl="0" w:tentative="0">
      <w:start w:val="1"/>
      <w:numFmt w:val="decimal"/>
      <w:suff w:val="space"/>
      <w:lvlText w:val="%1."/>
      <w:lvlJc w:val="left"/>
    </w:lvl>
  </w:abstractNum>
  <w:abstractNum w:abstractNumId="25">
    <w:nsid w:val="0DB361AD"/>
    <w:multiLevelType w:val="singleLevel"/>
    <w:tmpl w:val="0DB361AD"/>
    <w:lvl w:ilvl="0" w:tentative="0">
      <w:start w:val="1"/>
      <w:numFmt w:val="decimal"/>
      <w:suff w:val="space"/>
      <w:lvlText w:val="%1."/>
      <w:lvlJc w:val="left"/>
    </w:lvl>
  </w:abstractNum>
  <w:abstractNum w:abstractNumId="26">
    <w:nsid w:val="257A90E7"/>
    <w:multiLevelType w:val="singleLevel"/>
    <w:tmpl w:val="257A90E7"/>
    <w:lvl w:ilvl="0" w:tentative="0">
      <w:start w:val="1"/>
      <w:numFmt w:val="decimal"/>
      <w:suff w:val="space"/>
      <w:lvlText w:val="%1."/>
      <w:lvlJc w:val="left"/>
    </w:lvl>
  </w:abstractNum>
  <w:abstractNum w:abstractNumId="27">
    <w:nsid w:val="272BE8A4"/>
    <w:multiLevelType w:val="multilevel"/>
    <w:tmpl w:val="272BE8A4"/>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8">
    <w:nsid w:val="27A70804"/>
    <w:multiLevelType w:val="singleLevel"/>
    <w:tmpl w:val="27A70804"/>
    <w:lvl w:ilvl="0" w:tentative="0">
      <w:start w:val="1"/>
      <w:numFmt w:val="decimal"/>
      <w:suff w:val="space"/>
      <w:lvlText w:val="%1."/>
      <w:lvlJc w:val="left"/>
    </w:lvl>
  </w:abstractNum>
  <w:abstractNum w:abstractNumId="29">
    <w:nsid w:val="2AE76523"/>
    <w:multiLevelType w:val="singleLevel"/>
    <w:tmpl w:val="2AE76523"/>
    <w:lvl w:ilvl="0" w:tentative="0">
      <w:start w:val="1"/>
      <w:numFmt w:val="decimal"/>
      <w:suff w:val="space"/>
      <w:lvlText w:val="%1."/>
      <w:lvlJc w:val="left"/>
    </w:lvl>
  </w:abstractNum>
  <w:abstractNum w:abstractNumId="30">
    <w:nsid w:val="32F19ACE"/>
    <w:multiLevelType w:val="multilevel"/>
    <w:tmpl w:val="32F19ACE"/>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31">
    <w:nsid w:val="3877383E"/>
    <w:multiLevelType w:val="singleLevel"/>
    <w:tmpl w:val="3877383E"/>
    <w:lvl w:ilvl="0" w:tentative="0">
      <w:start w:val="1"/>
      <w:numFmt w:val="decimal"/>
      <w:suff w:val="space"/>
      <w:lvlText w:val="%1."/>
      <w:lvlJc w:val="left"/>
    </w:lvl>
  </w:abstractNum>
  <w:abstractNum w:abstractNumId="32">
    <w:nsid w:val="3F30A827"/>
    <w:multiLevelType w:val="singleLevel"/>
    <w:tmpl w:val="3F30A827"/>
    <w:lvl w:ilvl="0" w:tentative="0">
      <w:start w:val="1"/>
      <w:numFmt w:val="decimal"/>
      <w:suff w:val="space"/>
      <w:lvlText w:val="%1."/>
      <w:lvlJc w:val="left"/>
    </w:lvl>
  </w:abstractNum>
  <w:abstractNum w:abstractNumId="33">
    <w:nsid w:val="435FC0A9"/>
    <w:multiLevelType w:val="singleLevel"/>
    <w:tmpl w:val="435FC0A9"/>
    <w:lvl w:ilvl="0" w:tentative="0">
      <w:start w:val="1"/>
      <w:numFmt w:val="decimal"/>
      <w:suff w:val="space"/>
      <w:lvlText w:val="%1."/>
      <w:lvlJc w:val="left"/>
    </w:lvl>
  </w:abstractNum>
  <w:abstractNum w:abstractNumId="34">
    <w:nsid w:val="4FC4E75D"/>
    <w:multiLevelType w:val="singleLevel"/>
    <w:tmpl w:val="4FC4E75D"/>
    <w:lvl w:ilvl="0" w:tentative="0">
      <w:start w:val="1"/>
      <w:numFmt w:val="decimal"/>
      <w:suff w:val="space"/>
      <w:lvlText w:val="%1."/>
      <w:lvlJc w:val="left"/>
    </w:lvl>
  </w:abstractNum>
  <w:abstractNum w:abstractNumId="35">
    <w:nsid w:val="547033EB"/>
    <w:multiLevelType w:val="multilevel"/>
    <w:tmpl w:val="547033EB"/>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36">
    <w:nsid w:val="5C60BCFB"/>
    <w:multiLevelType w:val="singleLevel"/>
    <w:tmpl w:val="5C60BCFB"/>
    <w:lvl w:ilvl="0" w:tentative="0">
      <w:start w:val="1"/>
      <w:numFmt w:val="decimal"/>
      <w:suff w:val="space"/>
      <w:lvlText w:val="%1."/>
      <w:lvlJc w:val="left"/>
    </w:lvl>
  </w:abstractNum>
  <w:abstractNum w:abstractNumId="37">
    <w:nsid w:val="5CC8CF8D"/>
    <w:multiLevelType w:val="singleLevel"/>
    <w:tmpl w:val="5CC8CF8D"/>
    <w:lvl w:ilvl="0" w:tentative="0">
      <w:start w:val="1"/>
      <w:numFmt w:val="decimal"/>
      <w:suff w:val="space"/>
      <w:lvlText w:val="%1."/>
      <w:lvlJc w:val="left"/>
    </w:lvl>
  </w:abstractNum>
  <w:abstractNum w:abstractNumId="38">
    <w:nsid w:val="604060A3"/>
    <w:multiLevelType w:val="multilevel"/>
    <w:tmpl w:val="604060A3"/>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39">
    <w:nsid w:val="6CD2190B"/>
    <w:multiLevelType w:val="singleLevel"/>
    <w:tmpl w:val="6CD2190B"/>
    <w:lvl w:ilvl="0" w:tentative="0">
      <w:start w:val="1"/>
      <w:numFmt w:val="decimal"/>
      <w:suff w:val="space"/>
      <w:lvlText w:val="%1."/>
      <w:lvlJc w:val="left"/>
    </w:lvl>
  </w:abstractNum>
  <w:abstractNum w:abstractNumId="40">
    <w:nsid w:val="6D35F8C9"/>
    <w:multiLevelType w:val="singleLevel"/>
    <w:tmpl w:val="6D35F8C9"/>
    <w:lvl w:ilvl="0" w:tentative="0">
      <w:start w:val="1"/>
      <w:numFmt w:val="decimal"/>
      <w:suff w:val="space"/>
      <w:lvlText w:val="[%1]"/>
      <w:lvlJc w:val="left"/>
    </w:lvl>
  </w:abstractNum>
  <w:abstractNum w:abstractNumId="41">
    <w:nsid w:val="790EA36B"/>
    <w:multiLevelType w:val="singleLevel"/>
    <w:tmpl w:val="790EA36B"/>
    <w:lvl w:ilvl="0" w:tentative="0">
      <w:start w:val="1"/>
      <w:numFmt w:val="decimal"/>
      <w:suff w:val="space"/>
      <w:lvlText w:val="%1."/>
      <w:lvlJc w:val="left"/>
    </w:lvl>
  </w:abstractNum>
  <w:abstractNum w:abstractNumId="42">
    <w:nsid w:val="7ABCFCF7"/>
    <w:multiLevelType w:val="singleLevel"/>
    <w:tmpl w:val="7ABCFCF7"/>
    <w:lvl w:ilvl="0" w:tentative="0">
      <w:start w:val="1"/>
      <w:numFmt w:val="decimal"/>
      <w:suff w:val="space"/>
      <w:lvlText w:val="%1."/>
      <w:lvlJc w:val="left"/>
    </w:lvl>
  </w:abstractNum>
  <w:abstractNum w:abstractNumId="43">
    <w:nsid w:val="7B4DB0C4"/>
    <w:multiLevelType w:val="singleLevel"/>
    <w:tmpl w:val="7B4DB0C4"/>
    <w:lvl w:ilvl="0" w:tentative="0">
      <w:start w:val="1"/>
      <w:numFmt w:val="decimal"/>
      <w:suff w:val="space"/>
      <w:lvlText w:val="%1."/>
      <w:lvlJc w:val="left"/>
    </w:lvl>
  </w:abstractNum>
  <w:abstractNum w:abstractNumId="44">
    <w:nsid w:val="7F4A5DA1"/>
    <w:multiLevelType w:val="multilevel"/>
    <w:tmpl w:val="7F4A5DA1"/>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45">
    <w:nsid w:val="7FA322A3"/>
    <w:multiLevelType w:val="singleLevel"/>
    <w:tmpl w:val="7FA322A3"/>
    <w:lvl w:ilvl="0" w:tentative="0">
      <w:start w:val="1"/>
      <w:numFmt w:val="decimal"/>
      <w:suff w:val="space"/>
      <w:lvlText w:val="%1."/>
      <w:lvlJc w:val="left"/>
    </w:lvl>
  </w:abstractNum>
  <w:num w:numId="1">
    <w:abstractNumId w:val="9"/>
  </w:num>
  <w:num w:numId="2">
    <w:abstractNumId w:val="25"/>
  </w:num>
  <w:num w:numId="3">
    <w:abstractNumId w:val="20"/>
  </w:num>
  <w:num w:numId="4">
    <w:abstractNumId w:val="41"/>
  </w:num>
  <w:num w:numId="5">
    <w:abstractNumId w:val="26"/>
  </w:num>
  <w:num w:numId="6">
    <w:abstractNumId w:val="43"/>
  </w:num>
  <w:num w:numId="7">
    <w:abstractNumId w:val="33"/>
  </w:num>
  <w:num w:numId="8">
    <w:abstractNumId w:val="4"/>
  </w:num>
  <w:num w:numId="9">
    <w:abstractNumId w:val="3"/>
  </w:num>
  <w:num w:numId="10">
    <w:abstractNumId w:val="45"/>
  </w:num>
  <w:num w:numId="11">
    <w:abstractNumId w:val="39"/>
  </w:num>
  <w:num w:numId="12">
    <w:abstractNumId w:val="28"/>
  </w:num>
  <w:num w:numId="13">
    <w:abstractNumId w:val="18"/>
  </w:num>
  <w:num w:numId="14">
    <w:abstractNumId w:val="31"/>
  </w:num>
  <w:num w:numId="15">
    <w:abstractNumId w:val="11"/>
  </w:num>
  <w:num w:numId="16">
    <w:abstractNumId w:val="15"/>
  </w:num>
  <w:num w:numId="17">
    <w:abstractNumId w:val="12"/>
  </w:num>
  <w:num w:numId="18">
    <w:abstractNumId w:val="42"/>
  </w:num>
  <w:num w:numId="19">
    <w:abstractNumId w:val="1"/>
  </w:num>
  <w:num w:numId="20">
    <w:abstractNumId w:val="21"/>
  </w:num>
  <w:num w:numId="21">
    <w:abstractNumId w:val="6"/>
  </w:num>
  <w:num w:numId="22">
    <w:abstractNumId w:val="34"/>
  </w:num>
  <w:num w:numId="23">
    <w:abstractNumId w:val="22"/>
  </w:num>
  <w:num w:numId="24">
    <w:abstractNumId w:val="10"/>
  </w:num>
  <w:num w:numId="25">
    <w:abstractNumId w:val="17"/>
  </w:num>
  <w:num w:numId="26">
    <w:abstractNumId w:val="13"/>
  </w:num>
  <w:num w:numId="27">
    <w:abstractNumId w:val="36"/>
  </w:num>
  <w:num w:numId="28">
    <w:abstractNumId w:val="23"/>
  </w:num>
  <w:num w:numId="29">
    <w:abstractNumId w:val="8"/>
  </w:num>
  <w:num w:numId="30">
    <w:abstractNumId w:val="29"/>
  </w:num>
  <w:num w:numId="31">
    <w:abstractNumId w:val="37"/>
  </w:num>
  <w:num w:numId="32">
    <w:abstractNumId w:val="16"/>
  </w:num>
  <w:num w:numId="33">
    <w:abstractNumId w:val="24"/>
  </w:num>
  <w:num w:numId="34">
    <w:abstractNumId w:val="32"/>
  </w:num>
  <w:num w:numId="35">
    <w:abstractNumId w:val="2"/>
  </w:num>
  <w:num w:numId="36">
    <w:abstractNumId w:val="35"/>
  </w:num>
  <w:num w:numId="37">
    <w:abstractNumId w:val="30"/>
  </w:num>
  <w:num w:numId="38">
    <w:abstractNumId w:val="44"/>
  </w:num>
  <w:num w:numId="39">
    <w:abstractNumId w:val="7"/>
  </w:num>
  <w:num w:numId="40">
    <w:abstractNumId w:val="19"/>
  </w:num>
  <w:num w:numId="41">
    <w:abstractNumId w:val="27"/>
  </w:num>
  <w:num w:numId="42">
    <w:abstractNumId w:val="14"/>
  </w:num>
  <w:num w:numId="43">
    <w:abstractNumId w:val="5"/>
  </w:num>
  <w:num w:numId="44">
    <w:abstractNumId w:val="38"/>
  </w:num>
  <w:num w:numId="45">
    <w:abstractNumId w:val="0"/>
  </w:num>
  <w:num w:numId="4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g2ZDJiOWVkZjcyMDE1ODBjNGM1NzkwZTNkNzI2YmIifQ=="/>
  </w:docVars>
  <w:rsids>
    <w:rsidRoot w:val="00172A27"/>
    <w:rsid w:val="002B3C09"/>
    <w:rsid w:val="009F1215"/>
    <w:rsid w:val="00A27F9F"/>
    <w:rsid w:val="011562D2"/>
    <w:rsid w:val="0119677B"/>
    <w:rsid w:val="011A7A6C"/>
    <w:rsid w:val="0145478B"/>
    <w:rsid w:val="01925AB4"/>
    <w:rsid w:val="01967BB6"/>
    <w:rsid w:val="01D9737F"/>
    <w:rsid w:val="01E2627D"/>
    <w:rsid w:val="02132F11"/>
    <w:rsid w:val="021F4C9A"/>
    <w:rsid w:val="02A66735"/>
    <w:rsid w:val="02C62933"/>
    <w:rsid w:val="02CE17E8"/>
    <w:rsid w:val="02D31247"/>
    <w:rsid w:val="038137A9"/>
    <w:rsid w:val="038976A5"/>
    <w:rsid w:val="03C17B39"/>
    <w:rsid w:val="03CE7CF1"/>
    <w:rsid w:val="03D01DCD"/>
    <w:rsid w:val="03EF0F88"/>
    <w:rsid w:val="03F86B1C"/>
    <w:rsid w:val="048D678B"/>
    <w:rsid w:val="04962AE2"/>
    <w:rsid w:val="04CD61FB"/>
    <w:rsid w:val="04EC4996"/>
    <w:rsid w:val="052A0696"/>
    <w:rsid w:val="055E32F7"/>
    <w:rsid w:val="05AE5667"/>
    <w:rsid w:val="05C23970"/>
    <w:rsid w:val="05C72C4A"/>
    <w:rsid w:val="05D800AD"/>
    <w:rsid w:val="05EB5181"/>
    <w:rsid w:val="068F7839"/>
    <w:rsid w:val="06BC7241"/>
    <w:rsid w:val="072A0393"/>
    <w:rsid w:val="07445D6A"/>
    <w:rsid w:val="079F1F8D"/>
    <w:rsid w:val="07DF33FF"/>
    <w:rsid w:val="07EF46DA"/>
    <w:rsid w:val="0822060B"/>
    <w:rsid w:val="082D0DDC"/>
    <w:rsid w:val="083B32B8"/>
    <w:rsid w:val="084E2AA7"/>
    <w:rsid w:val="08524D94"/>
    <w:rsid w:val="08781D99"/>
    <w:rsid w:val="08BF7A92"/>
    <w:rsid w:val="08E4382D"/>
    <w:rsid w:val="08E70136"/>
    <w:rsid w:val="08E95C34"/>
    <w:rsid w:val="097C1625"/>
    <w:rsid w:val="098708AE"/>
    <w:rsid w:val="09887819"/>
    <w:rsid w:val="09934AA0"/>
    <w:rsid w:val="09DA01D1"/>
    <w:rsid w:val="0A114317"/>
    <w:rsid w:val="0A1571F2"/>
    <w:rsid w:val="0A9B63EE"/>
    <w:rsid w:val="0ADF3D72"/>
    <w:rsid w:val="0AED5443"/>
    <w:rsid w:val="0B6748EB"/>
    <w:rsid w:val="0B763568"/>
    <w:rsid w:val="0BAD6035"/>
    <w:rsid w:val="0BFE7494"/>
    <w:rsid w:val="0C1C7A68"/>
    <w:rsid w:val="0CA746F4"/>
    <w:rsid w:val="0CFA3905"/>
    <w:rsid w:val="0D035227"/>
    <w:rsid w:val="0D1D5F20"/>
    <w:rsid w:val="0D1D75F3"/>
    <w:rsid w:val="0D2440BE"/>
    <w:rsid w:val="0D7D62E4"/>
    <w:rsid w:val="0DFF1B83"/>
    <w:rsid w:val="0E2322C1"/>
    <w:rsid w:val="0E3674D9"/>
    <w:rsid w:val="0E867D51"/>
    <w:rsid w:val="0EAD4424"/>
    <w:rsid w:val="0EAF7927"/>
    <w:rsid w:val="0EE76D69"/>
    <w:rsid w:val="0F580DB7"/>
    <w:rsid w:val="0F6C03BE"/>
    <w:rsid w:val="0FBE25DD"/>
    <w:rsid w:val="103365ED"/>
    <w:rsid w:val="1063645C"/>
    <w:rsid w:val="107101A9"/>
    <w:rsid w:val="107F6D0B"/>
    <w:rsid w:val="10864A10"/>
    <w:rsid w:val="10F205E3"/>
    <w:rsid w:val="11AB600B"/>
    <w:rsid w:val="11E25AB6"/>
    <w:rsid w:val="12015736"/>
    <w:rsid w:val="12132094"/>
    <w:rsid w:val="122612F3"/>
    <w:rsid w:val="1295180B"/>
    <w:rsid w:val="12C30A5F"/>
    <w:rsid w:val="12CF0C0F"/>
    <w:rsid w:val="12E5288F"/>
    <w:rsid w:val="12F43AFC"/>
    <w:rsid w:val="12F72695"/>
    <w:rsid w:val="135F0ED4"/>
    <w:rsid w:val="1368301C"/>
    <w:rsid w:val="13865A54"/>
    <w:rsid w:val="138D37B0"/>
    <w:rsid w:val="13B9499F"/>
    <w:rsid w:val="14066A17"/>
    <w:rsid w:val="14111FFD"/>
    <w:rsid w:val="141258FF"/>
    <w:rsid w:val="141A0205"/>
    <w:rsid w:val="148D1503"/>
    <w:rsid w:val="14E47AD1"/>
    <w:rsid w:val="155E61A1"/>
    <w:rsid w:val="16461969"/>
    <w:rsid w:val="16495FE4"/>
    <w:rsid w:val="16702E8A"/>
    <w:rsid w:val="175C7EF3"/>
    <w:rsid w:val="176F4EEF"/>
    <w:rsid w:val="17875FF8"/>
    <w:rsid w:val="17B1375A"/>
    <w:rsid w:val="17BA3117"/>
    <w:rsid w:val="17E910F8"/>
    <w:rsid w:val="17F453F5"/>
    <w:rsid w:val="183A374F"/>
    <w:rsid w:val="188D6D1D"/>
    <w:rsid w:val="18B60D92"/>
    <w:rsid w:val="19221892"/>
    <w:rsid w:val="19DD4C7B"/>
    <w:rsid w:val="19EC4A9D"/>
    <w:rsid w:val="1A4A30AE"/>
    <w:rsid w:val="1A5161A8"/>
    <w:rsid w:val="1A592FC2"/>
    <w:rsid w:val="1AA966CF"/>
    <w:rsid w:val="1B010C3A"/>
    <w:rsid w:val="1B3E4C43"/>
    <w:rsid w:val="1BB93664"/>
    <w:rsid w:val="1BE0460E"/>
    <w:rsid w:val="1BE925AE"/>
    <w:rsid w:val="1C7A65EA"/>
    <w:rsid w:val="1C8C02F2"/>
    <w:rsid w:val="1CB11B06"/>
    <w:rsid w:val="1CEA2CE8"/>
    <w:rsid w:val="1CEA59CF"/>
    <w:rsid w:val="1CF7500F"/>
    <w:rsid w:val="1D344093"/>
    <w:rsid w:val="1D540A4C"/>
    <w:rsid w:val="1D8E5099"/>
    <w:rsid w:val="1DB92685"/>
    <w:rsid w:val="1DBC7851"/>
    <w:rsid w:val="1DCD26CC"/>
    <w:rsid w:val="1DE01F9D"/>
    <w:rsid w:val="1E122476"/>
    <w:rsid w:val="1E5E6DE2"/>
    <w:rsid w:val="1EBD399D"/>
    <w:rsid w:val="1ED52813"/>
    <w:rsid w:val="1EE660B3"/>
    <w:rsid w:val="1F3B0BB8"/>
    <w:rsid w:val="202B3320"/>
    <w:rsid w:val="206936CA"/>
    <w:rsid w:val="20856AEB"/>
    <w:rsid w:val="21135FD2"/>
    <w:rsid w:val="21415B4F"/>
    <w:rsid w:val="21435075"/>
    <w:rsid w:val="2148100C"/>
    <w:rsid w:val="21B46FEF"/>
    <w:rsid w:val="21B87DD3"/>
    <w:rsid w:val="21C91279"/>
    <w:rsid w:val="21D97B35"/>
    <w:rsid w:val="228A6141"/>
    <w:rsid w:val="22A5149B"/>
    <w:rsid w:val="22B06CF8"/>
    <w:rsid w:val="22F67097"/>
    <w:rsid w:val="23424C88"/>
    <w:rsid w:val="2351536F"/>
    <w:rsid w:val="23E32EED"/>
    <w:rsid w:val="242D4168"/>
    <w:rsid w:val="245F009A"/>
    <w:rsid w:val="24710ED7"/>
    <w:rsid w:val="24FF3D57"/>
    <w:rsid w:val="25494FD2"/>
    <w:rsid w:val="25551BC9"/>
    <w:rsid w:val="255B45B1"/>
    <w:rsid w:val="256065E1"/>
    <w:rsid w:val="25771E44"/>
    <w:rsid w:val="25B03CB6"/>
    <w:rsid w:val="25CA383D"/>
    <w:rsid w:val="260B392E"/>
    <w:rsid w:val="262E24B2"/>
    <w:rsid w:val="266863F9"/>
    <w:rsid w:val="268F6EC9"/>
    <w:rsid w:val="269C55D5"/>
    <w:rsid w:val="26A10E3D"/>
    <w:rsid w:val="26CD1C32"/>
    <w:rsid w:val="27445DD9"/>
    <w:rsid w:val="27C00258"/>
    <w:rsid w:val="27C63B21"/>
    <w:rsid w:val="27D165A2"/>
    <w:rsid w:val="286B34B1"/>
    <w:rsid w:val="28852586"/>
    <w:rsid w:val="28862099"/>
    <w:rsid w:val="290556B4"/>
    <w:rsid w:val="296323DA"/>
    <w:rsid w:val="296E7010"/>
    <w:rsid w:val="2973544C"/>
    <w:rsid w:val="2A737DE5"/>
    <w:rsid w:val="2ABF1892"/>
    <w:rsid w:val="2ADA32F1"/>
    <w:rsid w:val="2B0F4649"/>
    <w:rsid w:val="2B7B7EAF"/>
    <w:rsid w:val="2BB60EE7"/>
    <w:rsid w:val="2BD72F6E"/>
    <w:rsid w:val="2BE048B9"/>
    <w:rsid w:val="2C0901E2"/>
    <w:rsid w:val="2C1B4875"/>
    <w:rsid w:val="2C394802"/>
    <w:rsid w:val="2C52228F"/>
    <w:rsid w:val="2C5D1363"/>
    <w:rsid w:val="2C73081C"/>
    <w:rsid w:val="2C983D35"/>
    <w:rsid w:val="2D012636"/>
    <w:rsid w:val="2D4E0C94"/>
    <w:rsid w:val="2D581574"/>
    <w:rsid w:val="2D675299"/>
    <w:rsid w:val="2D744701"/>
    <w:rsid w:val="2D9F2AA9"/>
    <w:rsid w:val="2DB45F04"/>
    <w:rsid w:val="2DC509E4"/>
    <w:rsid w:val="2DCE144A"/>
    <w:rsid w:val="2E037FBD"/>
    <w:rsid w:val="2E0A551A"/>
    <w:rsid w:val="2E1351B3"/>
    <w:rsid w:val="2ECC04AD"/>
    <w:rsid w:val="2EE02D95"/>
    <w:rsid w:val="2EE30245"/>
    <w:rsid w:val="2EE96354"/>
    <w:rsid w:val="2EEE6D79"/>
    <w:rsid w:val="2F1C5804"/>
    <w:rsid w:val="2F3F3400"/>
    <w:rsid w:val="2F6D64E3"/>
    <w:rsid w:val="2F762E67"/>
    <w:rsid w:val="2F922799"/>
    <w:rsid w:val="2FBB2F70"/>
    <w:rsid w:val="2FC811E9"/>
    <w:rsid w:val="2FF0026D"/>
    <w:rsid w:val="2FFA3281"/>
    <w:rsid w:val="302A135E"/>
    <w:rsid w:val="30860EC5"/>
    <w:rsid w:val="30957CC8"/>
    <w:rsid w:val="30977539"/>
    <w:rsid w:val="3104653D"/>
    <w:rsid w:val="315869FB"/>
    <w:rsid w:val="31C81974"/>
    <w:rsid w:val="31FD7870"/>
    <w:rsid w:val="32470AEB"/>
    <w:rsid w:val="326F6CC3"/>
    <w:rsid w:val="330B1B18"/>
    <w:rsid w:val="33105381"/>
    <w:rsid w:val="336B6A5B"/>
    <w:rsid w:val="3393097F"/>
    <w:rsid w:val="33B73ADB"/>
    <w:rsid w:val="34531AFF"/>
    <w:rsid w:val="34586FDF"/>
    <w:rsid w:val="347E663E"/>
    <w:rsid w:val="34C95288"/>
    <w:rsid w:val="34F5482E"/>
    <w:rsid w:val="352769B2"/>
    <w:rsid w:val="36384135"/>
    <w:rsid w:val="36690254"/>
    <w:rsid w:val="36790661"/>
    <w:rsid w:val="369F5ED2"/>
    <w:rsid w:val="36AE2FE8"/>
    <w:rsid w:val="36D822E6"/>
    <w:rsid w:val="37113475"/>
    <w:rsid w:val="37177FCA"/>
    <w:rsid w:val="371D0FDC"/>
    <w:rsid w:val="37A84621"/>
    <w:rsid w:val="37F16A56"/>
    <w:rsid w:val="384B7C91"/>
    <w:rsid w:val="38593824"/>
    <w:rsid w:val="387B0503"/>
    <w:rsid w:val="38B247E4"/>
    <w:rsid w:val="38C612A4"/>
    <w:rsid w:val="39007C46"/>
    <w:rsid w:val="390239BE"/>
    <w:rsid w:val="39045619"/>
    <w:rsid w:val="394A4C3B"/>
    <w:rsid w:val="394C2E8B"/>
    <w:rsid w:val="39A46823"/>
    <w:rsid w:val="3A181C5E"/>
    <w:rsid w:val="3A791B4D"/>
    <w:rsid w:val="3A7C154E"/>
    <w:rsid w:val="3AB72586"/>
    <w:rsid w:val="3AB84667"/>
    <w:rsid w:val="3B492578"/>
    <w:rsid w:val="3B4F577C"/>
    <w:rsid w:val="3B585B17"/>
    <w:rsid w:val="3B6E70E8"/>
    <w:rsid w:val="3BAC7DAB"/>
    <w:rsid w:val="3BDB10B8"/>
    <w:rsid w:val="3BDD601C"/>
    <w:rsid w:val="3BE178BA"/>
    <w:rsid w:val="3C3770DC"/>
    <w:rsid w:val="3CC05722"/>
    <w:rsid w:val="3CC642AA"/>
    <w:rsid w:val="3CEF4259"/>
    <w:rsid w:val="3D1D0DC6"/>
    <w:rsid w:val="3E384444"/>
    <w:rsid w:val="3E481EEC"/>
    <w:rsid w:val="3E661FA2"/>
    <w:rsid w:val="3E9B2694"/>
    <w:rsid w:val="3ECD1878"/>
    <w:rsid w:val="3F1407C4"/>
    <w:rsid w:val="3F63308A"/>
    <w:rsid w:val="4060552B"/>
    <w:rsid w:val="409273D5"/>
    <w:rsid w:val="40AB4C9D"/>
    <w:rsid w:val="40AE30AC"/>
    <w:rsid w:val="40F06FE1"/>
    <w:rsid w:val="40F535BD"/>
    <w:rsid w:val="40F634A0"/>
    <w:rsid w:val="40FA1BB9"/>
    <w:rsid w:val="41287570"/>
    <w:rsid w:val="412C27AE"/>
    <w:rsid w:val="41550F64"/>
    <w:rsid w:val="418B6F45"/>
    <w:rsid w:val="4194717D"/>
    <w:rsid w:val="41CA39BB"/>
    <w:rsid w:val="41EB6656"/>
    <w:rsid w:val="41F55F03"/>
    <w:rsid w:val="42014C57"/>
    <w:rsid w:val="42114C71"/>
    <w:rsid w:val="42613503"/>
    <w:rsid w:val="4278084D"/>
    <w:rsid w:val="428D43DF"/>
    <w:rsid w:val="42A70C68"/>
    <w:rsid w:val="42C24431"/>
    <w:rsid w:val="42C4601A"/>
    <w:rsid w:val="42D00689"/>
    <w:rsid w:val="437B276F"/>
    <w:rsid w:val="43811E23"/>
    <w:rsid w:val="439E311C"/>
    <w:rsid w:val="43A60B8B"/>
    <w:rsid w:val="43C113B5"/>
    <w:rsid w:val="43CF6B92"/>
    <w:rsid w:val="43E63922"/>
    <w:rsid w:val="43EF571F"/>
    <w:rsid w:val="43F25407"/>
    <w:rsid w:val="44030F25"/>
    <w:rsid w:val="444C46EB"/>
    <w:rsid w:val="445C7456"/>
    <w:rsid w:val="44620F3E"/>
    <w:rsid w:val="446848A9"/>
    <w:rsid w:val="44FF2D3B"/>
    <w:rsid w:val="45576E3F"/>
    <w:rsid w:val="45B408EB"/>
    <w:rsid w:val="45F31AA8"/>
    <w:rsid w:val="464707A6"/>
    <w:rsid w:val="46633CFD"/>
    <w:rsid w:val="46BF4C9C"/>
    <w:rsid w:val="46CE3131"/>
    <w:rsid w:val="46EC05E8"/>
    <w:rsid w:val="46EF4DF0"/>
    <w:rsid w:val="46FC7C9E"/>
    <w:rsid w:val="471C20EE"/>
    <w:rsid w:val="474C3E84"/>
    <w:rsid w:val="47626DDD"/>
    <w:rsid w:val="47B5612D"/>
    <w:rsid w:val="483D72AD"/>
    <w:rsid w:val="48575BD9"/>
    <w:rsid w:val="48645AFB"/>
    <w:rsid w:val="48743864"/>
    <w:rsid w:val="48E32CA1"/>
    <w:rsid w:val="48EC307F"/>
    <w:rsid w:val="48FC53FB"/>
    <w:rsid w:val="49275D14"/>
    <w:rsid w:val="4A2410AF"/>
    <w:rsid w:val="4A385CC4"/>
    <w:rsid w:val="4A630D97"/>
    <w:rsid w:val="4A8F4538"/>
    <w:rsid w:val="4AC40AD3"/>
    <w:rsid w:val="4AD73E2E"/>
    <w:rsid w:val="4AEC627C"/>
    <w:rsid w:val="4AF3760A"/>
    <w:rsid w:val="4AF8077D"/>
    <w:rsid w:val="4B090B01"/>
    <w:rsid w:val="4B2C3B0D"/>
    <w:rsid w:val="4B403E05"/>
    <w:rsid w:val="4B90799F"/>
    <w:rsid w:val="4B92526E"/>
    <w:rsid w:val="4BC4555C"/>
    <w:rsid w:val="4BDC207F"/>
    <w:rsid w:val="4C26537C"/>
    <w:rsid w:val="4C3103EA"/>
    <w:rsid w:val="4CB64C6B"/>
    <w:rsid w:val="4CCF11E6"/>
    <w:rsid w:val="4CF66F3E"/>
    <w:rsid w:val="4D1C7E93"/>
    <w:rsid w:val="4D235F23"/>
    <w:rsid w:val="4D8E361A"/>
    <w:rsid w:val="4D932B4F"/>
    <w:rsid w:val="4D947702"/>
    <w:rsid w:val="4D99745C"/>
    <w:rsid w:val="4DA450F6"/>
    <w:rsid w:val="4E507D60"/>
    <w:rsid w:val="4E5E123E"/>
    <w:rsid w:val="4EA036CA"/>
    <w:rsid w:val="4EAD0D9D"/>
    <w:rsid w:val="4EC94FA7"/>
    <w:rsid w:val="4ED97DE9"/>
    <w:rsid w:val="4EE74DEF"/>
    <w:rsid w:val="4F822D0B"/>
    <w:rsid w:val="50715393"/>
    <w:rsid w:val="50773A39"/>
    <w:rsid w:val="508367B6"/>
    <w:rsid w:val="50AE3355"/>
    <w:rsid w:val="50D17E3A"/>
    <w:rsid w:val="51033699"/>
    <w:rsid w:val="51143E36"/>
    <w:rsid w:val="51254AF4"/>
    <w:rsid w:val="51FA73FA"/>
    <w:rsid w:val="52137636"/>
    <w:rsid w:val="52217827"/>
    <w:rsid w:val="5251314E"/>
    <w:rsid w:val="52642B9B"/>
    <w:rsid w:val="52697DF5"/>
    <w:rsid w:val="526D6A4B"/>
    <w:rsid w:val="526F4CBB"/>
    <w:rsid w:val="52E438FC"/>
    <w:rsid w:val="53F421C2"/>
    <w:rsid w:val="540F4B4F"/>
    <w:rsid w:val="54540E6A"/>
    <w:rsid w:val="54AA5D51"/>
    <w:rsid w:val="550E4FF0"/>
    <w:rsid w:val="55315641"/>
    <w:rsid w:val="55D63DB0"/>
    <w:rsid w:val="560C3C75"/>
    <w:rsid w:val="560D05AA"/>
    <w:rsid w:val="56786427"/>
    <w:rsid w:val="56A70760"/>
    <w:rsid w:val="56D20918"/>
    <w:rsid w:val="56DA69BF"/>
    <w:rsid w:val="56F73FDE"/>
    <w:rsid w:val="573E4728"/>
    <w:rsid w:val="57435475"/>
    <w:rsid w:val="57877110"/>
    <w:rsid w:val="57980838"/>
    <w:rsid w:val="57BC467E"/>
    <w:rsid w:val="57CF6D09"/>
    <w:rsid w:val="58332132"/>
    <w:rsid w:val="58C73F6F"/>
    <w:rsid w:val="596A4F3B"/>
    <w:rsid w:val="596B5787"/>
    <w:rsid w:val="5A5D7A3A"/>
    <w:rsid w:val="5A607ADA"/>
    <w:rsid w:val="5ACF4B95"/>
    <w:rsid w:val="5B072CED"/>
    <w:rsid w:val="5B0D3DD0"/>
    <w:rsid w:val="5B3A10D4"/>
    <w:rsid w:val="5B3B4510"/>
    <w:rsid w:val="5B9958D3"/>
    <w:rsid w:val="5B9C28AF"/>
    <w:rsid w:val="5BFE21C0"/>
    <w:rsid w:val="5C4339D9"/>
    <w:rsid w:val="5C4C0928"/>
    <w:rsid w:val="5C566D9D"/>
    <w:rsid w:val="5C642CAF"/>
    <w:rsid w:val="5CCD3222"/>
    <w:rsid w:val="5CD10E2D"/>
    <w:rsid w:val="5D3046F0"/>
    <w:rsid w:val="5D3053CD"/>
    <w:rsid w:val="5D3A4C25"/>
    <w:rsid w:val="5D7B6374"/>
    <w:rsid w:val="5D8D03DF"/>
    <w:rsid w:val="5DB744C7"/>
    <w:rsid w:val="5DEC23C3"/>
    <w:rsid w:val="5E192A8C"/>
    <w:rsid w:val="5E3D32B0"/>
    <w:rsid w:val="5E483371"/>
    <w:rsid w:val="5E4E6BDA"/>
    <w:rsid w:val="5E5970FA"/>
    <w:rsid w:val="5F64242E"/>
    <w:rsid w:val="5F7858AF"/>
    <w:rsid w:val="5F8D3732"/>
    <w:rsid w:val="60151855"/>
    <w:rsid w:val="60716BAF"/>
    <w:rsid w:val="60740B95"/>
    <w:rsid w:val="607E751E"/>
    <w:rsid w:val="60966616"/>
    <w:rsid w:val="60A26CB0"/>
    <w:rsid w:val="61480013"/>
    <w:rsid w:val="614A681A"/>
    <w:rsid w:val="614D20BD"/>
    <w:rsid w:val="61CA54EA"/>
    <w:rsid w:val="61ED6709"/>
    <w:rsid w:val="61F77588"/>
    <w:rsid w:val="624D71A8"/>
    <w:rsid w:val="62500A46"/>
    <w:rsid w:val="62557F59"/>
    <w:rsid w:val="625B3673"/>
    <w:rsid w:val="627110E9"/>
    <w:rsid w:val="63147DE6"/>
    <w:rsid w:val="63161C90"/>
    <w:rsid w:val="63241094"/>
    <w:rsid w:val="634F2F3D"/>
    <w:rsid w:val="63827325"/>
    <w:rsid w:val="63C464CF"/>
    <w:rsid w:val="6412388D"/>
    <w:rsid w:val="645111D2"/>
    <w:rsid w:val="64561788"/>
    <w:rsid w:val="646802C9"/>
    <w:rsid w:val="647638BD"/>
    <w:rsid w:val="6481138B"/>
    <w:rsid w:val="64A84B6A"/>
    <w:rsid w:val="64B8279A"/>
    <w:rsid w:val="655D5954"/>
    <w:rsid w:val="65861A06"/>
    <w:rsid w:val="65E36238"/>
    <w:rsid w:val="664D10C7"/>
    <w:rsid w:val="66886A01"/>
    <w:rsid w:val="66901724"/>
    <w:rsid w:val="66D16DBA"/>
    <w:rsid w:val="67383DD6"/>
    <w:rsid w:val="6738758A"/>
    <w:rsid w:val="67414DAC"/>
    <w:rsid w:val="674A015A"/>
    <w:rsid w:val="678A1ED0"/>
    <w:rsid w:val="67AC4971"/>
    <w:rsid w:val="67BB5926"/>
    <w:rsid w:val="67D021D5"/>
    <w:rsid w:val="67D22629"/>
    <w:rsid w:val="68292279"/>
    <w:rsid w:val="68307350"/>
    <w:rsid w:val="685602EE"/>
    <w:rsid w:val="68637725"/>
    <w:rsid w:val="686A21E8"/>
    <w:rsid w:val="687938F3"/>
    <w:rsid w:val="688B0928"/>
    <w:rsid w:val="69362DAC"/>
    <w:rsid w:val="69996954"/>
    <w:rsid w:val="69A44B10"/>
    <w:rsid w:val="69B53FB1"/>
    <w:rsid w:val="69BE7FAA"/>
    <w:rsid w:val="69E84DCE"/>
    <w:rsid w:val="6A0B3BD1"/>
    <w:rsid w:val="6A5120AF"/>
    <w:rsid w:val="6A51741D"/>
    <w:rsid w:val="6A626C0B"/>
    <w:rsid w:val="6A745C1A"/>
    <w:rsid w:val="6A842A4E"/>
    <w:rsid w:val="6AB4042C"/>
    <w:rsid w:val="6ABF3149"/>
    <w:rsid w:val="6AD3421A"/>
    <w:rsid w:val="6B2A1E2D"/>
    <w:rsid w:val="6B2D7B77"/>
    <w:rsid w:val="6BA7361A"/>
    <w:rsid w:val="6BC76B50"/>
    <w:rsid w:val="6BCA7079"/>
    <w:rsid w:val="6C0A0D33"/>
    <w:rsid w:val="6C300388"/>
    <w:rsid w:val="6C83566D"/>
    <w:rsid w:val="6C9F50EE"/>
    <w:rsid w:val="6CD40BF2"/>
    <w:rsid w:val="6CFB510C"/>
    <w:rsid w:val="6D1C7EA3"/>
    <w:rsid w:val="6DD67814"/>
    <w:rsid w:val="6E89595D"/>
    <w:rsid w:val="6EEA46FD"/>
    <w:rsid w:val="6EED5F9B"/>
    <w:rsid w:val="6F1357CA"/>
    <w:rsid w:val="6F5266CD"/>
    <w:rsid w:val="6FA40E37"/>
    <w:rsid w:val="700C5673"/>
    <w:rsid w:val="70335FF0"/>
    <w:rsid w:val="704915C5"/>
    <w:rsid w:val="704B249F"/>
    <w:rsid w:val="705C4D2F"/>
    <w:rsid w:val="709A3BD7"/>
    <w:rsid w:val="712438B6"/>
    <w:rsid w:val="713959BF"/>
    <w:rsid w:val="71641657"/>
    <w:rsid w:val="71741E28"/>
    <w:rsid w:val="71AB6BAE"/>
    <w:rsid w:val="71B20DD6"/>
    <w:rsid w:val="71CD32EC"/>
    <w:rsid w:val="71CF1988"/>
    <w:rsid w:val="7203016C"/>
    <w:rsid w:val="724F7FCC"/>
    <w:rsid w:val="72DF209E"/>
    <w:rsid w:val="72E01547"/>
    <w:rsid w:val="731004AA"/>
    <w:rsid w:val="734C47C4"/>
    <w:rsid w:val="736451A1"/>
    <w:rsid w:val="737E4221"/>
    <w:rsid w:val="738D5053"/>
    <w:rsid w:val="739D02C3"/>
    <w:rsid w:val="73D6582A"/>
    <w:rsid w:val="74017DF2"/>
    <w:rsid w:val="742C1313"/>
    <w:rsid w:val="74685ACF"/>
    <w:rsid w:val="74E131DB"/>
    <w:rsid w:val="750864AC"/>
    <w:rsid w:val="7564494E"/>
    <w:rsid w:val="7564688B"/>
    <w:rsid w:val="75AC48DF"/>
    <w:rsid w:val="75FF0C10"/>
    <w:rsid w:val="76125563"/>
    <w:rsid w:val="762B34E8"/>
    <w:rsid w:val="763C4D91"/>
    <w:rsid w:val="769211D6"/>
    <w:rsid w:val="770B3462"/>
    <w:rsid w:val="771427C9"/>
    <w:rsid w:val="77536665"/>
    <w:rsid w:val="77C050CF"/>
    <w:rsid w:val="77E635C6"/>
    <w:rsid w:val="77E85551"/>
    <w:rsid w:val="77EC3337"/>
    <w:rsid w:val="780242BF"/>
    <w:rsid w:val="780C2EA6"/>
    <w:rsid w:val="784D67ED"/>
    <w:rsid w:val="786D3CA8"/>
    <w:rsid w:val="788778CC"/>
    <w:rsid w:val="7888207E"/>
    <w:rsid w:val="78DE68DB"/>
    <w:rsid w:val="78E90AFB"/>
    <w:rsid w:val="79124473"/>
    <w:rsid w:val="791660EE"/>
    <w:rsid w:val="79233D9B"/>
    <w:rsid w:val="79237F98"/>
    <w:rsid w:val="795D1F6F"/>
    <w:rsid w:val="79BD119B"/>
    <w:rsid w:val="79CB512B"/>
    <w:rsid w:val="79ED0198"/>
    <w:rsid w:val="7A473543"/>
    <w:rsid w:val="7A5E5F9F"/>
    <w:rsid w:val="7A6730A5"/>
    <w:rsid w:val="7A682DA3"/>
    <w:rsid w:val="7A7650C1"/>
    <w:rsid w:val="7A950B01"/>
    <w:rsid w:val="7AD26635"/>
    <w:rsid w:val="7B3E620A"/>
    <w:rsid w:val="7BBA2365"/>
    <w:rsid w:val="7C361371"/>
    <w:rsid w:val="7C58728C"/>
    <w:rsid w:val="7C5B5F78"/>
    <w:rsid w:val="7CE516A3"/>
    <w:rsid w:val="7CF23E52"/>
    <w:rsid w:val="7D143DA7"/>
    <w:rsid w:val="7D151A1A"/>
    <w:rsid w:val="7D8C4BD1"/>
    <w:rsid w:val="7DA44D30"/>
    <w:rsid w:val="7DED67B8"/>
    <w:rsid w:val="7E0C4C72"/>
    <w:rsid w:val="7E8339AC"/>
    <w:rsid w:val="7E847CD7"/>
    <w:rsid w:val="7EB51E7E"/>
    <w:rsid w:val="7ED711F9"/>
    <w:rsid w:val="7F1D6FB5"/>
    <w:rsid w:val="7F227392"/>
    <w:rsid w:val="7F3D3D94"/>
    <w:rsid w:val="7F402553"/>
    <w:rsid w:val="7F420B28"/>
    <w:rsid w:val="7F440B90"/>
    <w:rsid w:val="7F4B2C14"/>
    <w:rsid w:val="7F8007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textAlignment w:val="baseline"/>
    </w:pPr>
    <w:rPr>
      <w:rFonts w:ascii="Arial" w:hAnsi="Arial" w:cs="Arial" w:eastAsiaTheme="minorEastAsia"/>
      <w:snapToGrid w:val="0"/>
      <w:color w:val="000000"/>
      <w:sz w:val="21"/>
      <w:szCs w:val="21"/>
      <w:lang w:val="en-US" w:eastAsia="en-US"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6">
    <w:name w:val="Body Text"/>
    <w:basedOn w:val="1"/>
    <w:semiHidden/>
    <w:qFormat/>
    <w:uiPriority w:val="0"/>
    <w:rPr>
      <w:rFonts w:eastAsia="Arial"/>
    </w:rPr>
  </w:style>
  <w:style w:type="paragraph" w:styleId="7">
    <w:name w:val="toc 3"/>
    <w:basedOn w:val="1"/>
    <w:next w:val="1"/>
    <w:uiPriority w:val="0"/>
    <w:pPr>
      <w:ind w:left="840" w:leftChars="4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uiPriority w:val="0"/>
  </w:style>
  <w:style w:type="paragraph" w:styleId="11">
    <w:name w:val="toc 2"/>
    <w:basedOn w:val="1"/>
    <w:next w:val="1"/>
    <w:uiPriority w:val="0"/>
    <w:pPr>
      <w:ind w:left="420" w:leftChars="200"/>
    </w:p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table" w:styleId="14">
    <w:name w:val="Table Grid"/>
    <w:basedOn w:val="13"/>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FollowedHyperlink"/>
    <w:basedOn w:val="15"/>
    <w:qFormat/>
    <w:uiPriority w:val="0"/>
    <w:rPr>
      <w:color w:val="800080"/>
      <w:u w:val="single"/>
    </w:rPr>
  </w:style>
  <w:style w:type="character" w:styleId="18">
    <w:name w:val="Hyperlink"/>
    <w:basedOn w:val="15"/>
    <w:qFormat/>
    <w:uiPriority w:val="0"/>
    <w:rPr>
      <w:color w:val="0000FF"/>
      <w:u w:val="single"/>
    </w:rPr>
  </w:style>
  <w:style w:type="table" w:customStyle="1" w:styleId="19">
    <w:name w:val="Table Normal"/>
    <w:basedOn w:val="13"/>
    <w:semiHidden/>
    <w:unhideWhenUsed/>
    <w:qFormat/>
    <w:uiPriority w:val="0"/>
    <w:tblPr>
      <w:tblCellMar>
        <w:top w:w="0" w:type="dxa"/>
        <w:left w:w="0" w:type="dxa"/>
        <w:bottom w:w="0" w:type="dxa"/>
        <w:right w:w="0" w:type="dxa"/>
      </w:tblCellMar>
    </w:tblPr>
  </w:style>
  <w:style w:type="paragraph" w:customStyle="1" w:styleId="20">
    <w:name w:val="Table Text"/>
    <w:basedOn w:val="1"/>
    <w:semiHidden/>
    <w:qFormat/>
    <w:uiPriority w:val="0"/>
    <w:rPr>
      <w:rFonts w:ascii="宋体" w:hAnsi="宋体" w:eastAsia="宋体" w:cs="宋体"/>
      <w:sz w:val="32"/>
      <w:szCs w:val="3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71</Pages>
  <Words>18192</Words>
  <Characters>18778</Characters>
  <Lines>1</Lines>
  <Paragraphs>1</Paragraphs>
  <TotalTime>5</TotalTime>
  <ScaleCrop>false</ScaleCrop>
  <LinksUpToDate>false</LinksUpToDate>
  <CharactersWithSpaces>19014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2026-04-16T05:14:00Z</dcterms:created>
  <dc:creator>焦泳博</dc:creator>
  <cp:lastModifiedBy>焦泳博</cp:lastModifiedBy>
  <dcterms:modified xsi:type="dcterms:W3CDTF">2026-04-26T05:31:41Z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2C1771374A074905862B06BC3EC12CA4_13</vt:lpwstr>
  </property>
  <property fmtid="{D5CDD505-2E9C-101B-9397-08002B2CF9AE}" pid="4" name="KSOTemplateDocerSaveRecord">
    <vt:lpwstr>eyJoZGlkIjoiMGE4NjJlNDFiYmI3NTg0ODY4ZDg1MmRkMDY5ODU3MmUiLCJ1c2VySWQiOiIyNDgwMzM1OTIifQ==</vt:lpwstr>
  </property>
</Properties>
</file>