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18"/>
        <w:spacing w:before="106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2"/>
        </w:rPr>
        <w:t>低空经济基础设施框架指引</w:t>
      </w:r>
    </w:p>
    <w:p>
      <w:pPr>
        <w:ind w:left="2973"/>
        <w:spacing w:line="607" w:lineRule="exact"/>
        <w:outlineLvl w:val="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6"/>
          <w:position w:val="2"/>
        </w:rPr>
        <w:t>（2025</w:t>
      </w:r>
      <w:r>
        <w:rPr>
          <w:rFonts w:ascii="SimSun" w:hAnsi="SimSun" w:eastAsia="SimSun" w:cs="SimSun"/>
          <w:sz w:val="44"/>
          <w:szCs w:val="44"/>
          <w:spacing w:val="-97"/>
          <w:position w:val="2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6"/>
          <w:position w:val="2"/>
        </w:rPr>
        <w:t>版）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2739"/>
        <w:spacing w:before="117" w:line="218" w:lineRule="auto"/>
        <w:outlineLvl w:val="0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</w:rPr>
        <w:t>中国民用机场协会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9" w:firstLine="636"/>
        <w:spacing w:before="104" w:line="298" w:lineRule="auto"/>
        <w:jc w:val="both"/>
        <w:rPr/>
      </w:pPr>
      <w:r>
        <w:rPr>
          <w:spacing w:val="-1"/>
        </w:rPr>
        <w:t>为助力我国低空经济高质量发展，服务低空基础设施科</w:t>
      </w:r>
      <w:r>
        <w:rPr>
          <w:spacing w:val="-1"/>
        </w:rPr>
        <w:t>学规划、有序建设，现研究编制《低空经济基础设施框</w:t>
      </w:r>
      <w:r>
        <w:rPr>
          <w:spacing w:val="-2"/>
        </w:rPr>
        <w:t>架指</w:t>
      </w:r>
      <w:r>
        <w:rPr/>
        <w:t>引（2025</w:t>
      </w:r>
      <w:r>
        <w:rPr>
          <w:spacing w:val="-43"/>
        </w:rPr>
        <w:t xml:space="preserve"> </w:t>
      </w:r>
      <w:r>
        <w:rPr/>
        <w:t>版）》（以下简称《框架指引》）。</w:t>
      </w:r>
    </w:p>
    <w:p>
      <w:pPr>
        <w:ind w:left="38"/>
        <w:spacing w:before="253" w:line="196" w:lineRule="auto"/>
        <w:outlineLvl w:val="1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7"/>
        </w:rPr>
        <w:t>1</w:t>
      </w:r>
      <w:r>
        <w:rPr>
          <w:rFonts w:ascii="DengXian" w:hAnsi="DengXian" w:eastAsia="DengXian" w:cs="DengXian"/>
          <w:sz w:val="32"/>
          <w:szCs w:val="32"/>
          <w:spacing w:val="7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7"/>
        </w:rPr>
        <w:t>总则</w:t>
      </w:r>
    </w:p>
    <w:p>
      <w:pPr>
        <w:ind w:left="38"/>
        <w:spacing w:before="309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4"/>
        </w:rPr>
        <w:t>1.1</w:t>
      </w:r>
      <w:r>
        <w:rPr>
          <w:rFonts w:ascii="DengXian" w:hAnsi="DengXian" w:eastAsia="DengXian" w:cs="DengXian"/>
          <w:sz w:val="32"/>
          <w:szCs w:val="32"/>
          <w:spacing w:val="74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4"/>
        </w:rPr>
        <w:t>定位</w:t>
      </w:r>
    </w:p>
    <w:p>
      <w:pPr>
        <w:pStyle w:val="BodyText"/>
        <w:ind w:left="36" w:firstLine="637"/>
        <w:spacing w:before="272" w:line="300" w:lineRule="auto"/>
        <w:jc w:val="both"/>
        <w:rPr/>
      </w:pPr>
      <w:r>
        <w:rPr>
          <w:spacing w:val="-1"/>
        </w:rPr>
        <w:t>低空经济基础设施，由支撑低空飞行活动及低空经济相</w:t>
      </w:r>
      <w:r>
        <w:rPr>
          <w:spacing w:val="-1"/>
        </w:rPr>
        <w:t>关产业发展的物理基础设施和信息基础设施组成。本《框架</w:t>
      </w:r>
      <w:r>
        <w:rPr>
          <w:spacing w:val="-1"/>
        </w:rPr>
        <w:t>指引》以无人驾驶航空基础设施为主，兼顾传统通用航空基</w:t>
      </w:r>
      <w:r>
        <w:rPr>
          <w:spacing w:val="1"/>
        </w:rPr>
        <w:t>础设施，为低空经济基础设施规划建设提供参考。</w:t>
      </w:r>
    </w:p>
    <w:p>
      <w:pPr>
        <w:ind w:left="38"/>
        <w:spacing w:before="238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2"/>
        </w:rPr>
        <w:t>1.2</w:t>
      </w:r>
      <w:r>
        <w:rPr>
          <w:rFonts w:ascii="DengXian" w:hAnsi="DengXian" w:eastAsia="DengXian" w:cs="DengXian"/>
          <w:sz w:val="32"/>
          <w:szCs w:val="32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2"/>
        </w:rPr>
        <w:t>文件依据</w:t>
      </w:r>
    </w:p>
    <w:p>
      <w:pPr>
        <w:pStyle w:val="BodyText"/>
        <w:ind w:left="668"/>
        <w:spacing w:before="268" w:line="219" w:lineRule="auto"/>
        <w:rPr/>
      </w:pPr>
      <w:r>
        <w:rPr>
          <w:spacing w:val="2"/>
        </w:rPr>
        <w:t>《无人驾驶航空器飞行管理暂行条例》</w:t>
      </w:r>
    </w:p>
    <w:p>
      <w:pPr>
        <w:pStyle w:val="BodyText"/>
        <w:ind w:left="668"/>
        <w:spacing w:before="149" w:line="219" w:lineRule="auto"/>
        <w:rPr/>
      </w:pPr>
      <w:r>
        <w:rPr>
          <w:spacing w:val="2"/>
        </w:rPr>
        <w:t>《民用无人驾驶航空器运行安全管理规则》</w:t>
      </w:r>
    </w:p>
    <w:p>
      <w:pPr>
        <w:pStyle w:val="BodyText"/>
        <w:ind w:right="19"/>
        <w:spacing w:before="138" w:line="220" w:lineRule="auto"/>
        <w:jc w:val="right"/>
        <w:rPr/>
      </w:pPr>
      <w:r>
        <w:rPr/>
        <w:t>《通用航空装备创新应用实施方案（2024-2030</w:t>
      </w:r>
      <w:r>
        <w:rPr>
          <w:spacing w:val="-27"/>
        </w:rPr>
        <w:t xml:space="preserve"> </w:t>
      </w:r>
      <w:r>
        <w:rPr/>
        <w:t>年）》</w:t>
      </w:r>
    </w:p>
    <w:p>
      <w:pPr>
        <w:pStyle w:val="BodyText"/>
        <w:ind w:left="668"/>
        <w:spacing w:before="134" w:line="220" w:lineRule="auto"/>
        <w:rPr/>
      </w:pPr>
      <w:r>
        <w:rPr>
          <w:spacing w:val="2"/>
        </w:rPr>
        <w:t>《民用无人驾驶航空法规标准体系构建指南</w:t>
      </w:r>
      <w:r>
        <w:rPr>
          <w:spacing w:val="-33"/>
        </w:rPr>
        <w:t xml:space="preserve"> </w:t>
      </w:r>
      <w:r>
        <w:rPr>
          <w:spacing w:val="2"/>
        </w:rPr>
        <w:t>V1.0》</w:t>
      </w:r>
    </w:p>
    <w:p>
      <w:pPr>
        <w:pStyle w:val="BodyText"/>
        <w:ind w:left="668"/>
        <w:spacing w:before="147" w:line="219" w:lineRule="auto"/>
        <w:rPr/>
      </w:pPr>
      <w:r>
        <w:rPr>
          <w:spacing w:val="2"/>
        </w:rPr>
        <w:t>《低空飞行服务保障体系建设总体方案》</w:t>
      </w:r>
    </w:p>
    <w:p>
      <w:pPr>
        <w:pStyle w:val="BodyText"/>
        <w:ind w:left="668"/>
        <w:spacing w:before="137" w:line="220" w:lineRule="auto"/>
        <w:rPr/>
      </w:pPr>
      <w:r>
        <w:rPr/>
        <w:t>《通用机场管理规定》等</w:t>
      </w:r>
    </w:p>
    <w:p>
      <w:pPr>
        <w:ind w:left="38"/>
        <w:spacing w:before="378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2"/>
        </w:rPr>
        <w:t>1.3</w:t>
      </w:r>
      <w:r>
        <w:rPr>
          <w:rFonts w:ascii="DengXian" w:hAnsi="DengXian" w:eastAsia="DengXian" w:cs="DengXian"/>
          <w:sz w:val="32"/>
          <w:szCs w:val="32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2"/>
        </w:rPr>
        <w:t>构建原则</w:t>
      </w:r>
    </w:p>
    <w:p>
      <w:pPr>
        <w:pStyle w:val="BodyText"/>
        <w:ind w:left="687"/>
        <w:spacing w:before="269" w:line="218" w:lineRule="auto"/>
        <w:rPr/>
      </w:pPr>
      <w:r>
        <w:rPr/>
        <w:t>系统性：注重传统设施与新型设施的衔接。</w:t>
      </w:r>
    </w:p>
    <w:p>
      <w:pPr>
        <w:spacing w:line="218" w:lineRule="auto"/>
        <w:sectPr>
          <w:footerReference w:type="default" r:id="rId1"/>
          <w:pgSz w:w="11905" w:h="16836"/>
          <w:pgMar w:top="1354" w:right="1775" w:bottom="1226" w:left="1785" w:header="0" w:footer="976" w:gutter="0"/>
        </w:sectPr>
        <w:rPr/>
      </w:pPr>
    </w:p>
    <w:p>
      <w:pPr>
        <w:pStyle w:val="BodyText"/>
        <w:ind w:left="37" w:right="1" w:firstLine="643"/>
        <w:spacing w:before="151" w:line="301" w:lineRule="auto"/>
        <w:rPr/>
      </w:pPr>
      <w:r>
        <w:rPr>
          <w:spacing w:val="-1"/>
        </w:rPr>
        <w:t>实用性：注重无人机、eVTOL</w:t>
      </w:r>
      <w:r>
        <w:rPr>
          <w:spacing w:val="-1"/>
        </w:rPr>
        <w:t xml:space="preserve"> </w:t>
      </w:r>
      <w:r>
        <w:rPr>
          <w:spacing w:val="-1"/>
        </w:rPr>
        <w:t>等新型航空器运行及相关</w:t>
      </w:r>
      <w:r>
        <w:rPr>
          <w:spacing w:val="-12"/>
        </w:rPr>
        <w:t>业态。</w:t>
      </w:r>
    </w:p>
    <w:p>
      <w:pPr>
        <w:pStyle w:val="BodyText"/>
        <w:ind w:left="46" w:firstLine="628"/>
        <w:spacing w:before="2" w:line="298" w:lineRule="auto"/>
        <w:rPr/>
      </w:pPr>
      <w:r>
        <w:rPr>
          <w:spacing w:val="-1"/>
        </w:rPr>
        <w:t>协同性：注重低空新型基础设施与城市建设发展有机融</w:t>
      </w:r>
      <w:r>
        <w:rPr>
          <w:spacing w:val="-17"/>
        </w:rPr>
        <w:t>合。</w:t>
      </w:r>
    </w:p>
    <w:p>
      <w:pPr>
        <w:pStyle w:val="BodyText"/>
        <w:ind w:left="55" w:right="2" w:firstLine="621"/>
        <w:spacing w:line="305" w:lineRule="auto"/>
        <w:rPr/>
      </w:pPr>
      <w:r>
        <w:rPr>
          <w:spacing w:val="-5"/>
        </w:rPr>
        <w:t>创新性：注重人工智能、低轨卫星、5G-A</w:t>
      </w:r>
      <w:r>
        <w:rPr>
          <w:spacing w:val="-48"/>
        </w:rPr>
        <w:t xml:space="preserve"> </w:t>
      </w:r>
      <w:r>
        <w:rPr>
          <w:spacing w:val="-5"/>
        </w:rPr>
        <w:t>等新技术在低</w:t>
      </w:r>
      <w:r>
        <w:rPr>
          <w:spacing w:val="-5"/>
        </w:rPr>
        <w:t>空经济领域的应用。</w:t>
      </w:r>
    </w:p>
    <w:p>
      <w:pPr>
        <w:ind w:left="38"/>
        <w:spacing w:before="230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2"/>
        </w:rPr>
        <w:t>1.4</w:t>
      </w:r>
      <w:r>
        <w:rPr>
          <w:rFonts w:ascii="DengXian" w:hAnsi="DengXian" w:eastAsia="DengXian" w:cs="DengXian"/>
          <w:sz w:val="32"/>
          <w:szCs w:val="32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2"/>
        </w:rPr>
        <w:t>框架说明</w:t>
      </w:r>
    </w:p>
    <w:p>
      <w:pPr>
        <w:pStyle w:val="BodyText"/>
        <w:ind w:left="36" w:right="2" w:firstLine="632"/>
        <w:spacing w:before="270" w:line="300" w:lineRule="auto"/>
        <w:jc w:val="both"/>
        <w:rPr/>
      </w:pPr>
      <w:r>
        <w:rPr>
          <w:spacing w:val="-1"/>
        </w:rPr>
        <w:t>《框架指引》构建多级指标体系，划分为低空空管基础</w:t>
      </w:r>
      <w:r>
        <w:rPr>
          <w:spacing w:val="-1"/>
        </w:rPr>
        <w:t>设施、低空起降基础设施、低空产业配套基础设施和低空应</w:t>
      </w:r>
      <w:r>
        <w:rPr>
          <w:spacing w:val="-5"/>
        </w:rPr>
        <w:t>用场景配套基础设施</w:t>
      </w:r>
      <w:r>
        <w:rPr>
          <w:spacing w:val="-33"/>
        </w:rPr>
        <w:t xml:space="preserve"> </w:t>
      </w:r>
      <w:r>
        <w:rPr>
          <w:spacing w:val="-5"/>
        </w:rPr>
        <w:t>4</w:t>
      </w:r>
      <w:r>
        <w:rPr>
          <w:spacing w:val="-5"/>
        </w:rPr>
        <w:t xml:space="preserve"> </w:t>
      </w:r>
      <w:r>
        <w:rPr>
          <w:spacing w:val="-5"/>
        </w:rPr>
        <w:t>个一级指标，及</w:t>
      </w:r>
      <w:r>
        <w:rPr>
          <w:spacing w:val="-5"/>
        </w:rPr>
        <w:t xml:space="preserve"> </w:t>
      </w:r>
      <w:r>
        <w:rPr>
          <w:spacing w:val="-5"/>
        </w:rPr>
        <w:t>21</w:t>
      </w:r>
      <w:r>
        <w:rPr>
          <w:spacing w:val="-5"/>
        </w:rPr>
        <w:t xml:space="preserve"> </w:t>
      </w:r>
      <w:r>
        <w:rPr>
          <w:spacing w:val="-5"/>
        </w:rPr>
        <w:t>个二级指标，明</w:t>
      </w:r>
      <w:r>
        <w:rPr>
          <w:spacing w:val="-2"/>
        </w:rPr>
        <w:t>晰研究方向与建设发展路径，</w:t>
      </w:r>
      <w:r>
        <w:rPr>
          <w:spacing w:val="-78"/>
        </w:rPr>
        <w:t xml:space="preserve"> </w:t>
      </w:r>
      <w:r>
        <w:rPr>
          <w:spacing w:val="-2"/>
        </w:rPr>
        <w:t>不涉及具体技术解释。</w:t>
      </w:r>
    </w:p>
    <w:p>
      <w:pPr>
        <w:ind w:left="33"/>
        <w:spacing w:before="239" w:line="196" w:lineRule="auto"/>
        <w:outlineLvl w:val="1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</w:rPr>
        <w:t>2</w:t>
      </w:r>
      <w:r>
        <w:rPr>
          <w:rFonts w:ascii="DengXian" w:hAnsi="DengXian" w:eastAsia="DengXian" w:cs="DengXian"/>
          <w:sz w:val="32"/>
          <w:szCs w:val="32"/>
          <w:spacing w:val="76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</w:rPr>
        <w:t>框架主体结构</w:t>
      </w:r>
    </w:p>
    <w:p>
      <w:pPr>
        <w:ind w:left="33"/>
        <w:spacing w:before="307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1"/>
        </w:rPr>
        <w:t>2.1</w:t>
      </w:r>
      <w:r>
        <w:rPr>
          <w:rFonts w:ascii="DengXian" w:hAnsi="DengXian" w:eastAsia="DengXian" w:cs="DengXian"/>
          <w:sz w:val="32"/>
          <w:szCs w:val="32"/>
          <w:spacing w:val="7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低空空管基础设施</w:t>
      </w:r>
    </w:p>
    <w:p>
      <w:pPr>
        <w:pStyle w:val="BodyText"/>
        <w:ind w:left="37" w:firstLine="649"/>
        <w:spacing w:before="282" w:line="298" w:lineRule="auto"/>
        <w:rPr/>
      </w:pPr>
      <w:r>
        <w:rPr>
          <w:spacing w:val="-1"/>
        </w:rPr>
        <w:t>包括保障低空安全高效运行、支持低空空域科学合</w:t>
      </w:r>
      <w:r>
        <w:rPr>
          <w:spacing w:val="-2"/>
        </w:rPr>
        <w:t>规使</w:t>
      </w:r>
      <w:r>
        <w:rPr>
          <w:spacing w:val="-1"/>
        </w:rPr>
        <w:t>用的基础设施，如低空空域使用，低空通信、导航、监视、</w:t>
      </w:r>
      <w:r>
        <w:rPr>
          <w:spacing w:val="2"/>
        </w:rPr>
        <w:t>气象设施，低空安防设施，低空飞行服务信息化平</w:t>
      </w:r>
      <w:r>
        <w:rPr>
          <w:spacing w:val="1"/>
        </w:rPr>
        <w:t>台等。</w:t>
      </w:r>
    </w:p>
    <w:p>
      <w:pPr>
        <w:pStyle w:val="BodyText"/>
        <w:ind w:left="33"/>
        <w:spacing w:before="202" w:line="237" w:lineRule="auto"/>
        <w:rPr/>
      </w:pPr>
      <w:r>
        <w:rPr>
          <w:rFonts w:ascii="DengXian" w:hAnsi="DengXian" w:eastAsia="DengXian" w:cs="DengXian"/>
          <w:spacing w:val="1"/>
        </w:rPr>
        <w:t>2.1.1</w:t>
      </w:r>
      <w:r>
        <w:rPr>
          <w:rFonts w:ascii="DengXian" w:hAnsi="DengXian" w:eastAsia="DengXian" w:cs="DengXian"/>
          <w:spacing w:val="88"/>
        </w:rPr>
        <w:t xml:space="preserve"> </w:t>
      </w:r>
      <w:r>
        <w:rPr>
          <w:spacing w:val="1"/>
        </w:rPr>
        <w:t>低空空域使用相关基础设施</w:t>
      </w:r>
    </w:p>
    <w:p>
      <w:pPr>
        <w:pStyle w:val="BodyText"/>
        <w:ind w:left="39" w:firstLine="647"/>
        <w:spacing w:before="159" w:line="307" w:lineRule="auto"/>
        <w:rPr/>
      </w:pPr>
      <w:r>
        <w:rPr>
          <w:spacing w:val="-1"/>
        </w:rPr>
        <w:t>包括低空数字底座、低空网格编码、无人机电子围栏设</w:t>
      </w:r>
      <w:r>
        <w:rPr>
          <w:spacing w:val="-13"/>
        </w:rPr>
        <w:t>置等。</w:t>
      </w:r>
    </w:p>
    <w:p>
      <w:pPr>
        <w:pStyle w:val="BodyText"/>
        <w:ind w:left="33"/>
        <w:spacing w:before="173" w:line="237" w:lineRule="auto"/>
        <w:rPr/>
      </w:pPr>
      <w:r>
        <w:rPr>
          <w:rFonts w:ascii="DengXian" w:hAnsi="DengXian" w:eastAsia="DengXian" w:cs="DengXian"/>
          <w:spacing w:val="1"/>
        </w:rPr>
        <w:t>2.1.2 </w:t>
      </w:r>
      <w:r>
        <w:rPr>
          <w:spacing w:val="1"/>
        </w:rPr>
        <w:t>低空通信、导航、监视设施</w:t>
      </w:r>
    </w:p>
    <w:p>
      <w:pPr>
        <w:pStyle w:val="BodyText"/>
        <w:ind w:left="33"/>
        <w:spacing w:before="206" w:line="237" w:lineRule="auto"/>
        <w:rPr/>
      </w:pPr>
      <w:r>
        <w:rPr>
          <w:rFonts w:ascii="DengXian" w:hAnsi="DengXian" w:eastAsia="DengXian" w:cs="DengXian"/>
          <w:spacing w:val="-2"/>
        </w:rPr>
        <w:t>2.1.2.1  </w:t>
      </w:r>
      <w:r>
        <w:rPr>
          <w:spacing w:val="-2"/>
        </w:rPr>
        <w:t>通信网络</w:t>
      </w:r>
    </w:p>
    <w:p>
      <w:pPr>
        <w:pStyle w:val="BodyText"/>
        <w:ind w:left="37" w:right="27" w:firstLine="649"/>
        <w:spacing w:before="122" w:line="299" w:lineRule="auto"/>
        <w:rPr/>
      </w:pPr>
      <w:r>
        <w:rPr>
          <w:spacing w:val="-2"/>
        </w:rPr>
        <w:t>包括蜂窝通信（4G、5G、5G-A）、卫星通信、甚高频通</w:t>
      </w:r>
      <w:r>
        <w:rPr>
          <w:spacing w:val="-12"/>
        </w:rPr>
        <w:t>信等。</w:t>
      </w:r>
    </w:p>
    <w:p>
      <w:pPr>
        <w:spacing w:line="299" w:lineRule="auto"/>
        <w:sectPr>
          <w:footerReference w:type="default" r:id="rId2"/>
          <w:pgSz w:w="11905" w:h="16836"/>
          <w:pgMar w:top="1431" w:right="1775" w:bottom="1226" w:left="1785" w:header="0" w:footer="976" w:gutter="0"/>
        </w:sectPr>
        <w:rPr/>
      </w:pPr>
    </w:p>
    <w:p>
      <w:pPr>
        <w:pStyle w:val="BodyText"/>
        <w:ind w:left="33"/>
        <w:spacing w:before="188" w:line="238" w:lineRule="auto"/>
        <w:rPr/>
      </w:pPr>
      <w:r>
        <w:rPr>
          <w:rFonts w:ascii="DengXian" w:hAnsi="DengXian" w:eastAsia="DengXian" w:cs="DengXian"/>
        </w:rPr>
        <w:t>2.1.2.2</w:t>
      </w:r>
      <w:r>
        <w:rPr>
          <w:rFonts w:ascii="DengXian" w:hAnsi="DengXian" w:eastAsia="DengXian" w:cs="DengXian"/>
          <w:spacing w:val="80"/>
        </w:rPr>
        <w:t xml:space="preserve"> </w:t>
      </w:r>
      <w:r>
        <w:rPr/>
        <w:t>低空导航设施</w:t>
      </w:r>
    </w:p>
    <w:p>
      <w:pPr>
        <w:pStyle w:val="BodyText"/>
        <w:ind w:left="68" w:right="1" w:firstLine="618"/>
        <w:spacing w:before="121" w:line="298" w:lineRule="auto"/>
        <w:rPr/>
      </w:pPr>
      <w:r>
        <w:rPr>
          <w:spacing w:val="-1"/>
        </w:rPr>
        <w:t>包括卫星导航（北斗等）、RTK</w:t>
      </w:r>
      <w:r>
        <w:rPr>
          <w:spacing w:val="-1"/>
        </w:rPr>
        <w:t xml:space="preserve"> </w:t>
      </w:r>
      <w:r>
        <w:rPr>
          <w:spacing w:val="-1"/>
        </w:rPr>
        <w:t>定位增强、无线电导航</w:t>
      </w:r>
      <w:r>
        <w:rPr>
          <w:spacing w:val="-19"/>
        </w:rPr>
        <w:t>台等。</w:t>
      </w:r>
    </w:p>
    <w:p>
      <w:pPr>
        <w:pStyle w:val="BodyText"/>
        <w:ind w:left="33"/>
        <w:spacing w:before="131" w:line="238" w:lineRule="auto"/>
        <w:rPr/>
      </w:pPr>
      <w:r>
        <w:rPr>
          <w:rFonts w:ascii="DengXian" w:hAnsi="DengXian" w:eastAsia="DengXian" w:cs="DengXian"/>
        </w:rPr>
        <w:t>2.1.2.3</w:t>
      </w:r>
      <w:r>
        <w:rPr>
          <w:rFonts w:ascii="DengXian" w:hAnsi="DengXian" w:eastAsia="DengXian" w:cs="DengXian"/>
          <w:spacing w:val="80"/>
        </w:rPr>
        <w:t xml:space="preserve"> </w:t>
      </w:r>
      <w:r>
        <w:rPr/>
        <w:t>低空监视设施</w:t>
      </w:r>
    </w:p>
    <w:p>
      <w:pPr>
        <w:pStyle w:val="BodyText"/>
        <w:ind w:left="39" w:right="1" w:firstLine="647"/>
        <w:spacing w:before="108" w:line="301" w:lineRule="auto"/>
        <w:rPr/>
      </w:pPr>
      <w:r>
        <w:rPr>
          <w:spacing w:val="-1"/>
        </w:rPr>
        <w:t>包括：合作目标监视方式，网络式运行识别、广</w:t>
      </w:r>
      <w:r>
        <w:rPr>
          <w:spacing w:val="-2"/>
        </w:rPr>
        <w:t>播式运</w:t>
      </w:r>
      <w:r>
        <w:rPr>
          <w:spacing w:val="-1"/>
        </w:rPr>
        <w:t>行识别（Remote</w:t>
      </w:r>
      <w:r>
        <w:rPr>
          <w:spacing w:val="-1"/>
        </w:rPr>
        <w:t xml:space="preserve"> </w:t>
      </w:r>
      <w:r>
        <w:rPr>
          <w:spacing w:val="-1"/>
        </w:rPr>
        <w:t>ID）、广播式自动相关监视（ADS-B）等；</w:t>
      </w:r>
      <w:r>
        <w:rPr>
          <w:spacing w:val="-5"/>
        </w:rPr>
        <w:t>非合作目监视方式，5G-A</w:t>
      </w:r>
      <w:r>
        <w:rPr>
          <w:spacing w:val="-40"/>
        </w:rPr>
        <w:t xml:space="preserve"> </w:t>
      </w:r>
      <w:r>
        <w:rPr>
          <w:spacing w:val="-5"/>
        </w:rPr>
        <w:t>通感一体、低空雷达、无线电侦测</w:t>
      </w:r>
      <w:r>
        <w:rPr>
          <w:spacing w:val="3"/>
        </w:rPr>
        <w:t>（</w:t>
      </w:r>
      <w:r>
        <w:rPr/>
        <w:t>TDOA</w:t>
      </w:r>
      <w:r>
        <w:rPr>
          <w:spacing w:val="3"/>
        </w:rPr>
        <w:t>、</w:t>
      </w:r>
      <w:r>
        <w:rPr/>
        <w:t>AOA</w:t>
      </w:r>
      <w:r>
        <w:rPr>
          <w:spacing w:val="3"/>
        </w:rPr>
        <w:t>）、光电探测等。</w:t>
      </w:r>
    </w:p>
    <w:p>
      <w:pPr>
        <w:pStyle w:val="BodyText"/>
        <w:ind w:left="33"/>
        <w:spacing w:before="195" w:line="238" w:lineRule="auto"/>
        <w:rPr/>
      </w:pPr>
      <w:r>
        <w:rPr>
          <w:rFonts w:ascii="DengXian" w:hAnsi="DengXian" w:eastAsia="DengXian" w:cs="DengXian"/>
          <w:spacing w:val="-1"/>
        </w:rPr>
        <w:t>2.1.3</w:t>
      </w:r>
      <w:r>
        <w:rPr>
          <w:rFonts w:ascii="DengXian" w:hAnsi="DengXian" w:eastAsia="DengXian" w:cs="DengXian"/>
          <w:spacing w:val="89"/>
        </w:rPr>
        <w:t xml:space="preserve"> </w:t>
      </w:r>
      <w:r>
        <w:rPr>
          <w:spacing w:val="-1"/>
        </w:rPr>
        <w:t>低空气象设施</w:t>
      </w:r>
    </w:p>
    <w:p>
      <w:pPr>
        <w:pStyle w:val="BodyText"/>
        <w:ind w:left="687"/>
        <w:spacing w:before="156" w:line="221" w:lineRule="auto"/>
        <w:rPr/>
      </w:pPr>
      <w:r>
        <w:rPr>
          <w:spacing w:val="-1"/>
        </w:rPr>
        <w:t>包括气象监测点、气象监测站等。</w:t>
      </w:r>
    </w:p>
    <w:p>
      <w:pPr>
        <w:pStyle w:val="BodyText"/>
        <w:ind w:left="33"/>
        <w:spacing w:before="337" w:line="238" w:lineRule="auto"/>
        <w:rPr/>
      </w:pPr>
      <w:r>
        <w:rPr>
          <w:rFonts w:ascii="DengXian" w:hAnsi="DengXian" w:eastAsia="DengXian" w:cs="DengXian"/>
          <w:spacing w:val="-1"/>
        </w:rPr>
        <w:t>2.1.4</w:t>
      </w:r>
      <w:r>
        <w:rPr>
          <w:rFonts w:ascii="DengXian" w:hAnsi="DengXian" w:eastAsia="DengXian" w:cs="DengXian"/>
          <w:spacing w:val="89"/>
        </w:rPr>
        <w:t xml:space="preserve"> </w:t>
      </w:r>
      <w:r>
        <w:rPr>
          <w:spacing w:val="-1"/>
        </w:rPr>
        <w:t>低空安防设施</w:t>
      </w:r>
    </w:p>
    <w:p>
      <w:pPr>
        <w:pStyle w:val="BodyText"/>
        <w:ind w:left="48" w:right="43" w:firstLine="638"/>
        <w:spacing w:before="156" w:line="306" w:lineRule="auto"/>
        <w:rPr/>
      </w:pPr>
      <w:r>
        <w:rPr>
          <w:spacing w:val="-3"/>
        </w:rPr>
        <w:t>包括无人机探测、无线电反制、导航诱骗、物理拦截、</w:t>
      </w:r>
      <w:r>
        <w:rPr>
          <w:spacing w:val="-7"/>
        </w:rPr>
        <w:t>高能毁伤等。</w:t>
      </w:r>
    </w:p>
    <w:p>
      <w:pPr>
        <w:pStyle w:val="BodyText"/>
        <w:ind w:left="33"/>
        <w:spacing w:before="177" w:line="236" w:lineRule="auto"/>
        <w:rPr/>
      </w:pPr>
      <w:r>
        <w:rPr>
          <w:rFonts w:ascii="DengXian" w:hAnsi="DengXian" w:eastAsia="DengXian" w:cs="DengXian"/>
          <w:spacing w:val="1"/>
        </w:rPr>
        <w:t>2.1.5</w:t>
      </w:r>
      <w:r>
        <w:rPr>
          <w:rFonts w:ascii="DengXian" w:hAnsi="DengXian" w:eastAsia="DengXian" w:cs="DengXian"/>
          <w:spacing w:val="83"/>
          <w:w w:val="101"/>
        </w:rPr>
        <w:t xml:space="preserve"> </w:t>
      </w:r>
      <w:r>
        <w:rPr>
          <w:spacing w:val="1"/>
        </w:rPr>
        <w:t>低空飞行服务信息化平台</w:t>
      </w:r>
    </w:p>
    <w:p>
      <w:pPr>
        <w:pStyle w:val="BodyText"/>
        <w:ind w:left="49" w:firstLine="637"/>
        <w:spacing w:before="171" w:line="300" w:lineRule="auto"/>
        <w:rPr/>
      </w:pPr>
      <w:r>
        <w:rPr>
          <w:spacing w:val="-1"/>
        </w:rPr>
        <w:t>包括低空飞行服务保障的数字化、网络化、智能化平台</w:t>
      </w:r>
      <w:r>
        <w:rPr>
          <w:spacing w:val="-15"/>
        </w:rPr>
        <w:t>等。</w:t>
      </w:r>
    </w:p>
    <w:p>
      <w:pPr>
        <w:ind w:left="33"/>
        <w:spacing w:before="237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1"/>
        </w:rPr>
        <w:t>2.2</w:t>
      </w:r>
      <w:r>
        <w:rPr>
          <w:rFonts w:ascii="DengXian" w:hAnsi="DengXian" w:eastAsia="DengXian" w:cs="DengXian"/>
          <w:sz w:val="32"/>
          <w:szCs w:val="32"/>
          <w:spacing w:val="7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低空起降基础设施</w:t>
      </w:r>
    </w:p>
    <w:p>
      <w:pPr>
        <w:pStyle w:val="BodyText"/>
        <w:ind w:left="39" w:right="2" w:firstLine="647"/>
        <w:spacing w:before="268" w:line="306" w:lineRule="auto"/>
        <w:rPr/>
      </w:pPr>
      <w:r>
        <w:rPr>
          <w:spacing w:val="12"/>
        </w:rPr>
        <w:t>包括：通用机场、航空飞行营地、低空航空器起降场</w:t>
      </w:r>
      <w:r>
        <w:rPr>
          <w:spacing w:val="-1"/>
        </w:rPr>
        <w:t>（点</w:t>
      </w:r>
      <w:r>
        <w:rPr>
          <w:spacing w:val="-2"/>
        </w:rPr>
        <w:t>），</w:t>
      </w:r>
      <w:r>
        <w:rPr>
          <w:spacing w:val="-1"/>
        </w:rPr>
        <w:t>及相关配套设施。</w:t>
      </w:r>
    </w:p>
    <w:p>
      <w:pPr>
        <w:pStyle w:val="BodyText"/>
        <w:ind w:left="33"/>
        <w:spacing w:before="178" w:line="237" w:lineRule="auto"/>
        <w:rPr/>
      </w:pPr>
      <w:r>
        <w:rPr>
          <w:rFonts w:ascii="DengXian" w:hAnsi="DengXian" w:eastAsia="DengXian" w:cs="DengXian"/>
          <w:spacing w:val="-2"/>
        </w:rPr>
        <w:t>2.2.1  </w:t>
      </w:r>
      <w:r>
        <w:rPr>
          <w:spacing w:val="-2"/>
        </w:rPr>
        <w:t>通用机场</w:t>
      </w:r>
    </w:p>
    <w:p>
      <w:pPr>
        <w:pStyle w:val="BodyText"/>
        <w:ind w:left="687"/>
        <w:spacing w:before="170" w:line="220" w:lineRule="auto"/>
        <w:rPr/>
      </w:pPr>
      <w:r>
        <w:rPr/>
        <w:t>包括跑道型机场、水上机场、直升机场。</w:t>
      </w:r>
    </w:p>
    <w:p>
      <w:pPr>
        <w:spacing w:line="220" w:lineRule="auto"/>
        <w:sectPr>
          <w:footerReference w:type="default" r:id="rId3"/>
          <w:pgSz w:w="11905" w:h="16836"/>
          <w:pgMar w:top="1431" w:right="1775" w:bottom="1226" w:left="1785" w:header="0" w:footer="978" w:gutter="0"/>
        </w:sectPr>
        <w:rPr/>
      </w:pPr>
    </w:p>
    <w:p>
      <w:pPr>
        <w:pStyle w:val="BodyText"/>
        <w:ind w:left="33"/>
        <w:spacing w:before="188" w:line="236" w:lineRule="auto"/>
        <w:rPr/>
      </w:pPr>
      <w:r>
        <w:rPr>
          <w:rFonts w:ascii="DengXian" w:hAnsi="DengXian" w:eastAsia="DengXian" w:cs="DengXian"/>
          <w:spacing w:val="-1"/>
        </w:rPr>
        <w:t>2.2.2</w:t>
      </w:r>
      <w:r>
        <w:rPr>
          <w:rFonts w:ascii="DengXian" w:hAnsi="DengXian" w:eastAsia="DengXian" w:cs="DengXian"/>
          <w:spacing w:val="90"/>
        </w:rPr>
        <w:t xml:space="preserve"> </w:t>
      </w:r>
      <w:r>
        <w:rPr>
          <w:spacing w:val="-1"/>
        </w:rPr>
        <w:t>航空飞行营地</w:t>
      </w:r>
    </w:p>
    <w:p>
      <w:pPr>
        <w:pStyle w:val="BodyText"/>
        <w:spacing w:before="160" w:line="219" w:lineRule="auto"/>
        <w:jc w:val="right"/>
        <w:rPr/>
      </w:pPr>
      <w:r>
        <w:rPr>
          <w:spacing w:val="-3"/>
        </w:rPr>
        <w:t>包括滑翔机、航空模型/无人机、跳伞等项目飞行营</w:t>
      </w:r>
      <w:r>
        <w:rPr>
          <w:spacing w:val="-4"/>
        </w:rPr>
        <w:t>地。</w:t>
      </w:r>
    </w:p>
    <w:p>
      <w:pPr>
        <w:pStyle w:val="BodyText"/>
        <w:ind w:left="33"/>
        <w:spacing w:before="341" w:line="238" w:lineRule="auto"/>
        <w:rPr/>
      </w:pPr>
      <w:r>
        <w:rPr>
          <w:rFonts w:ascii="DengXian" w:hAnsi="DengXian" w:eastAsia="DengXian" w:cs="DengXian"/>
          <w:spacing w:val="1"/>
        </w:rPr>
        <w:t>2.2.3</w:t>
      </w:r>
      <w:r>
        <w:rPr>
          <w:rFonts w:ascii="DengXian" w:hAnsi="DengXian" w:eastAsia="DengXian" w:cs="DengXian"/>
          <w:spacing w:val="83"/>
        </w:rPr>
        <w:t xml:space="preserve"> </w:t>
      </w:r>
      <w:r>
        <w:rPr>
          <w:spacing w:val="1"/>
        </w:rPr>
        <w:t>低空航空器起降场（点）</w:t>
      </w:r>
    </w:p>
    <w:p>
      <w:pPr>
        <w:pStyle w:val="BodyText"/>
        <w:ind w:left="687"/>
        <w:spacing w:before="155" w:line="219" w:lineRule="auto"/>
        <w:rPr/>
      </w:pPr>
      <w:r>
        <w:rPr/>
        <w:t>包括为低空航空器提供起降保障的各类设施。</w:t>
      </w:r>
    </w:p>
    <w:p>
      <w:pPr>
        <w:pStyle w:val="BodyText"/>
        <w:ind w:left="33"/>
        <w:spacing w:before="340" w:line="237" w:lineRule="auto"/>
        <w:rPr/>
      </w:pPr>
      <w:r>
        <w:rPr>
          <w:rFonts w:ascii="DengXian" w:hAnsi="DengXian" w:eastAsia="DengXian" w:cs="DengXian"/>
          <w:spacing w:val="1"/>
        </w:rPr>
        <w:t>2.2.4</w:t>
      </w:r>
      <w:r>
        <w:rPr>
          <w:rFonts w:ascii="DengXian" w:hAnsi="DengXian" w:eastAsia="DengXian" w:cs="DengXian"/>
          <w:spacing w:val="89"/>
        </w:rPr>
        <w:t xml:space="preserve"> </w:t>
      </w:r>
      <w:r>
        <w:rPr>
          <w:spacing w:val="1"/>
        </w:rPr>
        <w:t>起降场（点）能源补给设施</w:t>
      </w:r>
    </w:p>
    <w:p>
      <w:pPr>
        <w:pStyle w:val="BodyText"/>
        <w:ind w:left="44" w:right="108" w:firstLine="641"/>
        <w:spacing w:before="158" w:line="306" w:lineRule="auto"/>
        <w:rPr/>
      </w:pPr>
      <w:r>
        <w:rPr>
          <w:spacing w:val="-1"/>
        </w:rPr>
        <w:t>为低空航空器提供能源补给的设施，包括充换电站、能</w:t>
      </w:r>
      <w:r>
        <w:rPr>
          <w:spacing w:val="1"/>
        </w:rPr>
        <w:t>源服务站（加油、氢）、光伏-储能一体化能源站等。</w:t>
      </w:r>
    </w:p>
    <w:p>
      <w:pPr>
        <w:pStyle w:val="BodyText"/>
        <w:ind w:left="33"/>
        <w:spacing w:before="177" w:line="236" w:lineRule="auto"/>
        <w:rPr/>
      </w:pPr>
      <w:r>
        <w:rPr>
          <w:rFonts w:ascii="DengXian" w:hAnsi="DengXian" w:eastAsia="DengXian" w:cs="DengXian"/>
          <w:spacing w:val="1"/>
        </w:rPr>
        <w:t>2.2.5</w:t>
      </w:r>
      <w:r>
        <w:rPr>
          <w:rFonts w:ascii="DengXian" w:hAnsi="DengXian" w:eastAsia="DengXian" w:cs="DengXian"/>
          <w:spacing w:val="89"/>
        </w:rPr>
        <w:t xml:space="preserve"> </w:t>
      </w:r>
      <w:r>
        <w:rPr>
          <w:spacing w:val="1"/>
        </w:rPr>
        <w:t>起降场（点）运维保障设施</w:t>
      </w:r>
    </w:p>
    <w:p>
      <w:pPr>
        <w:pStyle w:val="BodyText"/>
        <w:ind w:left="40" w:right="5" w:firstLine="645"/>
        <w:spacing w:before="173" w:line="298" w:lineRule="auto"/>
        <w:rPr/>
      </w:pPr>
      <w:r>
        <w:rPr>
          <w:spacing w:val="-10"/>
        </w:rPr>
        <w:t>为低空航空器提供运维保障的设施，包括机库、维修厂、</w:t>
      </w:r>
      <w:r>
        <w:rPr>
          <w:spacing w:val="-3"/>
        </w:rPr>
        <w:t>航空器临时检修站等。</w:t>
      </w:r>
    </w:p>
    <w:p>
      <w:pPr>
        <w:ind w:left="33"/>
        <w:spacing w:before="243" w:line="196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1"/>
        </w:rPr>
        <w:t>2.3 </w:t>
      </w: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低空产业配套基础设施</w:t>
      </w:r>
    </w:p>
    <w:p>
      <w:pPr>
        <w:pStyle w:val="BodyText"/>
        <w:ind w:left="37" w:right="108" w:firstLine="649"/>
        <w:spacing w:before="271" w:line="306" w:lineRule="auto"/>
        <w:rPr/>
      </w:pPr>
      <w:r>
        <w:rPr>
          <w:spacing w:val="-1"/>
        </w:rPr>
        <w:t>包括：试飞、检验检测、科普研学、人才培养等产业配</w:t>
      </w:r>
      <w:r>
        <w:rPr>
          <w:spacing w:val="-6"/>
        </w:rPr>
        <w:t>套基础设施。</w:t>
      </w:r>
    </w:p>
    <w:p>
      <w:pPr>
        <w:pStyle w:val="BodyText"/>
        <w:ind w:left="33"/>
        <w:spacing w:before="174" w:line="235" w:lineRule="auto"/>
        <w:rPr/>
      </w:pPr>
      <w:r>
        <w:rPr>
          <w:rFonts w:ascii="DengXian" w:hAnsi="DengXian" w:eastAsia="DengXian" w:cs="DengXian"/>
          <w:spacing w:val="1"/>
        </w:rPr>
        <w:t>2.3.1 </w:t>
      </w:r>
      <w:r>
        <w:rPr>
          <w:spacing w:val="1"/>
        </w:rPr>
        <w:t>低空检验检测及试飞设施</w:t>
      </w:r>
    </w:p>
    <w:p>
      <w:pPr>
        <w:pStyle w:val="BodyText"/>
        <w:ind w:left="687"/>
        <w:spacing w:before="174" w:line="218" w:lineRule="auto"/>
        <w:rPr/>
      </w:pPr>
      <w:r>
        <w:rPr/>
        <w:t>包括各类低空航空器检验检测、试飞等设施。</w:t>
      </w:r>
    </w:p>
    <w:p>
      <w:pPr>
        <w:pStyle w:val="BodyText"/>
        <w:ind w:left="33"/>
        <w:spacing w:before="331" w:line="238" w:lineRule="auto"/>
        <w:rPr/>
      </w:pPr>
      <w:r>
        <w:rPr>
          <w:rFonts w:ascii="DengXian" w:hAnsi="DengXian" w:eastAsia="DengXian" w:cs="DengXian"/>
          <w:spacing w:val="1"/>
        </w:rPr>
        <w:t>2.3.2</w:t>
      </w:r>
      <w:r>
        <w:rPr>
          <w:rFonts w:ascii="DengXian" w:hAnsi="DengXian" w:eastAsia="DengXian" w:cs="DengXian"/>
          <w:spacing w:val="82"/>
        </w:rPr>
        <w:t xml:space="preserve"> </w:t>
      </w:r>
      <w:r>
        <w:rPr>
          <w:spacing w:val="1"/>
        </w:rPr>
        <w:t>低空专业人员培训设施</w:t>
      </w:r>
    </w:p>
    <w:p>
      <w:pPr>
        <w:pStyle w:val="BodyText"/>
        <w:ind w:left="687"/>
        <w:spacing w:before="168" w:line="220" w:lineRule="auto"/>
        <w:rPr/>
      </w:pPr>
      <w:r>
        <w:rPr/>
        <w:t>包括低空从业人员理论、实操等专业培训设施。</w:t>
      </w:r>
    </w:p>
    <w:p>
      <w:pPr>
        <w:pStyle w:val="BodyText"/>
        <w:ind w:left="33"/>
        <w:spacing w:before="328" w:line="237" w:lineRule="auto"/>
        <w:rPr/>
      </w:pPr>
      <w:r>
        <w:rPr>
          <w:rFonts w:ascii="DengXian" w:hAnsi="DengXian" w:eastAsia="DengXian" w:cs="DengXian"/>
        </w:rPr>
        <w:t>2.3.3</w:t>
      </w:r>
      <w:r>
        <w:rPr>
          <w:rFonts w:ascii="DengXian" w:hAnsi="DengXian" w:eastAsia="DengXian" w:cs="DengXian"/>
          <w:spacing w:val="88"/>
        </w:rPr>
        <w:t xml:space="preserve"> </w:t>
      </w:r>
      <w:r>
        <w:rPr/>
        <w:t>低空科普研学设施</w:t>
      </w:r>
    </w:p>
    <w:p>
      <w:pPr>
        <w:pStyle w:val="BodyText"/>
        <w:ind w:left="687"/>
        <w:spacing w:before="171" w:line="220" w:lineRule="auto"/>
        <w:rPr/>
      </w:pPr>
      <w:r>
        <w:rPr>
          <w:spacing w:val="-1"/>
        </w:rPr>
        <w:t>包括航空科普、研学等专业基础设施。</w:t>
      </w:r>
    </w:p>
    <w:p>
      <w:pPr>
        <w:pStyle w:val="BodyText"/>
        <w:ind w:left="33"/>
        <w:spacing w:before="327" w:line="237" w:lineRule="auto"/>
        <w:rPr/>
      </w:pPr>
      <w:r>
        <w:rPr>
          <w:rFonts w:ascii="DengXian" w:hAnsi="DengXian" w:eastAsia="DengXian" w:cs="DengXian"/>
          <w:spacing w:val="1"/>
        </w:rPr>
        <w:t>2.3.4</w:t>
      </w:r>
      <w:r>
        <w:rPr>
          <w:rFonts w:ascii="DengXian" w:hAnsi="DengXian" w:eastAsia="DengXian" w:cs="DengXian"/>
          <w:spacing w:val="85"/>
        </w:rPr>
        <w:t xml:space="preserve"> </w:t>
      </w:r>
      <w:r>
        <w:rPr>
          <w:spacing w:val="1"/>
        </w:rPr>
        <w:t>低空航空器交易服务设施</w:t>
      </w:r>
    </w:p>
    <w:p>
      <w:pPr>
        <w:pStyle w:val="BodyText"/>
        <w:ind w:left="687"/>
        <w:spacing w:before="170" w:line="219" w:lineRule="auto"/>
        <w:rPr/>
      </w:pPr>
      <w:r>
        <w:rPr>
          <w:spacing w:val="-2"/>
        </w:rPr>
        <w:t>包括低空航空器销售、维修、航材交易、金融服务、托</w:t>
      </w:r>
    </w:p>
    <w:p>
      <w:pPr>
        <w:spacing w:line="219" w:lineRule="auto"/>
        <w:sectPr>
          <w:footerReference w:type="default" r:id="rId4"/>
          <w:pgSz w:w="11905" w:h="16836"/>
          <w:pgMar w:top="1431" w:right="1667" w:bottom="1226" w:left="1785" w:header="0" w:footer="976" w:gutter="0"/>
        </w:sectPr>
        <w:rPr/>
      </w:pPr>
    </w:p>
    <w:p>
      <w:pPr>
        <w:pStyle w:val="BodyText"/>
        <w:ind w:left="55"/>
        <w:spacing w:before="152" w:line="220" w:lineRule="auto"/>
        <w:rPr/>
      </w:pPr>
      <w:r>
        <w:rPr>
          <w:spacing w:val="-4"/>
        </w:rPr>
        <w:t>管等各类服务基础设施。</w:t>
      </w:r>
    </w:p>
    <w:p>
      <w:pPr>
        <w:pStyle w:val="BodyText"/>
        <w:ind w:left="33"/>
        <w:spacing w:before="327" w:line="237" w:lineRule="auto"/>
        <w:rPr/>
      </w:pPr>
      <w:r>
        <w:rPr>
          <w:rFonts w:ascii="DengXian" w:hAnsi="DengXian" w:eastAsia="DengXian" w:cs="DengXian"/>
        </w:rPr>
        <w:t>2.3.5  </w:t>
      </w:r>
      <w:r>
        <w:rPr/>
        <w:t>绿色循环利用设施</w:t>
      </w:r>
    </w:p>
    <w:p>
      <w:pPr>
        <w:pStyle w:val="BodyText"/>
        <w:ind w:left="36" w:firstLine="650"/>
        <w:spacing w:before="171" w:line="299" w:lineRule="auto"/>
        <w:rPr/>
      </w:pPr>
      <w:r>
        <w:rPr>
          <w:spacing w:val="-1"/>
        </w:rPr>
        <w:t>包括低空航空器拆解、回收再利用、绿色环保处理等基</w:t>
      </w:r>
      <w:r>
        <w:rPr>
          <w:spacing w:val="-10"/>
        </w:rPr>
        <w:t>础设施。</w:t>
      </w:r>
    </w:p>
    <w:p>
      <w:pPr>
        <w:pStyle w:val="BodyText"/>
        <w:ind w:left="33"/>
        <w:spacing w:before="197" w:line="237" w:lineRule="auto"/>
        <w:rPr/>
      </w:pPr>
      <w:r>
        <w:rPr>
          <w:rFonts w:ascii="DengXian" w:hAnsi="DengXian" w:eastAsia="DengXian" w:cs="DengXian"/>
        </w:rPr>
        <w:t>2.3.6</w:t>
      </w:r>
      <w:r>
        <w:rPr>
          <w:rFonts w:ascii="DengXian" w:hAnsi="DengXian" w:eastAsia="DengXian" w:cs="DengXian"/>
          <w:spacing w:val="92"/>
        </w:rPr>
        <w:t xml:space="preserve"> </w:t>
      </w:r>
      <w:r>
        <w:rPr/>
        <w:t>低空航空器制造设施</w:t>
      </w:r>
    </w:p>
    <w:p>
      <w:pPr>
        <w:pStyle w:val="BodyText"/>
        <w:ind w:left="687"/>
        <w:spacing w:before="158" w:line="220" w:lineRule="auto"/>
        <w:rPr/>
      </w:pPr>
      <w:r>
        <w:rPr/>
        <w:t>包括低空航空器整机、零部件制造等设施。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3"/>
        <w:spacing w:before="138" w:line="195" w:lineRule="auto"/>
        <w:outlineLvl w:val="2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2"/>
        </w:rPr>
        <w:t>2.4</w:t>
      </w:r>
      <w:r>
        <w:rPr>
          <w:rFonts w:ascii="DengXian" w:hAnsi="DengXian" w:eastAsia="DengXian" w:cs="DengXian"/>
          <w:sz w:val="32"/>
          <w:szCs w:val="32"/>
          <w:spacing w:val="7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2"/>
        </w:rPr>
        <w:t>低空应用场景配套基础设施</w:t>
      </w:r>
    </w:p>
    <w:p>
      <w:pPr>
        <w:pStyle w:val="BodyText"/>
        <w:spacing w:before="270" w:line="219" w:lineRule="auto"/>
        <w:jc w:val="right"/>
        <w:rPr/>
      </w:pPr>
      <w:r>
        <w:rPr>
          <w:spacing w:val="-3"/>
        </w:rPr>
        <w:t>包括低空载客、物流、公共服务等场景配套基础设施。</w:t>
      </w:r>
    </w:p>
    <w:p>
      <w:pPr>
        <w:pStyle w:val="BodyText"/>
        <w:ind w:left="33"/>
        <w:spacing w:before="330" w:line="237" w:lineRule="auto"/>
        <w:rPr/>
      </w:pPr>
      <w:r>
        <w:rPr>
          <w:rFonts w:ascii="DengXian" w:hAnsi="DengXian" w:eastAsia="DengXian" w:cs="DengXian"/>
        </w:rPr>
        <w:t>2.4.1</w:t>
      </w:r>
      <w:r>
        <w:rPr>
          <w:rFonts w:ascii="DengXian" w:hAnsi="DengXian" w:eastAsia="DengXian" w:cs="DengXian"/>
          <w:spacing w:val="87"/>
        </w:rPr>
        <w:t xml:space="preserve"> </w:t>
      </w:r>
      <w:r>
        <w:rPr/>
        <w:t>低空载客配套设施</w:t>
      </w:r>
    </w:p>
    <w:p>
      <w:pPr>
        <w:pStyle w:val="BodyText"/>
        <w:ind w:left="36" w:right="2" w:firstLine="650"/>
        <w:spacing w:before="170" w:line="300" w:lineRule="auto"/>
        <w:rPr/>
      </w:pPr>
      <w:r>
        <w:rPr>
          <w:spacing w:val="-1"/>
        </w:rPr>
        <w:t>包括短途运输、一般包机飞行、商务包机飞行</w:t>
      </w:r>
      <w:r>
        <w:rPr>
          <w:spacing w:val="-2"/>
        </w:rPr>
        <w:t>等配套设</w:t>
      </w:r>
      <w:r>
        <w:rPr>
          <w:spacing w:val="-9"/>
        </w:rPr>
        <w:t>施。</w:t>
      </w:r>
    </w:p>
    <w:p>
      <w:pPr>
        <w:pStyle w:val="BodyText"/>
        <w:ind w:left="33"/>
        <w:spacing w:before="185" w:line="236" w:lineRule="auto"/>
        <w:rPr/>
      </w:pPr>
      <w:r>
        <w:rPr>
          <w:rFonts w:ascii="DengXian" w:hAnsi="DengXian" w:eastAsia="DengXian" w:cs="DengXian"/>
        </w:rPr>
        <w:t>2.4.2</w:t>
      </w:r>
      <w:r>
        <w:rPr>
          <w:rFonts w:ascii="DengXian" w:hAnsi="DengXian" w:eastAsia="DengXian" w:cs="DengXian"/>
          <w:spacing w:val="87"/>
        </w:rPr>
        <w:t xml:space="preserve"> </w:t>
      </w:r>
      <w:r>
        <w:rPr/>
        <w:t>低空物流配套设施</w:t>
      </w:r>
    </w:p>
    <w:p>
      <w:pPr>
        <w:pStyle w:val="BodyText"/>
        <w:ind w:left="687"/>
        <w:spacing w:before="172" w:line="219" w:lineRule="auto"/>
        <w:rPr/>
      </w:pPr>
      <w:r>
        <w:rPr>
          <w:spacing w:val="2"/>
        </w:rPr>
        <w:t>包括即时配送、支线物流、末端快递等等配套设施。</w:t>
      </w:r>
    </w:p>
    <w:p>
      <w:pPr>
        <w:pStyle w:val="BodyText"/>
        <w:ind w:left="33"/>
        <w:spacing w:before="330" w:line="235" w:lineRule="auto"/>
        <w:rPr/>
      </w:pPr>
      <w:r>
        <w:rPr>
          <w:rFonts w:ascii="DengXian" w:hAnsi="DengXian" w:eastAsia="DengXian" w:cs="DengXian"/>
        </w:rPr>
        <w:t>2.4.3</w:t>
      </w:r>
      <w:r>
        <w:rPr>
          <w:rFonts w:ascii="DengXian" w:hAnsi="DengXian" w:eastAsia="DengXian" w:cs="DengXian"/>
          <w:spacing w:val="87"/>
        </w:rPr>
        <w:t xml:space="preserve"> </w:t>
      </w:r>
      <w:r>
        <w:rPr/>
        <w:t>低空作业配套设施</w:t>
      </w:r>
    </w:p>
    <w:p>
      <w:pPr>
        <w:pStyle w:val="BodyText"/>
        <w:ind w:left="687"/>
        <w:spacing w:before="173" w:line="218" w:lineRule="auto"/>
        <w:rPr/>
      </w:pPr>
      <w:r>
        <w:rPr>
          <w:spacing w:val="2"/>
        </w:rPr>
        <w:t>包括农业植保、地质勘探、巡线巡检等等配套设施。</w:t>
      </w:r>
    </w:p>
    <w:p>
      <w:pPr>
        <w:pStyle w:val="BodyText"/>
        <w:ind w:left="33"/>
        <w:spacing w:before="331" w:line="237" w:lineRule="auto"/>
        <w:rPr/>
      </w:pPr>
      <w:r>
        <w:rPr>
          <w:rFonts w:ascii="DengXian" w:hAnsi="DengXian" w:eastAsia="DengXian" w:cs="DengXian"/>
          <w:spacing w:val="1"/>
        </w:rPr>
        <w:t>2.4.4</w:t>
      </w:r>
      <w:r>
        <w:rPr>
          <w:rFonts w:ascii="DengXian" w:hAnsi="DengXian" w:eastAsia="DengXian" w:cs="DengXian"/>
          <w:spacing w:val="81"/>
        </w:rPr>
        <w:t xml:space="preserve"> </w:t>
      </w:r>
      <w:r>
        <w:rPr>
          <w:spacing w:val="1"/>
        </w:rPr>
        <w:t>低空公共服务配套设施</w:t>
      </w:r>
    </w:p>
    <w:p>
      <w:pPr>
        <w:pStyle w:val="BodyText"/>
        <w:ind w:left="687"/>
        <w:spacing w:before="171" w:line="218" w:lineRule="auto"/>
        <w:rPr/>
      </w:pPr>
      <w:r>
        <w:rPr>
          <w:spacing w:val="2"/>
        </w:rPr>
        <w:t>包括应急救援、环境检测、警务安防等等配套设施。</w:t>
      </w:r>
    </w:p>
    <w:p>
      <w:pPr>
        <w:pStyle w:val="BodyText"/>
        <w:ind w:left="33"/>
        <w:spacing w:before="330" w:line="237" w:lineRule="auto"/>
        <w:rPr/>
      </w:pPr>
      <w:r>
        <w:rPr>
          <w:rFonts w:ascii="DengXian" w:hAnsi="DengXian" w:eastAsia="DengXian" w:cs="DengXian"/>
        </w:rPr>
        <w:t>2.4.5</w:t>
      </w:r>
      <w:r>
        <w:rPr>
          <w:rFonts w:ascii="DengXian" w:hAnsi="DengXian" w:eastAsia="DengXian" w:cs="DengXian"/>
          <w:spacing w:val="87"/>
        </w:rPr>
        <w:t xml:space="preserve"> </w:t>
      </w:r>
      <w:r>
        <w:rPr/>
        <w:t>低空消费配套设施</w:t>
      </w:r>
    </w:p>
    <w:p>
      <w:pPr>
        <w:pStyle w:val="BodyText"/>
        <w:ind w:left="687"/>
        <w:spacing w:before="170" w:line="219" w:lineRule="auto"/>
        <w:rPr/>
      </w:pPr>
      <w:r>
        <w:rPr>
          <w:spacing w:val="2"/>
        </w:rPr>
        <w:t>包括空中游览、飞行体验、跳伞运动等等配套设施。</w:t>
      </w:r>
    </w:p>
    <w:p>
      <w:pPr>
        <w:spacing w:line="219" w:lineRule="auto"/>
        <w:sectPr>
          <w:footerReference w:type="default" r:id="rId5"/>
          <w:pgSz w:w="11905" w:h="16836"/>
          <w:pgMar w:top="1431" w:right="1775" w:bottom="1226" w:left="1785" w:header="0" w:footer="978" w:gutter="0"/>
        </w:sectPr>
        <w:rPr/>
      </w:pPr>
    </w:p>
    <w:p>
      <w:pPr>
        <w:ind w:left="30"/>
        <w:spacing w:before="191" w:line="196" w:lineRule="auto"/>
        <w:outlineLvl w:val="1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DengXian" w:hAnsi="DengXian" w:eastAsia="DengXian" w:cs="DengXian"/>
          <w:sz w:val="32"/>
          <w:szCs w:val="32"/>
          <w:spacing w:val="-5"/>
        </w:rPr>
        <w:t>3  </w:t>
      </w:r>
      <w:r>
        <w:rPr>
          <w:rFonts w:ascii="Microsoft YaHei" w:hAnsi="Microsoft YaHei" w:eastAsia="Microsoft YaHei" w:cs="Microsoft YaHei"/>
          <w:sz w:val="32"/>
          <w:szCs w:val="32"/>
          <w:spacing w:val="-5"/>
        </w:rPr>
        <w:t>附则</w:t>
      </w:r>
    </w:p>
    <w:p>
      <w:pPr>
        <w:pStyle w:val="BodyText"/>
        <w:ind w:left="38" w:right="140" w:hanging="8"/>
        <w:spacing w:before="305" w:line="299" w:lineRule="auto"/>
        <w:rPr/>
      </w:pPr>
      <w:r>
        <w:rPr>
          <w:rFonts w:ascii="DengXian" w:hAnsi="DengXian" w:eastAsia="DengXian" w:cs="DengXian"/>
        </w:rPr>
        <w:t>3.1</w:t>
      </w:r>
      <w:r>
        <w:rPr>
          <w:rFonts w:ascii="DengXian" w:hAnsi="DengXian" w:eastAsia="DengXian" w:cs="DengXian"/>
          <w:spacing w:val="24"/>
          <w:w w:val="101"/>
        </w:rPr>
        <w:t xml:space="preserve">  </w:t>
      </w:r>
      <w:r>
        <w:rPr/>
        <w:t>中国民用机场协会每年度对《框架指引》进行评估，根</w:t>
      </w:r>
      <w:r>
        <w:rPr>
          <w:spacing w:val="-2"/>
        </w:rPr>
        <w:t>据建设实践持续优化调整。</w:t>
      </w:r>
    </w:p>
    <w:p>
      <w:pPr>
        <w:pStyle w:val="BodyText"/>
        <w:ind w:left="40" w:hanging="10"/>
        <w:spacing w:before="250" w:line="298" w:lineRule="auto"/>
        <w:rPr/>
      </w:pPr>
      <w:r>
        <w:rPr>
          <w:rFonts w:ascii="DengXian" w:hAnsi="DengXian" w:eastAsia="DengXian" w:cs="DengXian"/>
          <w:spacing w:val="-6"/>
        </w:rPr>
        <w:t>3.2</w:t>
      </w:r>
      <w:r>
        <w:rPr>
          <w:rFonts w:ascii="DengXian" w:hAnsi="DengXian" w:eastAsia="DengXian" w:cs="DengXian"/>
          <w:spacing w:val="23"/>
        </w:rPr>
        <w:t xml:space="preserve">  </w:t>
      </w:r>
      <w:r>
        <w:rPr>
          <w:spacing w:val="-6"/>
        </w:rPr>
        <w:t>中国民用机场协会鼓励、支持使用单位</w:t>
      </w:r>
      <w:r>
        <w:rPr>
          <w:spacing w:val="-7"/>
        </w:rPr>
        <w:t>基于《框架指引》</w:t>
      </w:r>
      <w:r>
        <w:rPr>
          <w:spacing w:val="-1"/>
        </w:rPr>
        <w:t>及实践成果，编制相关技术规范。</w:t>
      </w:r>
    </w:p>
    <w:p>
      <w:pPr>
        <w:pStyle w:val="BodyText"/>
        <w:ind w:left="30"/>
        <w:spacing w:before="238" w:line="236" w:lineRule="auto"/>
        <w:rPr/>
      </w:pPr>
      <w:r>
        <w:rPr>
          <w:rFonts w:ascii="DengXian" w:hAnsi="DengXian" w:eastAsia="DengXian" w:cs="DengXian"/>
        </w:rPr>
        <w:t>3.3  </w:t>
      </w:r>
      <w:r>
        <w:rPr/>
        <w:t>本《框架指引》由中国民用机场协会负责解释。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88"/>
        <w:spacing w:before="104" w:line="219" w:lineRule="auto"/>
        <w:rPr/>
      </w:pPr>
      <w:r>
        <w:rPr>
          <w:spacing w:val="1"/>
        </w:rPr>
        <w:t>附件：低空经济基础设施框架图（2025</w:t>
      </w:r>
      <w:r>
        <w:rPr>
          <w:spacing w:val="-36"/>
        </w:rPr>
        <w:t xml:space="preserve"> </w:t>
      </w:r>
      <w:r>
        <w:rPr>
          <w:spacing w:val="1"/>
        </w:rPr>
        <w:t>版）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271"/>
        <w:spacing w:before="104" w:line="220" w:lineRule="auto"/>
        <w:rPr/>
      </w:pPr>
      <w:r>
        <w:rPr>
          <w:spacing w:val="-7"/>
        </w:rPr>
        <w:t>2025</w:t>
      </w:r>
      <w:r>
        <w:rPr>
          <w:spacing w:val="-41"/>
        </w:rPr>
        <w:t xml:space="preserve"> </w:t>
      </w:r>
      <w:r>
        <w:rPr>
          <w:spacing w:val="-7"/>
        </w:rPr>
        <w:t>年</w:t>
      </w:r>
      <w:r>
        <w:rPr>
          <w:spacing w:val="-57"/>
        </w:rPr>
        <w:t xml:space="preserve"> </w:t>
      </w:r>
      <w:r>
        <w:rPr>
          <w:spacing w:val="-7"/>
        </w:rPr>
        <w:t>7</w:t>
      </w:r>
      <w:r>
        <w:rPr>
          <w:spacing w:val="-33"/>
        </w:rPr>
        <w:t xml:space="preserve"> </w:t>
      </w:r>
      <w:r>
        <w:rPr>
          <w:spacing w:val="-7"/>
        </w:rPr>
        <w:t>月</w:t>
      </w:r>
      <w:r>
        <w:rPr>
          <w:spacing w:val="-60"/>
        </w:rPr>
        <w:t xml:space="preserve"> </w:t>
      </w:r>
      <w:r>
        <w:rPr>
          <w:spacing w:val="-7"/>
        </w:rPr>
        <w:t>23</w:t>
      </w:r>
      <w:r>
        <w:rPr>
          <w:spacing w:val="20"/>
        </w:rPr>
        <w:t xml:space="preserve"> </w:t>
      </w:r>
      <w:r>
        <w:rPr>
          <w:spacing w:val="-7"/>
        </w:rPr>
        <w:t>日</w:t>
      </w:r>
    </w:p>
    <w:p>
      <w:pPr>
        <w:spacing w:line="220" w:lineRule="auto"/>
        <w:sectPr>
          <w:footerReference w:type="default" r:id="rId6"/>
          <w:pgSz w:w="11905" w:h="16836"/>
          <w:pgMar w:top="1431" w:right="1633" w:bottom="1226" w:left="1785" w:header="0" w:footer="978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31"/>
        <w:spacing w:before="104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6"/>
        </w:rPr>
        <w:t>附件</w:t>
      </w:r>
    </w:p>
    <w:p>
      <w:pPr>
        <w:ind w:left="3375"/>
        <w:spacing w:before="53" w:line="613" w:lineRule="exact"/>
        <w:outlineLvl w:val="0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position w:val="3"/>
        </w:rPr>
        <w:t>低空经济基础设施框架图（2025</w:t>
      </w:r>
      <w:r>
        <w:rPr>
          <w:rFonts w:ascii="SimSun" w:hAnsi="SimSun" w:eastAsia="SimSun" w:cs="SimSun"/>
          <w:sz w:val="44"/>
          <w:szCs w:val="44"/>
          <w:spacing w:val="-93"/>
          <w:position w:val="3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position w:val="3"/>
        </w:rPr>
        <w:t>版）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5976" w:lineRule="exact"/>
        <w:rPr/>
      </w:pPr>
      <w:r>
        <w:rPr>
          <w:position w:val="-119"/>
        </w:rPr>
        <w:drawing>
          <wp:inline distT="0" distB="0" distL="0" distR="0">
            <wp:extent cx="8785859" cy="37947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859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6836" w:h="11905"/>
      <w:pgMar w:top="1011" w:right="1560" w:bottom="1238" w:left="1440" w:header="0" w:footer="9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5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3"/>
      </w:rPr>
      <w:t>1</w:t>
    </w:r>
    <w:r>
      <w:rPr>
        <w:rFonts w:ascii="DengXian" w:hAnsi="DengXian" w:eastAsia="DengXian" w:cs="DengXian"/>
        <w:sz w:val="18"/>
        <w:szCs w:val="18"/>
        <w:b/>
        <w:bCs/>
        <w:spacing w:val="43"/>
      </w:rPr>
      <w:t xml:space="preserve"> </w:t>
    </w:r>
    <w:r>
      <w:rPr>
        <w:rFonts w:ascii="DengXian" w:hAnsi="DengXian" w:eastAsia="DengXian" w:cs="DengXian"/>
        <w:sz w:val="18"/>
        <w:szCs w:val="18"/>
        <w:spacing w:val="-3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3"/>
      </w:rPr>
      <w:t>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3"/>
      </w:rPr>
      <w:t>2</w:t>
    </w:r>
    <w:r>
      <w:rPr>
        <w:rFonts w:ascii="DengXian" w:hAnsi="DengXian" w:eastAsia="DengXian" w:cs="DengXian"/>
        <w:sz w:val="18"/>
        <w:szCs w:val="18"/>
        <w:b/>
        <w:bCs/>
        <w:spacing w:val="46"/>
        <w:w w:val="101"/>
      </w:rPr>
      <w:t xml:space="preserve"> </w:t>
    </w:r>
    <w:r>
      <w:rPr>
        <w:rFonts w:ascii="DengXian" w:hAnsi="DengXian" w:eastAsia="DengXian" w:cs="DengXian"/>
        <w:sz w:val="18"/>
        <w:szCs w:val="18"/>
        <w:spacing w:val="-3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3"/>
      </w:rPr>
      <w:t>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8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2"/>
      </w:rPr>
      <w:t>3</w:t>
    </w:r>
    <w:r>
      <w:rPr>
        <w:rFonts w:ascii="DengXian" w:hAnsi="DengXian" w:eastAsia="DengXian" w:cs="DengXian"/>
        <w:sz w:val="18"/>
        <w:szCs w:val="18"/>
        <w:b/>
        <w:bCs/>
        <w:spacing w:val="43"/>
        <w:w w:val="101"/>
      </w:rPr>
      <w:t xml:space="preserve"> </w:t>
    </w:r>
    <w:r>
      <w:rPr>
        <w:rFonts w:ascii="DengXian" w:hAnsi="DengXian" w:eastAsia="DengXian" w:cs="DengXian"/>
        <w:sz w:val="18"/>
        <w:szCs w:val="18"/>
        <w:spacing w:val="-2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2"/>
      </w:rPr>
      <w:t>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5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2"/>
      </w:rPr>
      <w:t>4</w:t>
    </w:r>
    <w:r>
      <w:rPr>
        <w:rFonts w:ascii="DengXian" w:hAnsi="DengXian" w:eastAsia="DengXian" w:cs="DengXian"/>
        <w:sz w:val="18"/>
        <w:szCs w:val="18"/>
        <w:b/>
        <w:bCs/>
        <w:spacing w:val="44"/>
      </w:rPr>
      <w:t xml:space="preserve"> </w:t>
    </w:r>
    <w:r>
      <w:rPr>
        <w:rFonts w:ascii="DengXian" w:hAnsi="DengXian" w:eastAsia="DengXian" w:cs="DengXian"/>
        <w:sz w:val="18"/>
        <w:szCs w:val="18"/>
        <w:spacing w:val="-2"/>
      </w:rPr>
      <w:t>/</w:t>
    </w:r>
    <w:r>
      <w:rPr>
        <w:rFonts w:ascii="DengXian" w:hAnsi="DengXian" w:eastAsia="DengXian" w:cs="DengXian"/>
        <w:sz w:val="18"/>
        <w:szCs w:val="18"/>
        <w:spacing w:val="47"/>
        <w:w w:val="101"/>
      </w:rPr>
      <w:t xml:space="preserve"> </w:t>
    </w:r>
    <w:r>
      <w:rPr>
        <w:rFonts w:ascii="DengXian" w:hAnsi="DengXian" w:eastAsia="DengXian" w:cs="DengXian"/>
        <w:sz w:val="18"/>
        <w:szCs w:val="18"/>
        <w:b/>
        <w:bCs/>
        <w:spacing w:val="-2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2"/>
      </w:rPr>
      <w:t>5</w:t>
    </w:r>
    <w:r>
      <w:rPr>
        <w:rFonts w:ascii="DengXian" w:hAnsi="DengXian" w:eastAsia="DengXian" w:cs="DengXian"/>
        <w:sz w:val="18"/>
        <w:szCs w:val="18"/>
        <w:b/>
        <w:bCs/>
        <w:spacing w:val="43"/>
      </w:rPr>
      <w:t xml:space="preserve"> </w:t>
    </w:r>
    <w:r>
      <w:rPr>
        <w:rFonts w:ascii="DengXian" w:hAnsi="DengXian" w:eastAsia="DengXian" w:cs="DengXian"/>
        <w:sz w:val="18"/>
        <w:szCs w:val="18"/>
        <w:spacing w:val="-2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2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234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3"/>
      </w:rPr>
      <w:t>6</w:t>
    </w:r>
    <w:r>
      <w:rPr>
        <w:rFonts w:ascii="DengXian" w:hAnsi="DengXian" w:eastAsia="DengXian" w:cs="DengXian"/>
        <w:sz w:val="18"/>
        <w:szCs w:val="18"/>
        <w:b/>
        <w:bCs/>
        <w:spacing w:val="46"/>
      </w:rPr>
      <w:t xml:space="preserve"> </w:t>
    </w:r>
    <w:r>
      <w:rPr>
        <w:rFonts w:ascii="DengXian" w:hAnsi="DengXian" w:eastAsia="DengXian" w:cs="DengXian"/>
        <w:sz w:val="18"/>
        <w:szCs w:val="18"/>
        <w:spacing w:val="-3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3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07"/>
      <w:spacing w:line="236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b/>
        <w:bCs/>
        <w:spacing w:val="-3"/>
      </w:rPr>
      <w:t>7</w:t>
    </w:r>
    <w:r>
      <w:rPr>
        <w:rFonts w:ascii="DengXian" w:hAnsi="DengXian" w:eastAsia="DengXian" w:cs="DengXian"/>
        <w:sz w:val="18"/>
        <w:szCs w:val="18"/>
        <w:b/>
        <w:bCs/>
        <w:spacing w:val="46"/>
        <w:w w:val="101"/>
      </w:rPr>
      <w:t xml:space="preserve"> </w:t>
    </w:r>
    <w:r>
      <w:rPr>
        <w:rFonts w:ascii="DengXian" w:hAnsi="DengXian" w:eastAsia="DengXian" w:cs="DengXian"/>
        <w:sz w:val="18"/>
        <w:szCs w:val="18"/>
        <w:spacing w:val="-3"/>
      </w:rPr>
      <w:t>/  </w:t>
    </w:r>
    <w:r>
      <w:rPr>
        <w:rFonts w:ascii="DengXian" w:hAnsi="DengXian" w:eastAsia="DengXian" w:cs="DengXian"/>
        <w:sz w:val="18"/>
        <w:szCs w:val="18"/>
        <w:b/>
        <w:bCs/>
        <w:spacing w:val="-3"/>
      </w:rPr>
      <w:t>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1.jpeg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刘先生</dc:creator>
  <dcterms:created xsi:type="dcterms:W3CDTF">2025-07-23T11:20:44Z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2026-04-18T16:17:42</vt:filetime>
  </property>
</Properties>
</file>