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Grievance Redressal Procedure</w:t>
      </w:r>
    </w:p>
    <w:p>
      <w:pPr>
        <w:pStyle w:val="Heading2"/>
      </w:pPr>
      <w:r>
        <w:t>What Counts as a Grievance</w:t>
      </w:r>
    </w:p>
    <w:p>
      <w:pPr/>
      <w:r>
        <w:t>A grievance is any expression of dissatisfaction about the Company's products, services, or the actions of its staff or agents, other than a formal claim dispute.</w:t>
      </w:r>
    </w:p>
    <w:p>
      <w:pPr>
        <w:pStyle w:val="Heading2"/>
      </w:pPr>
      <w:r>
        <w:t>Escalation Levels</w:t>
      </w:r>
    </w:p>
    <w:p>
      <w:pPr/>
      <w:r>
        <w:t>Level 1: contact the servicing branch or the call centre. Acknowledgement within 3 working days, resolution within 15 working days.</w:t>
      </w:r>
    </w:p>
    <w:p>
      <w:pPr/>
      <w:r>
        <w:t>Level 2: write to the Nodal Officer at the head office with the complaint reference. Resolution within 15 working days of the written complaint.</w:t>
      </w:r>
    </w:p>
    <w:p>
      <w:pPr/>
      <w:r>
        <w:t>Level 3: approach the Insurance Ombudsman if the grievance is unresolved for 30 days or is rejected. The Ombudsman's award binds the Company up to Rs 50,00,000.</w:t>
      </w:r>
    </w:p>
    <w:p>
      <w:pPr>
        <w:pStyle w:val="Heading2"/>
      </w:pPr>
      <w:r>
        <w:t>Contact Points</w:t>
      </w:r>
    </w:p>
    <w:p>
      <w:pPr/>
      <w:r>
        <w:t>Toll-free number 1800-000-000 operates on business days from 9:00 to 18:00. Email grievances@apexlife.example and the postal address is printed on every Policy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